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(nine CRC-relevant functional groups, 86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0.998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is reported as a </w:t>
      </w:r>
      <w:r>
        <w:rPr>
          <w:i/>
        </w:rPr>
        <w:t>robustness check</w:t>
      </w:r>
      <w:r>
        <w:t xml:space="preserve"> (</w:t>
      </w:r>
      <w:r>
        <w:rPr>
          <w:rFonts w:ascii="Courier New" w:hAnsi="Courier New"/>
        </w:rPr>
        <w:t>results/combat_results.csv</w:t>
      </w:r>
      <w:r>
        <w:t>): the corrected pooled per-cohort mean AUC is 0.815 versus 0.807 uncorrected (Δ = +0.008), and qualitative conclusions are unchanged. The ComBat correction is fit on the union of train and test feature matrices (batch labels only; class labels hidden), so the +0.008 should be read as an upper-bound on what feature-level harmonisation could add to the country-aware LODO design rather than as a leakage-free per-fold gain.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on the union of train and test feature matrices using only batch labels (</w:t>
      </w:r>
      <w:r>
        <w:rPr>
          <w:rFonts w:ascii="Courier New" w:hAnsi="Courier New"/>
        </w:rPr>
        <w:t>study_name</w:t>
      </w:r>
      <w:r>
        <w:t>); class labels were never seen by ComBat. This is partial feature-distribution leakage — test-fold sample composition informs the correction parameters — but the corrected values are reported only as a robustness check, never as the headline result. The corrected pooled per-cohort mean AUC (0.815) should therefore be read as an upper bound on what feature-level batch correction could buy beyond the country-aware LODO design.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nine biological groups (butyrate/SCFA production, fermentation, LPS/inflammation, polyamine synthesis, tryptophan metabolism, folate/one-carbon metabolism, sulfur/methionine metabolism, glycan/mucin degradation, and bile-acid metabolism).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tolerances of 0.001-0.05 (per-check).</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