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t>Figures: 4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i w:val="0"/>
        </w:rPr>
        <w:t xml:space="preserve">Results. </w:t>
      </w:r>
      <w:r>
        <w:rPr>
          <w:b w:val="0"/>
          <w:i w:val="0"/>
        </w:rPr>
        <w:t xml:space="preserve">Species-only Random Forest achieved a pooled LODO AUC of 0.810 (95% CI: 0.777 to 0.841) and significantly outperformed both joint Random Forest (0.776 [0.740, 0.811]; DeLong z = 2.88, p = 0.004) and joint XGBoost (0.781 [0.746, 0.816];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w:t>
      </w:r>
      <w:r>
        <w:rPr>
          <w:b w:val="0"/>
          <w:i/>
        </w:rPr>
        <w:t>Parvimonas micra</w:t>
      </w:r>
      <w:r>
        <w:rPr>
          <w:b w:val="0"/>
          <w:i w:val="0"/>
        </w:rPr>
        <w:t xml:space="preserve">, </w:t>
      </w:r>
      <w:r>
        <w:rPr>
          <w:b w:val="0"/>
          <w:i/>
        </w:rPr>
        <w:t>Peptostreptococcus stomatis</w:t>
      </w:r>
      <w:r>
        <w:rPr>
          <w:b w:val="0"/>
          <w:i w:val="0"/>
        </w:rPr>
        <w:t xml:space="preserve">, </w:t>
      </w:r>
      <w:r>
        <w:rPr>
          <w:b w:val="0"/>
          <w:i/>
        </w:rPr>
        <w:t>Gemella morbillorum</w:t>
      </w:r>
      <w:r>
        <w:rPr>
          <w:b w:val="0"/>
          <w:i w:val="0"/>
        </w:rPr>
        <w:t xml:space="preserve">, and </w:t>
      </w:r>
      <w:r>
        <w:rPr>
          <w:b w:val="0"/>
          <w:i/>
        </w:rPr>
        <w:t>Fusobacterium nucleatum</w:t>
      </w:r>
      <w:r>
        <w:rPr>
          <w:b w:val="0"/>
          <w:i w:val="0"/>
        </w:rPr>
        <w:t>.</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Adding 402 to 406 unstratified pathway features per LODO fold (filter refit on training cohorts only) yielded a pooled joint Random Forest AUC of 0.776 (95% CI: 0.740 to 0.811) and a pooled joint XGBoost AUC of 0.781 (95% CI: 0.746 to 0.816).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pPr/>
      <w:r>
        <w:rPr>
          <w:b w:val="0"/>
          <w:i w:val="0"/>
        </w:rPr>
        <w:t>To examine whether the species and pathway features driving adenoma classification overlap with those driving CRC classification, we computed mean absolute SHAP values for each of the three classifiers (healthy versus adenoma, CRC versus healthy, and adenoma versus CRC) and ranked the top 10 features in each (Figure 4, panels A-C). The healthy-versus-adenoma classifier (panel A) emphasized metabolic-pathway commensal-depletion signals (PANTOSYN-PWY, PANTO-PWY, PWY-621), while the two classifiers involving CRC samples (panels B and C) emphasized oral-pathobiont colonization features (Parvimonas micra, Peptostreptococcus stomatis, Fusobacterium nucleatum, Gemella morbillorum). The shift in top-ranked features between the adenoma and CRC classifiers is consistent with a stepwise oral-pathobiont enrichment along the adenoma-carcinoma sequence and supports treating adenoma and CRC as biologically distinct microbiome states rather than points on a continuous severity gradient.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Figure 1. 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[0.776, 0.841] does not contain the joint RF point estimate (0.776) and barely contains joint XGB (0.781), consistent with the DeLong significance reported in the main text. Per-cohort CIs are wide because each cohort contributes 53 to 128 samples.</w:t>
      </w:r>
      <w:r>
        <w:rPr>
          <w:sz w:val="22"/>
          <w:szCs w:val="22"/>
        </w:rPr>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pPr/>
      <w:r>
        <w:rPr>
          <w:b w:val="0"/>
          <w:i w:val="0"/>
        </w:rPr>
        <w:t>Figure 4. Three-panel TreeSHAP comparison across the adenoma-carcinoma sequence. Each panel shows the top 10 features by mean absolute SHAP value for one binary classifier. Panel A: healthy versus adenoma (commensal-depletion phase); panel B: CRC versus healthy (oral-pathobiont colonization); panel C: adenoma versus CRC (oral-pathobiont colonization). Italicized labels are species (MetaPhlAn taxonomy); non-italic labels are HUMAnN unstratified pathways. SHAP values are computed on Random Forest classifiers fit to the full per-task subset (646 binary CRC samples for panel B; 262 healthy + adenoma samples for panel A; 244 adenoma + CRC samples for panel C); they describe feature importance for the trained classifier and should not be interpreted as evidence of cross-cohort generalization, which is addressed separately in the LODO analyses. Generated by scripts/figure5_shap_three_panel.py.</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