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Results</w:t>
      </w:r>
    </w:p>
    <w:p>
      <w:pPr>
        <w:pStyle w:val="Heading2"/>
        <w:spacing w:after="200" w:before="360" w:line="480"/>
      </w:pPr>
      <w:r>
        <w:rPr>
          <w:rFonts w:ascii="Times New Roman" w:cs="Times New Roman" w:eastAsia="Times New Roman" w:hAnsi="Times New Roman"/>
          <w:b/>
          <w:bCs/>
          <w:sz w:val="24"/>
          <w:szCs w:val="24"/>
        </w:rPr>
        <w:t xml:space="preserve">CRC versus healthy classification</w:t>
      </w:r>
    </w:p>
    <w:p>
      <w:pPr>
        <w:spacing w:after="200" w:line="480"/>
        <w:jc w:val="both"/>
      </w:pPr>
      <w:r>
        <w:rPr>
          <w:rFonts w:ascii="Times New Roman" w:cs="Times New Roman" w:eastAsia="Times New Roman" w:hAnsi="Times New Roman"/>
          <w:sz w:val="24"/>
          <w:szCs w:val="24"/>
        </w:rPr>
        <w:t>The species-only RF achieved a pooled LODO AUC of 0.810 (95% CI: 0.777 to 0.841), with per-cohort AUCs ranging from 0.730 (VogtmannE_2016; 95% CI: 0.629 to 0.824) to 0.868 (YuJ_2015; 95% CI: 0.801 to 0.927). The joint species-plus-pathway RF achieved a pooled AUC of 0.776 (95% CI: 0.740 to 0.811), and the joint XGBoost achieved a pooled AUC of 0.781 (95% CI: 0.746 to 0.816). Per-cohort AUCs and bootstrap confidence intervals for all three models are reported in Supplementary Table S2.</w:t>
      </w:r>
    </w:p>
    <w:p>
      <w:pPr>
        <w:spacing w:after="200" w:line="480"/>
        <w:jc w:val="both"/>
      </w:pPr>
      <w:r>
        <w:rPr>
          <w:rFonts w:ascii="Times New Roman" w:cs="Times New Roman" w:eastAsia="Times New Roman" w:hAnsi="Times New Roman"/>
          <w:sz w:val="24"/>
          <w:szCs w:val="24"/>
        </w:rPr>
        <w:t xml:space="preserve">Seed sensitivity analysis confirmed that the species RF pooled AUC was stable across five random seeds (0, 1, 2, 42, 100): mean 0.805 ± 0.002 (SD), range 0.804 to 0.808.</w:t>
      </w:r>
    </w:p>
    <w:p>
      <w:pPr>
        <w:pStyle w:val="Heading2"/>
        <w:spacing w:after="200" w:before="360" w:line="480"/>
      </w:pPr>
      <w:r>
        <w:rPr>
          <w:rFonts w:ascii="Times New Roman" w:cs="Times New Roman" w:eastAsia="Times New Roman" w:hAnsi="Times New Roman"/>
          <w:b/>
          <w:bCs/>
          <w:sz w:val="24"/>
          <w:szCs w:val="24"/>
        </w:rPr>
        <w:t xml:space="preserve">Statistical comparison of classifiers</w:t>
      </w:r>
    </w:p>
    <w:p>
      <w:pPr>
        <w:spacing w:after="200" w:line="480"/>
        <w:jc w:val="both"/>
      </w:pPr>
      <w:r>
        <w:rPr>
          <w:rFonts w:ascii="Times New Roman" w:cs="Times New Roman" w:eastAsia="Times New Roman" w:hAnsi="Times New Roman"/>
          <w:sz w:val="24"/>
          <w:szCs w:val="24"/>
        </w:rPr>
        <w:t xml:space="preserve">The DeLong test on pooled held-out predictions (n = 646) indicated that the species-only RF significantly outperformed both joint models: species RF versus joint RF, z = 2.88, p = 0.004; species RF versus joint XGBoost, z = 2.65, p = 0.008. The joint XGBoost and joint RF did not differ significantly from each other (z = 0.53, p = 0.596). Per-cohort paired t-tests lacked power to detect these differences: species RF versus joint RF, t(6) = 0.77, p = 0.47; species RF versus joint XGBoost, t(6) = 1.44, p = 0.20.</w:t>
      </w:r>
    </w:p>
    <w:p>
      <w:pPr>
        <w:pStyle w:val="Heading2"/>
        <w:spacing w:after="200" w:before="360" w:line="480"/>
      </w:pPr>
      <w:r>
        <w:rPr>
          <w:rFonts w:ascii="Times New Roman" w:cs="Times New Roman" w:eastAsia="Times New Roman" w:hAnsi="Times New Roman"/>
          <w:b/>
          <w:bCs/>
          <w:sz w:val="24"/>
          <w:szCs w:val="24"/>
        </w:rPr>
        <w:t xml:space="preserve">Adenoma classification</w:t>
      </w:r>
    </w:p>
    <w:p>
      <w:pPr>
        <w:spacing w:after="200" w:line="480"/>
        <w:jc w:val="both"/>
      </w:pPr>
      <w:r>
        <w:rPr>
          <w:rFonts w:ascii="Times New Roman" w:cs="Times New Roman" w:eastAsia="Times New Roman" w:hAnsi="Times New Roman"/>
          <w:sz w:val="24"/>
          <w:szCs w:val="24"/>
        </w:rPr>
        <w:t>Under pooled five-fold stratified cross-validation, the healthy-versus-adenoma task yielded AUCs of 0.681 (RF) and 0.709 (XGBoost); the adenoma-versus-CRC task yielded AUCs of 0.787 (RF) and 0.809 (XGBoost). The secondary cross-cohort LODO analysis across the three adenoma-containing cohorts (FengQ_2015, ZellerG_2014, ThomasAM_2018a) showed performance at or near chance: healthy-versus-adenoma mean LODO AUCs were 0.509 (RF) and 0.453 (XGBoost) with per-cohort range 0.379 to 0.582, and adenoma-versus-CRC mean LODO AUCs were 0.583 (RF) and 0.515 (XGBoost) with per-cohort range 0.456 to 0.631. The collapse from within-cohort five-fold cross-validation to LODO is consistent with the small per-cohort sample sizes (n = 27 to 47 adenoma per cohort) and indicates that the within-cohort adenoma signal does not transfer across studies in this dataset.</w:t>
      </w:r>
    </w:p>
    <w:p>
      <w:pPr/>
      <w:r>
        <w:rPr>
          <w:b w:val="0"/>
          <w:i w:val="0"/>
        </w:rPr>
        <w:t>To examine whether the species and pathway features driving adenoma classification overlap with those driving CRC classification, we computed mean absolute SHAP values for each of the three classifiers (healthy versus adenoma, CRC versus healthy, and adenoma versus CRC) and ranked the top 10 features in each (Figure 4, panels A-C). The healthy-versus-adenoma classifier (panel A) emphasized metabolic-pathway commensal-depletion signals (PANTOSYN-PWY, PANTO-PWY, PWY-621), while the two classifiers involving CRC samples (panels B and C) emphasized oral-pathobiont colonization features (Parvimonas micra, Peptostreptococcus stomatis, Fusobacterium nucleatum, Gemella morbillorum). The shift in top-ranked features between the adenoma and CRC classifiers is consistent with a stepwise oral-pathobiont enrichment along the adenoma-carcinoma sequence and supports treating adenoma and CRC as biologically distinct microbiome states rather than points on a continuous severity gradient.</w:t>
      </w:r>
    </w:p>
    <w:p>
      <w:pPr>
        <w:pStyle w:val="Heading2"/>
        <w:spacing w:after="200" w:before="360" w:line="480"/>
      </w:pPr>
      <w:r>
        <w:rPr>
          <w:rFonts w:ascii="Times New Roman" w:cs="Times New Roman" w:eastAsia="Times New Roman" w:hAnsi="Times New Roman"/>
          <w:b/>
          <w:bCs/>
          <w:sz w:val="24"/>
          <w:szCs w:val="24"/>
        </w:rPr>
        <w:t xml:space="preserve">Confounder assessment</w:t>
      </w:r>
    </w:p>
    <w:p>
      <w:pPr>
        <w:spacing w:after="200" w:line="480"/>
        <w:jc w:val="both"/>
      </w:pPr>
      <w:r>
        <w:rPr>
          <w:rFonts w:ascii="Times New Roman" w:cs="Times New Roman" w:eastAsia="Times New Roman" w:hAnsi="Times New Roman"/>
          <w:sz w:val="24"/>
          <w:szCs w:val="24"/>
        </w:rPr>
        <w:t>Inclusion of age, sex, and BMI as covariates produced minimal change relative to the species-only baseline (pooled AUC 0.803): direct inclusion yielded AUC 0.808 (RF) and 0.807 (XGBoost); residualization yielded AUC 0.807 (RF) and 0.816 (XGBoost). These results confirm that the classifier's discrimination is not driven by demographic or anthropometric confounders.</w:t>
      </w:r>
    </w:p>
    <w:p>
      <w:pPr>
        <w:pStyle w:val="Heading2"/>
        <w:spacing w:after="200" w:before="360" w:line="480"/>
      </w:pPr>
      <w:r>
        <w:rPr>
          <w:rFonts w:ascii="Times New Roman" w:cs="Times New Roman" w:eastAsia="Times New Roman" w:hAnsi="Times New Roman"/>
          <w:b/>
          <w:bCs/>
          <w:sz w:val="24"/>
          <w:szCs w:val="24"/>
        </w:rPr>
        <w:t xml:space="preserve">Filter threshold sensitivity</w:t>
      </w:r>
    </w:p>
    <w:p>
      <w:pPr>
        <w:spacing w:after="200" w:line="480"/>
        <w:jc w:val="both"/>
      </w:pPr>
      <w:r>
        <w:rPr>
          <w:rFonts w:ascii="Times New Roman" w:cs="Times New Roman" w:eastAsia="Times New Roman" w:hAnsi="Times New Roman"/>
          <w:sz w:val="24"/>
          <w:szCs w:val="24"/>
        </w:rPr>
        <w:t>Across the 20-cell threshold grid, the species-plus-pathway RF LODO mean per-cohort AUC ranged from 0.773 to 0.811 (full grid spread 0.038). Excluding the degenerate mean &gt;= 1e-3 column, which retains only two pathways and effectively reduces the joint model to species-only at AUC 0.811, the spread tightens to 0.016 (range 0.773 to 0.789) across the 16 substantively non-degenerate cells, confirming that the default thresholds (prevalence &gt;= 10%, mean &gt;= 1 x 10-6) are near-optimal and qualitative conclusions are not sensitive to the specific cutoffs chosen (Supplementary Table S1).</w:t>
      </w:r>
      <w:r>
        <w:rPr>
          <w:rFonts w:ascii="Times New Roman" w:cs="Times New Roman" w:eastAsia="Times New Roman" w:hAnsi="Times New Roman"/>
          <w:sz w:val="24"/>
          <w:szCs w:val="24"/>
          <w:vertAlign w:val="superscript"/>
        </w:rPr>
      </w:r>
      <w:r>
        <w:rPr>
          <w:rFonts w:ascii="Times New Roman" w:cs="Times New Roman" w:eastAsia="Times New Roman" w:hAnsi="Times New Roman"/>
          <w:sz w:val="24"/>
          <w:szCs w:val="24"/>
        </w:rPr>
      </w:r>
    </w:p>
    <w:p>
      <w:pPr>
        <w:pStyle w:val="Heading2"/>
        <w:spacing w:after="200" w:before="360" w:line="480"/>
      </w:pPr>
      <w:r>
        <w:rPr>
          <w:rFonts w:ascii="Times New Roman" w:cs="Times New Roman" w:eastAsia="Times New Roman" w:hAnsi="Times New Roman"/>
          <w:b/>
          <w:bCs/>
          <w:sz w:val="24"/>
          <w:szCs w:val="24"/>
        </w:rPr>
        <w:t xml:space="preserve">Feature importance</w:t>
      </w:r>
    </w:p>
    <w:p>
      <w:pPr>
        <w:spacing w:after="200" w:line="480"/>
        <w:jc w:val="both"/>
      </w:pPr>
      <w:r>
        <w:rPr>
          <w:rFonts w:ascii="Times New Roman" w:cs="Times New Roman" w:eastAsia="Times New Roman" w:hAnsi="Times New Roman"/>
          <w:sz w:val="24"/>
          <w:szCs w:val="24"/>
        </w:rPr>
        <w:t xml:space="preserve">SHAP analysis identified </w:t>
      </w:r>
      <w:r>
        <w:rPr>
          <w:rFonts w:ascii="Times New Roman" w:cs="Times New Roman" w:eastAsia="Times New Roman" w:hAnsi="Times New Roman"/>
          <w:i/>
          <w:iCs/>
          <w:sz w:val="24"/>
          <w:szCs w:val="24"/>
        </w:rPr>
        <w:t xml:space="preserve">Parvimonas micra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Peptostreptococcus stomatis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Fusobacterium nucleatum</w:t>
      </w:r>
      <w:r>
        <w:rPr>
          <w:rFonts w:ascii="Times New Roman" w:cs="Times New Roman" w:eastAsia="Times New Roman" w:hAnsi="Times New Roman"/>
          <w:sz w:val="24"/>
          <w:szCs w:val="24"/>
        </w:rPr>
        <w:t xml:space="preserve"> as the four most important species for CRC classification in the Random Forest model (Figure 3). The top four features were identical across RF and XGBoost, although their rank order differed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ranked first in XGBoost versus third in RF). Of the top 15 features by mean absolute SHAP value, 8 were shared between RF and XGBoost, indicating substantial concordance in the biological signal captured by both model architectures despite differences in learning algorithms. The XGBoost top 15 additionally included two pathway features (PWY-6588: pyruvate fermentation to acetone; PWY-6263: superpathway of menaquinol-8 biosynthesis II), consistent with the joint model's access to pathway features but reinforcing that species features dominate the discriminative signal.</w:t>
      </w:r>
    </w:p>
    <w:p>
      <w:pPr>
        <w:pStyle w:val="Heading2"/>
        <w:spacing w:after="200" w:before="360" w:line="480"/>
      </w:pPr>
      <w:r>
        <w:rPr>
          <w:rFonts w:ascii="Times New Roman" w:cs="Times New Roman" w:eastAsia="Times New Roman" w:hAnsi="Times New Roman"/>
          <w:b/>
          <w:bCs/>
          <w:sz w:val="24"/>
          <w:szCs w:val="24"/>
        </w:rPr>
        <w:t xml:space="preserve">Figure legends</w:t>
      </w:r>
    </w:p>
    <w:p>
      <w:pPr>
        <w:spacing w:after="200" w:line="480"/>
        <w:jc w:val="both"/>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Forest plot of per-cohort and pooled AUCs with 95% bootstrap confidence intervals for CRC versus healthy classification under LODO cross-validation. Three models are shown: species-only Random Forest (blue), joint species-plus-pathway Random Forest (dark red), and joint XGBoost (light red). Each cohort is displayed as a separate row; the pooled estimate across all 646 held-out predictions is shown at the bottom.</w:t>
      </w:r>
    </w:p>
    <w:p>
      <w:pPr>
        <w:spacing w:after="200" w:line="480"/>
        <w:jc w:val="both"/>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Receiver operating characteristic (ROC) curves for pooled LODO predictions (n = 646) comparing species-only Random Forest (AUC = 0.810), joint Random Forest (AUC = 0.776), and joint XGBoost (AUC = 0.781). The diagonal dashed line indicates chance-level classification (AUC = 0.5).</w:t>
      </w:r>
    </w:p>
    <w:p>
      <w:pPr>
        <w:spacing w:after="200" w:line="480"/>
        <w:jc w:val="both"/>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Top 15 species by mean absolute SHAP value for CRC versus healthy classification. Left panel: Random Forest; right panel: XGBoost. The four most important species (Parvimonas micra, Peptostreptococcus stomatis, Gemella morbillorum, and Fusobacterium nucleatum) are consistent across both models. Of the top 15 features, 8 are shared between RF and XGBoost.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2026-04-26T18:42:54.060Z</dcterms:created>
  <dcterms:modified xsi:type="dcterms:W3CDTF">2026-04-26T18:42:54.060Z</dcterms:modified>
</cp:coreProperties>
</file>

<file path=docProps/custom.xml><?xml version="1.0" encoding="utf-8"?>
<Properties xmlns="http://schemas.openxmlformats.org/officeDocument/2006/custom-properties" xmlns:vt="http://schemas.openxmlformats.org/officeDocument/2006/docPropsVTypes"/>
</file>