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line="48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Abstract</w:t>
      </w:r>
    </w:p>
    <w:p>
      <w:pPr>
        <w:spacing w:after="100"/>
      </w:pPr>
    </w:p>
    <w:p>
      <w:pPr>
        <w:spacing w:after="200" w:line="480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Background: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Gut metagenomic classifiers can distinguish colorectal cancer (CRC) patients from healthy controls, but the incremental value of metabolic pathway features over species-level taxonomic profiles has not been formally tested, and the robustness of classification results to analytical choices is rarely evaluated systematically.</w:t>
      </w:r>
    </w:p>
    <w:p>
      <w:pPr>
        <w:spacing w:after="200" w:line="480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Methods: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We re-evaluated the Thomas et al. (2019) multi-cohort CRC classification framework using seven geographically diverse cohorts (n = 762; 326 CRC, 320 controls, 116 adenoma) from curatedMetagenomicData. Three models were compared under leave-one-dataset-out (LODO) cross-validation: species-only Random Forest (RF), joint species-plus-pathway RF, and joint XGBoost. Pathway features were filtered per fold using only training cohorts to prevent information leakage. Classifier comparison used the DeLong test on pooled predictions (n = 646). A robustness battery assessed filter threshold sensitivity, confounder adjustment, random seed stability, bootstrap confidence intervals, and batch effect correction.</w:t>
      </w:r>
    </w:p>
    <w:p>
      <w:pPr>
        <w:spacing w:after="200" w:line="480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Results: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species-only RF achieved a pooled AUC of 0.810 (95% CI: 0.777 to 0.841), significantly outperforming the joint RF (AUC 0.776, 95% CI: 0.739 to 0.811; DeLong z = 2.88, p = 0.004) and joint XGBoost (AUC 0.781, 95% CI: 0.745 to 0.816; z = 2.65, p = 0.008). This advantage was stable across random seeds (AUC 0.805 +/- 0.002), filter thresholds (AUC range 0.773 to 0.789), and confounder adjustments. SHAP analysis identified Parvimonas micra, Peptostreptococcus stomatis, Gemella morbillorum, and Fusobacterium nucleatum as the top discriminative features, with 8 of the top 15 species shared across RF and XGBoost.</w:t>
      </w:r>
    </w:p>
    <w:p>
      <w:pPr>
        <w:spacing w:after="200" w:line="480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Conclusions: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Species-level features alone provide superior CRC classification compared to joint species-plus-pathway models at current sample sizes. Adding pathway features increases dimensionality without proportional signal gain, degrading performance. These findings support parsimonious, species-level classifiers for microbiome-based CRC screening and underscore the importance of formal statistical comparison and systematic robustness evaluation in metagenomic classification studies.</w:t>
      </w:r>
    </w:p>
    <w:sectPr>
      <w:footerReference w:type="default" r:id="rId7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sz w:val="20"/>
        <w:szCs w:val="20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2">
    <w:name w:val="Heading 2"/>
    <w:basedOn w:val="Normal"/>
    <w:next w:val="Normal"/>
    <w:qFormat/>
    <w:pPr>
      <w:spacing w:after="200" w:before="360"/>
      <w:outlineLvl w:val="1"/>
    </w:pPr>
    <w:rPr>
      <w:rFonts w:ascii="Times New Roman" w:cs="Times New Roman" w:eastAsia="Times New Roman" w:hAnsi="Times New Roman"/>
      <w:b/>
      <w:bCs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2026-04-26T18:50:00.883Z</dcterms:created>
  <dcterms:modified xsi:type="dcterms:W3CDTF">2026-04-26T18:50:00.883Z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