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line="480"/>
        <w:jc w:val="center"/>
      </w:pPr>
      <w:r>
        <w:rPr>
          <w:rFonts w:ascii="CMU Serif" w:cs="CMU Serif" w:eastAsia="CMU Serif" w:hAnsi="CMU Serif"/>
          <w:b/>
          <w:bCs/>
          <w:sz w:val="32"/>
          <w:szCs w:val="32"/>
        </w:rPr>
        <w:t xml:space="preserve">Species-level taxonomic features alone outperform joint species-plus-pathway models</w:t>
      </w:r>
    </w:p>
    <w:p>
      <w:pPr>
        <w:spacing w:after="120" w:line="480"/>
        <w:jc w:val="center"/>
      </w:pPr>
      <w:r>
        <w:rPr>
          <w:rFonts w:ascii="CMU Serif" w:cs="CMU Serif" w:eastAsia="CMU Serif" w:hAnsi="CMU Serif"/>
          <w:b/>
          <w:bCs/>
          <w:sz w:val="32"/>
          <w:szCs w:val="32"/>
        </w:rPr>
        <w:t xml:space="preserve">for colorectal cancer detection: a rigorous multi-cohort re-evaluation</w:t>
      </w:r>
    </w:p>
    <w:p>
      <w:pPr>
        <w:spacing w:after="400"/>
      </w:pPr>
    </w:p>
    <w:p>
      <w:pPr>
        <w:spacing w:after="120" w:line="480"/>
        <w:jc w:val="center"/>
      </w:pPr>
      <w:r>
        <w:rPr>
          <w:rFonts w:ascii="CMU Serif" w:cs="CMU Serif" w:eastAsia="CMU Serif" w:hAnsi="CMU Serif"/>
          <w:sz w:val="24"/>
          <w:szCs w:val="24"/>
        </w:rPr>
        <w:t xml:space="preserve">Alejandro Velazquez</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Rachel Selbrede</w:t>
      </w:r>
      <w:r>
        <w:rPr>
          <w:rFonts w:ascii="CMU Serif" w:cs="CMU Serif" w:eastAsia="CMU Serif" w:hAnsi="CMU Serif"/>
          <w:sz w:val="24"/>
          <w:szCs w:val="24"/>
          <w:vertAlign w:val="superscript"/>
        </w:rPr>
        <w:t xml:space="preserve">2</w:t>
      </w:r>
    </w:p>
    <w:p>
      <w:pPr>
        <w:spacing w:after="200"/>
      </w:pPr>
    </w:p>
    <w:p>
      <w:pPr>
        <w:spacing w:after="120" w:line="480"/>
        <w:jc w:val="center"/>
      </w:pPr>
      <w:r>
        <w:rPr>
          <w:rFonts w:ascii="CMU Serif" w:cs="CMU Serif" w:eastAsia="CMU Serif" w:hAnsi="CMU Serif"/>
          <w:sz w:val="22"/>
          <w:szCs w:val="22"/>
          <w:vertAlign w:val="superscript"/>
        </w:rPr>
        <w:t xml:space="preserve">1</w:t>
      </w:r>
      <w:r>
        <w:rPr>
          <w:rFonts w:ascii="CMU Serif" w:cs="CMU Serif" w:eastAsia="CMU Serif" w:hAnsi="CMU Serif"/>
          <w:sz w:val="22"/>
          <w:szCs w:val="22"/>
        </w:rPr>
        <w:t xml:space="preserve"> University of California, Berkeley, CA, USA</w:t>
      </w:r>
    </w:p>
    <w:p>
      <w:pPr>
        <w:spacing w:after="120" w:line="480"/>
        <w:jc w:val="center"/>
      </w:pPr>
      <w:r>
        <w:rPr>
          <w:rFonts w:ascii="CMU Serif" w:cs="CMU Serif" w:eastAsia="CMU Serif" w:hAnsi="CMU Serif"/>
          <w:sz w:val="22"/>
          <w:szCs w:val="22"/>
          <w:vertAlign w:val="superscript"/>
        </w:rPr>
        <w:t xml:space="preserve">2</w:t>
      </w:r>
      <w:r>
        <w:rPr>
          <w:rFonts w:ascii="CMU Serif" w:cs="CMU Serif" w:eastAsia="CMU Serif" w:hAnsi="CMU Serif"/>
          <w:sz w:val="22"/>
          <w:szCs w:val="22"/>
        </w:rPr>
        <w:t xml:space="preserve"> California State University San Marcos, San Marcos, CA, USA</w:t>
      </w:r>
    </w:p>
    <w:p>
      <w:pPr>
        <w:spacing w:after="400"/>
      </w:pPr>
    </w:p>
    <w:p>
      <w:pPr>
        <w:spacing w:after="120" w:line="480"/>
        <w:jc w:val="center"/>
      </w:pPr>
      <w:r>
        <w:rPr>
          <w:rFonts w:ascii="CMU Serif" w:cs="CMU Serif" w:eastAsia="CMU Serif" w:hAnsi="CMU Serif"/>
          <w:b w:val="false"/>
          <w:bCs w:val="false"/>
          <w:sz w:val="22"/>
          <w:szCs w:val="22"/>
        </w:rPr>
        <w:t xml:space="preserve">* Corresponding author: thealexschroeder@gmail.com</w:t>
      </w:r>
    </w:p>
    <w:p>
      <w:pPr>
        <w:spacing w:after="400"/>
      </w:pPr>
    </w:p>
    <w:p>
      <w:pPr>
        <w:spacing w:after="200" w:line="480"/>
      </w:pPr>
      <w:r>
        <w:rPr>
          <w:rFonts w:ascii="CMU Serif" w:cs="CMU Serif" w:eastAsia="CMU Serif" w:hAnsi="CMU Serif"/>
          <w:b/>
          <w:bCs/>
          <w:sz w:val="22"/>
          <w:szCs w:val="22"/>
        </w:rPr>
        <w:t xml:space="preserve">Keywords: </w:t>
      </w:r>
      <w:r>
        <w:rPr>
          <w:rFonts w:ascii="CMU Serif" w:cs="CMU Serif" w:eastAsia="CMU Serif" w:hAnsi="CMU Serif"/>
          <w:sz w:val="22"/>
          <w:szCs w:val="22"/>
        </w:rPr>
        <w:t xml:space="preserve">colorectal cancer, metagenomics, microbiome, machine learning, Random Forest, leave-one-dataset-out cross-validation, SHAP, curatedMetagenomicData</w:t>
      </w:r>
    </w:p>
    <w:p>
      <w:pPr>
        <w:spacing w:after="200" w:line="480"/>
      </w:pPr>
      <w:r>
        <w:rPr>
          <w:rFonts w:ascii="CMU Serif" w:cs="CMU Serif" w:eastAsia="CMU Serif" w:hAnsi="CMU Serif"/>
          <w:b/>
          <w:bCs/>
          <w:sz w:val="22"/>
          <w:szCs w:val="22"/>
        </w:rPr>
        <w:t xml:space="preserve">Running title: </w:t>
      </w:r>
      <w:r>
        <w:rPr>
          <w:rFonts w:ascii="CMU Serif" w:cs="CMU Serif" w:eastAsia="CMU Serif" w:hAnsi="CMU Serif"/>
          <w:sz w:val="22"/>
          <w:szCs w:val="22"/>
        </w:rPr>
        <w:t xml:space="preserve">Species-only classifiers outperform joint models for CRC</w:t>
      </w:r>
    </w:p>
    <w:p>
      <w:pPr>
        <w:spacing w:after="200" w:line="480"/>
      </w:pPr>
      <w:r>
        <w:rPr>
          <w:rFonts w:ascii="CMU Serif" w:cs="CMU Serif" w:eastAsia="CMU Serif" w:hAnsi="CMU Serif"/>
          <w:b/>
          <w:bCs/>
          <w:sz w:val="22"/>
          <w:szCs w:val="22"/>
        </w:rPr>
        <w:t xml:space="preserve">Word count: </w:t>
      </w:r>
      <w:r>
        <w:rPr>
          <w:rFonts w:ascii="CMU Serif" w:cs="CMU Serif" w:eastAsia="CMU Serif" w:hAnsi="CMU Serif"/>
          <w:sz w:val="22"/>
          <w:szCs w:val="22"/>
        </w:rPr>
        <w:t xml:space="preserve">Abstract: ~250 words; Main text: ~4,500 words; Figures: 3; Tables: 1; Supplementary Tables: 2</w:t>
      </w:r>
    </w:p>
    <w:p>
      <w:r>
        <w:br w:type="page"/>
      </w:r>
    </w:p>
    <w:p>
      <w:pPr>
        <w:spacing w:after="400" w:line="480"/>
        <w:jc w:val="center"/>
      </w:pPr>
      <w:r>
        <w:rPr>
          <w:rFonts w:ascii="CMU Serif" w:cs="CMU Serif" w:eastAsia="CMU Serif" w:hAnsi="CMU Serif"/>
          <w:b/>
          <w:bCs/>
          <w:sz w:val="28"/>
          <w:szCs w:val="28"/>
        </w:rPr>
        <w:t xml:space="preserve">Abstract</w:t>
      </w:r>
    </w:p>
    <w:p>
      <w:pPr>
        <w:spacing w:after="200" w:line="480"/>
        <w:jc w:val="both"/>
      </w:pPr>
      <w:r>
        <w:rPr>
          <w:rFonts w:ascii="CMU Serif" w:cs="CMU Serif" w:eastAsia="CMU Serif" w:hAnsi="CMU Serif"/>
          <w:b/>
          <w:bCs/>
          <w:sz w:val="24"/>
          <w:szCs w:val="24"/>
        </w:rPr>
        <w:t xml:space="preserve">Background: </w:t>
      </w:r>
      <w:r>
        <w:rPr>
          <w:rFonts w:ascii="CMU Serif" w:cs="CMU Serif" w:eastAsia="CMU Serif" w:hAnsi="CMU Serif"/>
          <w:sz w:val="24"/>
          <w:szCs w:val="24"/>
        </w:rPr>
        <w:t xml:space="preserve">Gut metagenomic classifiers can distinguish colorectal cancer (CRC) patients from healthy controls, but the incremental value of metabolic pathway features over species-level taxonomic profiles has not been formally tested, and the robustness of classification results to analytical choices is rarely evaluated systematically.</w:t>
      </w:r>
    </w:p>
    <w:p>
      <w:pPr>
        <w:spacing w:after="200" w:line="480"/>
        <w:jc w:val="both"/>
      </w:pPr>
      <w:r>
        <w:rPr>
          <w:rFonts w:ascii="CMU Serif" w:cs="CMU Serif" w:eastAsia="CMU Serif" w:hAnsi="CMU Serif"/>
          <w:b/>
          <w:bCs/>
          <w:sz w:val="24"/>
          <w:szCs w:val="24"/>
        </w:rPr>
        <w:t xml:space="preserve">Methods: </w:t>
      </w:r>
      <w:r>
        <w:rPr>
          <w:rFonts w:ascii="CMU Serif" w:cs="CMU Serif" w:eastAsia="CMU Serif" w:hAnsi="CMU Serif"/>
          <w:sz w:val="24"/>
          <w:szCs w:val="24"/>
        </w:rPr>
        <w:t xml:space="preserve">We re-evaluated the Thomas et al. (2019) multi-cohort CRC classification framework using seven geographically diverse cohorts (n = 762; 326 CRC, 320 controls, 116 adenoma) from curatedMetagenomicData. Three models were compared under leave-one-dataset-out (LODO) cross-validation: species-only Random Forest (RF), joint species-plus-pathway RF, and joint XGBoost. Pathway features were filtered per fold using only training cohorts to prevent information leakage. Classifier comparison used the DeLong test on pooled predictions (n = 646). A robustness battery assessed filter threshold sensitivity, confounder adjustment, random seed stability, bootstrap confidence intervals, and batch effect correction.</w:t>
      </w:r>
    </w:p>
    <w:p>
      <w:pPr>
        <w:spacing w:after="200" w:line="480"/>
        <w:jc w:val="both"/>
      </w:pPr>
      <w:r>
        <w:rPr>
          <w:rFonts w:ascii="CMU Serif" w:cs="CMU Serif" w:eastAsia="CMU Serif" w:hAnsi="CMU Serif"/>
          <w:b/>
          <w:bCs/>
          <w:sz w:val="24"/>
          <w:szCs w:val="24"/>
        </w:rPr>
        <w:t xml:space="preserve">Results: </w:t>
      </w:r>
      <w:r>
        <w:rPr>
          <w:rFonts w:ascii="CMU Serif" w:cs="CMU Serif" w:eastAsia="CMU Serif" w:hAnsi="CMU Serif"/>
          <w:sz w:val="24"/>
          <w:szCs w:val="24"/>
        </w:rPr>
        <w:t xml:space="preserve">The species-only RF achieved a pooled AUC of 0.810 (95% CI: 0.777 to 0.841), significantly outperforming the joint RF (AUC 0.776, 95% CI: 0.739 to 0.811; DeLong z = 2.88, p = 0.004) and joint XGBoost (AUC 0.781, 95% CI: 0.745 to 0.816; z = 2.65, p = 0.008). This advantage was stable across random seeds (AUC 0.805 +/- 0.002), filter thresholds (AUC range 0.773 to 0.789), and confounder adjustments. SHAP analysis identified Parvimonas micra, Peptostreptococcus stomatis, Gemella morbillorum, and Fusobacterium nucleatum as the top discriminative features, with 8 of the top 15 species shared across RF and XGBoost.</w:t>
      </w:r>
    </w:p>
    <w:p>
      <w:pPr>
        <w:spacing w:after="200" w:line="480"/>
        <w:jc w:val="both"/>
      </w:pPr>
      <w:r>
        <w:rPr>
          <w:rFonts w:ascii="CMU Serif" w:cs="CMU Serif" w:eastAsia="CMU Serif" w:hAnsi="CMU Serif"/>
          <w:b/>
          <w:bCs/>
          <w:sz w:val="24"/>
          <w:szCs w:val="24"/>
        </w:rPr>
        <w:t xml:space="preserve">Conclusions: </w:t>
      </w:r>
      <w:r>
        <w:rPr>
          <w:rFonts w:ascii="CMU Serif" w:cs="CMU Serif" w:eastAsia="CMU Serif" w:hAnsi="CMU Serif"/>
          <w:sz w:val="24"/>
          <w:szCs w:val="24"/>
        </w:rPr>
        <w:t xml:space="preserve">Species-level features alone provide superior CRC classification compared to joint species-plus-pathway models at current sample sizes. Adding pathway features increases dimensionality without proportional signal gain, degrading performance. These findings support parsimonious, species-level classifiers for microbiome-based CRC screening and underscore the importance of formal statistical comparison and systematic robustness evaluation in metagenomic classification studies.</w:t>
      </w:r>
    </w:p>
    <w:p>
      <w:r>
        <w:br w:type="page"/>
      </w:r>
    </w:p>
    <w:p>
      <w:pPr>
        <w:spacing w:after="400" w:line="480"/>
        <w:jc w:val="center"/>
      </w:pPr>
      <w:r>
        <w:rPr>
          <w:rFonts w:ascii="CMU Serif" w:cs="CMU Serif" w:eastAsia="CMU Serif" w:hAnsi="CMU Serif"/>
          <w:b/>
          <w:bCs/>
          <w:sz w:val="28"/>
          <w:szCs w:val="28"/>
        </w:rPr>
        <w:t xml:space="preserve">Introduction</w:t>
      </w:r>
    </w:p>
    <w:p>
      <w:pPr>
        <w:spacing w:after="200" w:line="480"/>
        <w:jc w:val="both"/>
      </w:pPr>
      <w:r>
        <w:rPr>
          <w:rFonts w:ascii="CMU Serif" w:cs="CMU Serif" w:eastAsia="CMU Serif" w:hAnsi="CMU Serif"/>
          <w:sz w:val="24"/>
          <w:szCs w:val="24"/>
        </w:rPr>
        <w:t xml:space="preserve">Colorectal cancer (CRC) is the third most commonly diagnosed cancer worldwide and the second leading cause of cancer-related mortality, with approximately 1.9 million new cases and 930,000 deaths estimated annually (Sung et al. 2021). The global burden is projected to reach 3.2 million new cases per year by 2040, driven by aging populations and the adoption of Western dietary patterns in low- and middle-income countries (Xi and Xu 2021). Early detection substantially improves survival, yet colonoscopy-based screening programs remain resource-intensive and achieve incomplete population coverage, particularly in underserved settings. There is consequently a pressing need for non-invasive, scalable biomarkers that can complement or precede endoscopic screening.</w:t>
      </w:r>
    </w:p>
    <w:p>
      <w:pPr>
        <w:spacing w:after="200" w:line="480"/>
        <w:jc w:val="both"/>
      </w:pPr>
      <w:r>
        <w:rPr>
          <w:rFonts w:ascii="CMU Serif" w:cs="CMU Serif" w:eastAsia="CMU Serif" w:hAnsi="CMU Serif"/>
          <w:sz w:val="24"/>
          <w:szCs w:val="24"/>
        </w:rPr>
        <w:t xml:space="preserve">The gut microbiome has emerged as a promising source of such biomarkers. Large-scale metagenomic studies have identified reproducible microbial signatures that distinguish CRC patients from healthy controls, with reported classification accuracies (area under the receiver operating characteristic curve, AUC) typically ranging from 0.75 to 0.85 in cross-cohort validation (Wirbel et al. 2019; Thomas et al. 2019; Yachida et al. 2019). A recent pooled analysis of 3,741 metagenomes across 18 cohorts achieved a mean AUC of 0.85, further establishing the diagnostic potential of stool-based metagenomic profiling (Piccinno et al. 2025). These findings have motivated a growing body of work applying machine learning to metagenomic features for CRC detection.</w:t>
      </w:r>
    </w:p>
    <w:p>
      <w:pPr>
        <w:spacing w:after="200" w:line="480"/>
        <w:jc w:val="both"/>
      </w:pPr>
      <w:r>
        <w:rPr>
          <w:rFonts w:ascii="CMU Serif" w:cs="CMU Serif" w:eastAsia="CMU Serif" w:hAnsi="CMU Serif"/>
          <w:sz w:val="24"/>
          <w:szCs w:val="24"/>
        </w:rPr>
        <w:t xml:space="preserve">Thomas et al. (2019) introduced a landmark multi-cohort classification framework that combined species-level taxonomic profiles with metabolic pathway abundances from seven geographically diverse cohorts (n = 762), using leave-one-dataset-out (LODO) cross-validation to evaluate cross-cohort generalization. Their approach demonstrated that metagenomic classifiers trained on pooled multi-cohort data outperformed single-cohort models and identified </w:t>
      </w:r>
      <w:r>
        <w:rPr>
          <w:rFonts w:ascii="CMU Serif" w:cs="CMU Serif" w:eastAsia="CMU Serif" w:hAnsi="CMU Serif"/>
          <w:i/>
          <w:iCs/>
          <w:sz w:val="24"/>
          <w:szCs w:val="24"/>
        </w:rPr>
        <w:t xml:space="preserve">Fusobacterium nucleatum</w:t>
      </w:r>
      <w:r>
        <w:rPr>
          <w:rFonts w:ascii="CMU Serif" w:cs="CMU Serif" w:eastAsia="CMU Serif" w:hAnsi="CMU Serif"/>
          <w:sz w:val="24"/>
          <w:szCs w:val="24"/>
        </w:rPr>
        <w:t xml:space="preserve">, choline trimethylamine-lyase, and other microbial features as consistent CRC-associated biomarkers. This framework has become a standard reference for metagenomics-based CRC classification.</w:t>
      </w:r>
    </w:p>
    <w:p>
      <w:pPr>
        <w:spacing w:after="200" w:line="480"/>
        <w:jc w:val="both"/>
      </w:pPr>
      <w:r>
        <w:rPr>
          <w:rFonts w:ascii="CMU Serif" w:cs="CMU Serif" w:eastAsia="CMU Serif" w:hAnsi="CMU Serif"/>
          <w:sz w:val="24"/>
          <w:szCs w:val="24"/>
        </w:rPr>
        <w:t xml:space="preserve">However, as the field has scaled to larger cohorts and more complex feature sets, several methodological concerns have received insufficient attention. First, the contribution of functional pathway features relative to species-level taxonomic features has not been rigorously tested with formal statistical comparison; most studies report joint model performance without asking whether pathways actually improve upon species alone. Second, feature filtering applied globally rather than within each cross-validation fold risks information leakage from test-set samples into the training pipeline, potentially inflating performance estimates. Third, robustness of classification results to analytical choices (filter thresholds, random seeds, batch effects, potential confounders) is rarely reported systematically, making it difficult to assess whether findings reflect stable biological signals or are artifacts of specific analytical configurations.</w:t>
      </w:r>
    </w:p>
    <w:p>
      <w:pPr>
        <w:spacing w:after="200" w:line="480"/>
        <w:jc w:val="both"/>
      </w:pPr>
      <w:r>
        <w:rPr>
          <w:rFonts w:ascii="CMU Serif" w:cs="CMU Serif" w:eastAsia="CMU Serif" w:hAnsi="CMU Serif"/>
          <w:sz w:val="24"/>
          <w:szCs w:val="24"/>
        </w:rPr>
        <w:t xml:space="preserve">Recent methodological work has begun to address related concerns. Korem and colleagues developed DEBIAS-M to correct processing biases that degrade cross-study generalization of microbiome prediction models (Austin et al. 2025). Separately, benchmarking studies have explored optimal bioinformatics workflows for CRC detection across multiple cohorts (Gihawi et al. 2025). Yet a focused, end-to-end evaluation of the Thomas et al. (2019) framework with modern statistical rigor, including per-fold feature filtering, formal classifier comparison, and a comprehensive robustness battery, has not been performed.</w:t>
      </w:r>
    </w:p>
    <w:p>
      <w:pPr>
        <w:spacing w:after="200" w:line="480"/>
        <w:jc w:val="both"/>
      </w:pPr>
      <w:r>
        <w:rPr>
          <w:rFonts w:ascii="CMU Serif" w:cs="CMU Serif" w:eastAsia="CMU Serif" w:hAnsi="CMU Serif"/>
          <w:sz w:val="24"/>
          <w:szCs w:val="24"/>
        </w:rPr>
        <w:t xml:space="preserve">Here, we revisit the Thomas et al. (2019) CRC classification framework with three objectives. First, we test whether the addition of metabolic pathway features to species-level taxonomic profiles improves classification performance, using the DeLong test on pooled LODO predictions (n = 646) for formal statistical comparison. Second, we implement per-fold pathway filtering to eliminate information leakage from held-out cohorts. Third, we conduct a systematic robustness battery comprising filter threshold sensitivity analysis, confounder assessment, random seed stability, bootstrap confidence intervals, and batch effect evaluation. We additionally evaluate adenoma classification in an exploratory analysis. All code, data, per-sample predictions, and decision logs are publicly available to enable full reproducibility.</w:t>
      </w:r>
    </w:p>
    <w:p>
      <w:r>
        <w:br w:type="page"/>
      </w:r>
    </w:p>
    <w:p>
      <w:pPr>
        <w:spacing w:after="400" w:line="480"/>
        <w:jc w:val="center"/>
      </w:pPr>
      <w:r>
        <w:rPr>
          <w:rFonts w:ascii="CMU Serif" w:cs="CMU Serif" w:eastAsia="CMU Serif" w:hAnsi="CMU Serif"/>
          <w:b/>
          <w:bCs/>
          <w:sz w:val="28"/>
          <w:szCs w:val="28"/>
        </w:rPr>
        <w:t xml:space="preserve">Methods</w:t>
      </w:r>
    </w:p>
    <w:p>
      <w:pPr>
        <w:pStyle w:val="Heading2"/>
        <w:spacing w:after="200" w:before="360" w:line="480"/>
      </w:pPr>
      <w:r>
        <w:rPr>
          <w:rFonts w:ascii="CMU Serif" w:cs="CMU Serif" w:eastAsia="CMU Serif" w:hAnsi="CMU Serif"/>
          <w:b/>
          <w:bCs/>
          <w:sz w:val="24"/>
          <w:szCs w:val="24"/>
        </w:rPr>
        <w:t xml:space="preserve">Study design and cohort selection</w:t>
      </w:r>
    </w:p>
    <w:p>
      <w:pPr>
        <w:spacing w:after="200" w:line="480"/>
        <w:jc w:val="both"/>
      </w:pPr>
      <w:r>
        <w:rPr>
          <w:rFonts w:ascii="CMU Serif" w:cs="CMU Serif" w:eastAsia="CMU Serif" w:hAnsi="CMU Serif"/>
          <w:sz w:val="24"/>
          <w:szCs w:val="24"/>
        </w:rPr>
        <w:t xml:space="preserve">We performed a multi-cohort classification study to evaluate the discriminative capacity of gut metagenomic features for colorectal cancer (CRC) detection, extending the analysis framework of Thomas et al. (2019). Shotgun metagenomic profiles were obtained from curatedMetagenomicData (Pasolli et al. 2017), a Bioconductor resource providing uniformly processed microbial abundance data. Data were accessed using the </w:t>
      </w:r>
      <w:r>
        <w:rPr>
          <w:rFonts w:ascii="CMU Serif" w:cs="CMU Serif" w:eastAsia="CMU Serif" w:hAnsi="CMU Serif"/>
          <w:i/>
          <w:iCs/>
          <w:sz w:val="24"/>
          <w:szCs w:val="24"/>
        </w:rPr>
        <w:t xml:space="preserve">returnSamples()</w:t>
      </w:r>
      <w:r>
        <w:rPr>
          <w:rFonts w:ascii="CMU Serif" w:cs="CMU Serif" w:eastAsia="CMU Serif" w:hAnsi="CMU Serif"/>
          <w:sz w:val="24"/>
          <w:szCs w:val="24"/>
        </w:rPr>
        <w:t xml:space="preserve"> function in R. We restricted the analysis to the same seven cohorts used by Thomas et al.: FengQ_2015, YuJ_2015, VogtmannE_2016, ZellerG_2014, ThomasAM_2018a, ThomasAM_2018b, and ThomasAM_2019_c, spanning six countries (Austria, China, France, Italy, Japan, and the United States). Exact R, Bioconductor, and curatedMetagenomicData versions are reported in the Software and Reproducibility section below.</w:t>
      </w:r>
    </w:p>
    <w:p>
      <w:pPr>
        <w:spacing w:after="200" w:line="480"/>
        <w:jc w:val="both"/>
      </w:pPr>
      <w:r>
        <w:rPr>
          <w:rFonts w:ascii="CMU Serif" w:cs="CMU Serif" w:eastAsia="CMU Serif" w:hAnsi="CMU Serif"/>
          <w:sz w:val="24"/>
          <w:szCs w:val="24"/>
        </w:rPr>
        <w:t xml:space="preserve">The combined dataset comprised 762 unique subjects (326 CRC, 116 adenoma, 320 healthy controls). Subject identity was audited to confirm that no individual appeared in more than one cohort. Demographic characteristics (age, sex, BMI) were extracted from sample metadata; cohort-level summaries are reported in Table 1.</w:t>
      </w:r>
    </w:p>
    <w:p>
      <w:pPr>
        <w:pStyle w:val="Heading2"/>
        <w:spacing w:after="200" w:before="360" w:line="480"/>
      </w:pPr>
      <w:r>
        <w:rPr>
          <w:rFonts w:ascii="CMU Serif" w:cs="CMU Serif" w:eastAsia="CMU Serif" w:hAnsi="CMU Serif"/>
          <w:b/>
          <w:bCs/>
          <w:sz w:val="24"/>
          <w:szCs w:val="24"/>
        </w:rPr>
        <w:t xml:space="preserve">Feature extraction and preprocessing</w:t>
      </w:r>
    </w:p>
    <w:p>
      <w:pPr>
        <w:spacing w:after="120" w:before="240" w:line="480"/>
      </w:pPr>
      <w:r>
        <w:rPr>
          <w:rFonts w:ascii="CMU Serif" w:cs="CMU Serif" w:eastAsia="CMU Serif" w:hAnsi="CMU Serif"/>
          <w:b/>
          <w:bCs/>
          <w:i/>
          <w:iCs/>
          <w:sz w:val="24"/>
          <w:szCs w:val="24"/>
        </w:rPr>
        <w:t xml:space="preserve">Species abundance</w:t>
      </w:r>
    </w:p>
    <w:p>
      <w:pPr>
        <w:spacing w:after="200" w:line="480"/>
        <w:jc w:val="both"/>
      </w:pPr>
      <w:r>
        <w:rPr>
          <w:rFonts w:ascii="CMU Serif" w:cs="CMU Serif" w:eastAsia="CMU Serif" w:hAnsi="CMU Serif"/>
          <w:sz w:val="24"/>
          <w:szCs w:val="24"/>
        </w:rPr>
        <w:t xml:space="preserve">Taxonomic profiles were derived from MetaPhlAn relative abundance tables. Species-level features were filtered to retain taxa present in at least 10% of samples with a mean relative abundance of at least 1 × 10</w:t>
      </w:r>
      <w:r>
        <w:rPr>
          <w:rFonts w:ascii="CMU Serif" w:cs="CMU Serif" w:eastAsia="CMU Serif" w:hAnsi="CMU Serif"/>
          <w:sz w:val="24"/>
          <w:szCs w:val="24"/>
          <w:vertAlign w:val="superscript"/>
        </w:rPr>
        <w:t xml:space="preserve">-4</w:t>
      </w:r>
      <w:r>
        <w:rPr>
          <w:rFonts w:ascii="CMU Serif" w:cs="CMU Serif" w:eastAsia="CMU Serif" w:hAnsi="CMU Serif"/>
          <w:sz w:val="24"/>
          <w:szCs w:val="24"/>
        </w:rPr>
        <w:t xml:space="preserve">, yielding 247 species features. These thresholds were selected based on a sensitivity analysis demonstrating classification stability across a 20-combination grid of prevalence cutoffs (0.05 to 0.25) and mean-abundance cutoffs (10</w:t>
      </w:r>
      <w:r>
        <w:rPr>
          <w:rFonts w:ascii="CMU Serif" w:cs="CMU Serif" w:eastAsia="CMU Serif" w:hAnsi="CMU Serif"/>
          <w:sz w:val="24"/>
          <w:szCs w:val="24"/>
          <w:vertAlign w:val="superscript"/>
        </w:rPr>
        <w:t xml:space="preserve">-7</w:t>
      </w:r>
      <w:r>
        <w:rPr>
          <w:rFonts w:ascii="CMU Serif" w:cs="CMU Serif" w:eastAsia="CMU Serif" w:hAnsi="CMU Serif"/>
          <w:sz w:val="24"/>
          <w:szCs w:val="24"/>
        </w:rPr>
        <w:t xml:space="preserve"> to 10</w:t>
      </w:r>
      <w:r>
        <w:rPr>
          <w:rFonts w:ascii="CMU Serif" w:cs="CMU Serif" w:eastAsia="CMU Serif" w:hAnsi="CMU Serif"/>
          <w:sz w:val="24"/>
          <w:szCs w:val="24"/>
          <w:vertAlign w:val="superscript"/>
        </w:rPr>
        <w:t xml:space="preserve">-4</w:t>
      </w:r>
      <w:r>
        <w:rPr>
          <w:rFonts w:ascii="CMU Serif" w:cs="CMU Serif" w:eastAsia="CMU Serif" w:hAnsi="CMU Serif"/>
          <w:sz w:val="24"/>
          <w:szCs w:val="24"/>
        </w:rPr>
        <w:t xml:space="preserve">) under full LODO cross-validation (Supplementary Table S1). Retained features were row-sum renormalized and log-transformed (log₁₀(x + 10</w:t>
      </w:r>
      <w:r>
        <w:rPr>
          <w:rFonts w:ascii="CMU Serif" w:cs="CMU Serif" w:eastAsia="CMU Serif" w:hAnsi="CMU Serif"/>
          <w:sz w:val="24"/>
          <w:szCs w:val="24"/>
          <w:vertAlign w:val="superscript"/>
        </w:rPr>
        <w:t xml:space="preserve">-6</w:t>
      </w:r>
      <w:r>
        <w:rPr>
          <w:rFonts w:ascii="CMU Serif" w:cs="CMU Serif" w:eastAsia="CMU Serif" w:hAnsi="CMU Serif"/>
          <w:sz w:val="24"/>
          <w:szCs w:val="24"/>
        </w:rPr>
        <w:t xml:space="preserve">)) prior to classification. These filters and transforms are applied globally as they constitute a structural definition of the candidate feature space, not a data-driven selection step.</w:t>
      </w:r>
    </w:p>
    <w:p>
      <w:pPr>
        <w:spacing w:after="120" w:before="240" w:line="480"/>
      </w:pPr>
      <w:r>
        <w:rPr>
          <w:rFonts w:ascii="CMU Serif" w:cs="CMU Serif" w:eastAsia="CMU Serif" w:hAnsi="CMU Serif"/>
          <w:b/>
          <w:bCs/>
          <w:i/>
          <w:iCs/>
          <w:sz w:val="24"/>
          <w:szCs w:val="24"/>
        </w:rPr>
        <w:t xml:space="preserve">Pathway abundance</w:t>
      </w:r>
    </w:p>
    <w:p>
      <w:pPr>
        <w:spacing w:after="200" w:line="480"/>
        <w:jc w:val="both"/>
      </w:pPr>
      <w:r>
        <w:rPr>
          <w:rFonts w:ascii="CMU Serif" w:cs="CMU Serif" w:eastAsia="CMU Serif" w:hAnsi="CMU Serif"/>
          <w:sz w:val="24"/>
          <w:szCs w:val="24"/>
        </w:rPr>
        <w:t xml:space="preserve">Functional profiles were obtained from HUMAnN pathway abundance tables. Per-cohort pathway files were concatenated into a single matrix (762 samples × 33,461 pathway features). Only unstratified pathway features (i.e., total community-level pathway abundance, excluding taxon-stratified columns) were retained as candidates for the joint model, yielding 540 candidate columns. A prevalence and mean-abundance filter (prevalence ≥ 10%, mean ≥ 1 × 10</w:t>
      </w:r>
      <w:r>
        <w:rPr>
          <w:rFonts w:ascii="CMU Serif" w:cs="CMU Serif" w:eastAsia="CMU Serif" w:hAnsi="CMU Serif"/>
          <w:sz w:val="24"/>
          <w:szCs w:val="24"/>
          <w:vertAlign w:val="superscript"/>
        </w:rPr>
        <w:t xml:space="preserve">-6</w:t>
      </w:r>
      <w:r>
        <w:rPr>
          <w:rFonts w:ascii="CMU Serif" w:cs="CMU Serif" w:eastAsia="CMU Serif" w:hAnsi="CMU Serif"/>
          <w:sz w:val="24"/>
          <w:szCs w:val="24"/>
        </w:rPr>
        <w:t xml:space="preserve">) was applied inside each leave-one-dataset-out (LODO) cross-validation fold using only the training cohorts, retaining 402 to 406 pathway features per fold (median 651 total features including species). This per-fold filtering avoids information leakage from the held-out test cohort into feature selection. Pathway features were not log-transformed; Random Forest and XGBoost split decisions are scale-invariant per feature, so the asymmetric handling of species and pathway features does not affect the area under the receiver operating characteristic curve (AUC).</w:t>
      </w:r>
    </w:p>
    <w:p>
      <w:pPr>
        <w:pStyle w:val="Heading2"/>
        <w:spacing w:after="200" w:before="360" w:line="480"/>
      </w:pPr>
      <w:r>
        <w:rPr>
          <w:rFonts w:ascii="CMU Serif" w:cs="CMU Serif" w:eastAsia="CMU Serif" w:hAnsi="CMU Serif"/>
          <w:b/>
          <w:bCs/>
          <w:sz w:val="24"/>
          <w:szCs w:val="24"/>
        </w:rPr>
        <w:t xml:space="preserve">Classification</w:t>
      </w:r>
    </w:p>
    <w:p>
      <w:pPr>
        <w:spacing w:after="120" w:before="240" w:line="480"/>
      </w:pPr>
      <w:r>
        <w:rPr>
          <w:rFonts w:ascii="CMU Serif" w:cs="CMU Serif" w:eastAsia="CMU Serif" w:hAnsi="CMU Serif"/>
          <w:b/>
          <w:bCs/>
          <w:i/>
          <w:iCs/>
          <w:sz w:val="24"/>
          <w:szCs w:val="24"/>
        </w:rPr>
        <w:t xml:space="preserve">CRC versus healthy classification</w:t>
      </w:r>
    </w:p>
    <w:p>
      <w:pPr>
        <w:spacing w:after="200" w:line="480"/>
        <w:jc w:val="both"/>
      </w:pPr>
      <w:r>
        <w:rPr>
          <w:rFonts w:ascii="CMU Serif" w:cs="CMU Serif" w:eastAsia="CMU Serif" w:hAnsi="CMU Serif"/>
          <w:sz w:val="24"/>
          <w:szCs w:val="24"/>
        </w:rPr>
        <w:t xml:space="preserve">Binary classification of CRC (n = 326) versus healthy controls (n = 320) was performed using leave-one-dataset-out (LODO) cross-validation, in which each of the seven cohorts was held out in turn as the test set while the remaining six served as training data. This protocol directly evaluates cross-cohort generalization and mirrors the design of Thomas et al. (2019).</w:t>
      </w:r>
    </w:p>
    <w:p>
      <w:pPr>
        <w:spacing w:after="200" w:line="480"/>
        <w:jc w:val="both"/>
      </w:pPr>
      <w:r>
        <w:rPr>
          <w:rFonts w:ascii="CMU Serif" w:cs="CMU Serif" w:eastAsia="CMU Serif" w:hAnsi="CMU Serif"/>
          <w:sz w:val="24"/>
          <w:szCs w:val="24"/>
        </w:rPr>
        <w:t xml:space="preserve">Three models were compared: (1) a species-only Random Forest (RF) baseline, (2) a joint species-plus-pathway RF, and (3) a joint species-plus-pathway XGBoost classifier. Random Forest was configured with 500 trees, max_features = sqrt(p), min_samples_leaf = 5, and class_weight = 'balanced'. XGBoost was configured with 500 trees, max_depth = 6, learning_rate = 0.1, subsample = 0.8, and colsample_bytree = 0.8. Hyperparameters were not tuned via nested cross-validation; this decision is justified by the observation that the joint model did not outperform the species-only baseline (see Results), making further optimization unlikely to alter qualitative conclusions. All models used random_state = 42 for reproducibility.</w:t>
      </w:r>
    </w:p>
    <w:p>
      <w:pPr>
        <w:spacing w:after="200" w:line="480"/>
        <w:jc w:val="both"/>
      </w:pPr>
      <w:r>
        <w:rPr>
          <w:rFonts w:ascii="CMU Serif" w:cs="CMU Serif" w:eastAsia="CMU Serif" w:hAnsi="CMU Serif"/>
          <w:sz w:val="24"/>
          <w:szCs w:val="24"/>
        </w:rPr>
        <w:t xml:space="preserve">Model discrimination was assessed by pooled AUC across all held-out LODO folds (n = 646 samples), with 95% nonparametric bootstrap confidence intervals (2,000 resamples). Per-cohort AUCs and bootstrap CIs are reported in Supplementary Table S2.</w:t>
      </w:r>
    </w:p>
    <w:p>
      <w:pPr>
        <w:spacing w:after="120" w:before="240" w:line="480"/>
      </w:pPr>
      <w:r>
        <w:rPr>
          <w:rFonts w:ascii="CMU Serif" w:cs="CMU Serif" w:eastAsia="CMU Serif" w:hAnsi="CMU Serif"/>
          <w:b/>
          <w:bCs/>
          <w:i/>
          <w:iCs/>
          <w:sz w:val="24"/>
          <w:szCs w:val="24"/>
        </w:rPr>
        <w:t xml:space="preserve">Adenoma classification</w:t>
      </w:r>
    </w:p>
    <w:p>
      <w:pPr>
        <w:spacing w:after="200" w:line="480"/>
        <w:jc w:val="both"/>
      </w:pPr>
      <w:r>
        <w:rPr>
          <w:rFonts w:ascii="CMU Serif" w:cs="CMU Serif" w:eastAsia="CMU Serif" w:hAnsi="CMU Serif"/>
          <w:sz w:val="24"/>
          <w:szCs w:val="24"/>
        </w:rPr>
        <w:t xml:space="preserve">Two binary adenoma tasks were evaluated: healthy versus adenoma (320 controls, 116 adenoma) and adenoma versus CRC (116 adenoma, 326 CRC). Because only three of the seven cohorts contained adenoma samples (FengQ_2015: n = 47; ZellerG_2014: n = 42; ThomasAM_2018a: n = 27; total adenoma n = 116), per-cohort sample sizes were insufficient for stable LODO estimates. These tasks were therefore evaluated using pooled five-fold stratified cross-validation on the joint species-plus-pathway feature set. XGBoost additionally used scale_pos_weight equal to the inverse class ratio, recomputed within each fold from the training labels, to handle class imbalance.</w:t>
      </w:r>
    </w:p>
    <w:p>
      <w:pPr>
        <w:spacing w:after="200" w:line="480"/>
        <w:jc w:val="both"/>
      </w:pPr>
      <w:r>
        <w:rPr>
          <w:rFonts w:ascii="CMU Serif" w:cs="CMU Serif" w:eastAsia="CMU Serif" w:hAnsi="CMU Serif"/>
          <w:sz w:val="24"/>
          <w:szCs w:val="24"/>
        </w:rPr>
        <w:t xml:space="preserve">We note that these adenoma analyses are exploratory and statistically underpowered. With only 116 adenoma samples distributed across three cohorts, effect size estimates carry substantial uncertainty, and the analyses should be interpreted as hypothesis-generating rather than definitive.</w:t>
      </w:r>
    </w:p>
    <w:p>
      <w:pPr>
        <w:spacing w:after="200" w:line="480"/>
        <w:jc w:val="both"/>
      </w:pPr>
      <w:r>
        <w:rPr>
          <w:rFonts w:ascii="CMU Serif" w:cs="CMU Serif" w:eastAsia="CMU Serif" w:hAnsi="CMU Serif"/>
          <w:sz w:val="24"/>
          <w:szCs w:val="24"/>
        </w:rPr>
        <w:t xml:space="preserve">To assess cross-cohort generalization of adenoma classification, a secondary leave-one-cohort-out analysis was conducted across the three adenoma-containing cohorts. This analysis is reported as a robustness check rather than a primary result, given the small per-cohort sample sizes and the known molecular heterogeneity of precancerous adenomas.</w:t>
      </w:r>
    </w:p>
    <w:p>
      <w:pPr>
        <w:pStyle w:val="Heading2"/>
        <w:spacing w:after="200" w:before="360" w:line="480"/>
      </w:pPr>
      <w:r>
        <w:rPr>
          <w:rFonts w:ascii="CMU Serif" w:cs="CMU Serif" w:eastAsia="CMU Serif" w:hAnsi="CMU Serif"/>
          <w:b/>
          <w:bCs/>
          <w:sz w:val="24"/>
          <w:szCs w:val="24"/>
        </w:rPr>
        <w:t xml:space="preserve">Statistical comparison of classifiers</w:t>
      </w:r>
    </w:p>
    <w:p>
      <w:pPr>
        <w:spacing w:after="200" w:line="480"/>
        <w:jc w:val="both"/>
      </w:pPr>
      <w:r>
        <w:rPr>
          <w:rFonts w:ascii="CMU Serif" w:cs="CMU Serif" w:eastAsia="CMU Serif" w:hAnsi="CMU Serif"/>
          <w:sz w:val="24"/>
          <w:szCs w:val="24"/>
        </w:rPr>
        <w:t xml:space="preserve">Model performance was compared using three complementary approaches. First, per-cohort AUC differences across the seven LODO folds were assessed by paired t-test (with degrees of freedom = 6) and Wilcoxon signed-rank test, with 95% bootstrap confidence intervals on the mean difference (10,000 resamples). These per-cohort paired tests have limited statistical power due to the small number of paired observations (n = 7 folds).</w:t>
      </w:r>
    </w:p>
    <w:p>
      <w:pPr>
        <w:spacing w:after="200" w:line="480"/>
        <w:jc w:val="both"/>
      </w:pPr>
      <w:r>
        <w:rPr>
          <w:rFonts w:ascii="CMU Serif" w:cs="CMU Serif" w:eastAsia="CMU Serif" w:hAnsi="CMU Serif"/>
          <w:sz w:val="24"/>
          <w:szCs w:val="24"/>
        </w:rPr>
        <w:t xml:space="preserve">Second, the DeLong test (DeLong et al. 1988; Sun and Xu 2014) was applied to pooled held-out predictions (n = 646 CRC and healthy samples), comparing the receiver operating characteristic (ROC) curves of each classifier pair on the same set of sample-level predictions. The DeLong test has substantially greater statistical power than per-cohort paired tests and directly evaluates whether overall sample-level discrimination differs between classifiers. All DeLong z-statistics and two-sided p-values are reported in the Results.</w:t>
      </w:r>
    </w:p>
    <w:p>
      <w:pPr>
        <w:spacing w:after="200" w:line="480"/>
        <w:jc w:val="both"/>
      </w:pPr>
      <w:r>
        <w:rPr>
          <w:rFonts w:ascii="CMU Serif" w:cs="CMU Serif" w:eastAsia="CMU Serif" w:hAnsi="CMU Serif"/>
          <w:sz w:val="24"/>
          <w:szCs w:val="24"/>
        </w:rPr>
        <w:t xml:space="preserve">Per-sample predictions from each LODO fold were saved in long format (sample_id, cohort, y_true, y_prob) to enable post hoc DeLong comparisons without re-running the classifiers.</w:t>
      </w:r>
    </w:p>
    <w:p>
      <w:pPr>
        <w:pStyle w:val="Heading2"/>
        <w:spacing w:after="200" w:before="360" w:line="480"/>
      </w:pPr>
      <w:r>
        <w:rPr>
          <w:rFonts w:ascii="CMU Serif" w:cs="CMU Serif" w:eastAsia="CMU Serif" w:hAnsi="CMU Serif"/>
          <w:b/>
          <w:bCs/>
          <w:sz w:val="24"/>
          <w:szCs w:val="24"/>
        </w:rPr>
        <w:t xml:space="preserve">Feature importance</w:t>
      </w:r>
    </w:p>
    <w:p>
      <w:pPr>
        <w:spacing w:after="200" w:line="480"/>
        <w:jc w:val="both"/>
      </w:pPr>
      <w:r>
        <w:rPr>
          <w:rFonts w:ascii="CMU Serif" w:cs="CMU Serif" w:eastAsia="CMU Serif" w:hAnsi="CMU Serif"/>
          <w:sz w:val="24"/>
          <w:szCs w:val="24"/>
        </w:rPr>
        <w:t xml:space="preserve">Feature contributions were quantified using SHAP (SHapley Additive exPlanations; Lundberg and Lee 2017) values, computed on the joint RF, joint XGBoost, and adenoma classifiers. SHAP values provide a unified measure of each feature's contribution to individual predictions, accounting for feature interactions. The top 20 features by mean absolute SHAP value were compared across RF and XGBoost to assess concordance between model architectures.</w:t>
      </w:r>
    </w:p>
    <w:p>
      <w:pPr>
        <w:pStyle w:val="Heading2"/>
        <w:spacing w:after="200" w:before="360" w:line="480"/>
      </w:pPr>
      <w:r>
        <w:rPr>
          <w:rFonts w:ascii="CMU Serif" w:cs="CMU Serif" w:eastAsia="CMU Serif" w:hAnsi="CMU Serif"/>
          <w:b/>
          <w:bCs/>
          <w:sz w:val="24"/>
          <w:szCs w:val="24"/>
        </w:rPr>
        <w:t xml:space="preserve">Robustness and sensitivity analyses</w:t>
      </w:r>
    </w:p>
    <w:p>
      <w:pPr>
        <w:spacing w:after="120" w:before="240" w:line="480"/>
      </w:pPr>
      <w:r>
        <w:rPr>
          <w:rFonts w:ascii="CMU Serif" w:cs="CMU Serif" w:eastAsia="CMU Serif" w:hAnsi="CMU Serif"/>
          <w:b/>
          <w:bCs/>
          <w:i/>
          <w:iCs/>
          <w:sz w:val="24"/>
          <w:szCs w:val="24"/>
        </w:rPr>
        <w:t xml:space="preserve">Filter threshold sensitivity</w:t>
      </w:r>
    </w:p>
    <w:p>
      <w:pPr>
        <w:spacing w:after="200" w:line="480"/>
        <w:jc w:val="both"/>
      </w:pPr>
      <w:r>
        <w:rPr>
          <w:rFonts w:ascii="CMU Serif" w:cs="CMU Serif" w:eastAsia="CMU Serif" w:hAnsi="CMU Serif"/>
          <w:sz w:val="24"/>
          <w:szCs w:val="24"/>
        </w:rPr>
        <w:t xml:space="preserve">To assess the sensitivity of classification performance to pathway feature selection thresholds, we performed a grid search over prevalence cutoffs (0.05, 0.10, 0.15, 0.20, 0.25) and mean-abundance cutoffs (10</w:t>
      </w:r>
      <w:r>
        <w:rPr>
          <w:rFonts w:ascii="CMU Serif" w:cs="CMU Serif" w:eastAsia="CMU Serif" w:hAnsi="CMU Serif"/>
          <w:sz w:val="24"/>
          <w:szCs w:val="24"/>
          <w:vertAlign w:val="superscript"/>
        </w:rPr>
        <w:t xml:space="preserve">-7</w:t>
      </w:r>
      <w:r>
        <w:rPr>
          <w:rFonts w:ascii="CMU Serif" w:cs="CMU Serif" w:eastAsia="CMU Serif" w:hAnsi="CMU Serif"/>
          <w:sz w:val="24"/>
          <w:szCs w:val="24"/>
        </w:rPr>
        <w:t xml:space="preserve">, 10</w:t>
      </w:r>
      <w:r>
        <w:rPr>
          <w:rFonts w:ascii="CMU Serif" w:cs="CMU Serif" w:eastAsia="CMU Serif" w:hAnsi="CMU Serif"/>
          <w:sz w:val="24"/>
          <w:szCs w:val="24"/>
          <w:vertAlign w:val="superscript"/>
        </w:rPr>
        <w:t xml:space="preserve">-6</w:t>
      </w:r>
      <w:r>
        <w:rPr>
          <w:rFonts w:ascii="CMU Serif" w:cs="CMU Serif" w:eastAsia="CMU Serif" w:hAnsi="CMU Serif"/>
          <w:sz w:val="24"/>
          <w:szCs w:val="24"/>
        </w:rPr>
        <w:t xml:space="preserve">, 10</w:t>
      </w:r>
      <w:r>
        <w:rPr>
          <w:rFonts w:ascii="CMU Serif" w:cs="CMU Serif" w:eastAsia="CMU Serif" w:hAnsi="CMU Serif"/>
          <w:sz w:val="24"/>
          <w:szCs w:val="24"/>
          <w:vertAlign w:val="superscript"/>
        </w:rPr>
        <w:t xml:space="preserve">-5</w:t>
      </w:r>
      <w:r>
        <w:rPr>
          <w:rFonts w:ascii="CMU Serif" w:cs="CMU Serif" w:eastAsia="CMU Serif" w:hAnsi="CMU Serif"/>
          <w:sz w:val="24"/>
          <w:szCs w:val="24"/>
        </w:rPr>
        <w:t xml:space="preserve">, 10</w:t>
      </w:r>
      <w:r>
        <w:rPr>
          <w:rFonts w:ascii="CMU Serif" w:cs="CMU Serif" w:eastAsia="CMU Serif" w:hAnsi="CMU Serif"/>
          <w:sz w:val="24"/>
          <w:szCs w:val="24"/>
          <w:vertAlign w:val="superscript"/>
        </w:rPr>
        <w:t xml:space="preserve">-4</w:t>
      </w:r>
      <w:r>
        <w:rPr>
          <w:rFonts w:ascii="CMU Serif" w:cs="CMU Serif" w:eastAsia="CMU Serif" w:hAnsi="CMU Serif"/>
          <w:sz w:val="24"/>
          <w:szCs w:val="24"/>
        </w:rPr>
        <w:t xml:space="preserve">), evaluating the species-plus-pathway RF under LODO cross-validation at each of the 20 threshold combinations. Results are reported in Supplementary Table S1.</w:t>
      </w:r>
    </w:p>
    <w:p>
      <w:pPr>
        <w:spacing w:after="120" w:before="240" w:line="480"/>
      </w:pPr>
      <w:r>
        <w:rPr>
          <w:rFonts w:ascii="CMU Serif" w:cs="CMU Serif" w:eastAsia="CMU Serif" w:hAnsi="CMU Serif"/>
          <w:b/>
          <w:bCs/>
          <w:i/>
          <w:iCs/>
          <w:sz w:val="24"/>
          <w:szCs w:val="24"/>
        </w:rPr>
        <w:t xml:space="preserve">Confounder assessment</w:t>
      </w:r>
    </w:p>
    <w:p>
      <w:pPr>
        <w:spacing w:after="200" w:line="480"/>
        <w:jc w:val="both"/>
      </w:pPr>
      <w:r>
        <w:rPr>
          <w:rFonts w:ascii="CMU Serif" w:cs="CMU Serif" w:eastAsia="CMU Serif" w:hAnsi="CMU Serif"/>
          <w:sz w:val="24"/>
          <w:szCs w:val="24"/>
        </w:rPr>
        <w:t xml:space="preserve">To evaluate whether age, sex, or BMI confounded the CRC classifier, two approaches were tested: (1) direct inclusion of covariates as additional features alongside species abundances, and (2) residualization, in which each species feature was regressed on the covariates via ordinary least squares, and the residuals were used for classification. In both approaches, missing covariate values were imputed per fold using training-set medians (age, BMI) or modes (sex) to prevent information leakage from test-fold samples.</w:t>
      </w:r>
    </w:p>
    <w:p>
      <w:pPr>
        <w:spacing w:after="120" w:before="240" w:line="480"/>
      </w:pPr>
      <w:r>
        <w:rPr>
          <w:rFonts w:ascii="CMU Serif" w:cs="CMU Serif" w:eastAsia="CMU Serif" w:hAnsi="CMU Serif"/>
          <w:b/>
          <w:bCs/>
          <w:i/>
          <w:iCs/>
          <w:sz w:val="24"/>
          <w:szCs w:val="24"/>
        </w:rPr>
        <w:t xml:space="preserve">Random seed stability</w:t>
      </w:r>
    </w:p>
    <w:p>
      <w:pPr>
        <w:spacing w:after="200" w:line="480"/>
        <w:jc w:val="both"/>
      </w:pPr>
      <w:r>
        <w:rPr>
          <w:rFonts w:ascii="CMU Serif" w:cs="CMU Serif" w:eastAsia="CMU Serif" w:hAnsi="CMU Serif"/>
          <w:sz w:val="24"/>
          <w:szCs w:val="24"/>
        </w:rPr>
        <w:t xml:space="preserve">The species-only RF LODO was repeated at five random seeds (0, 1, 2, 42, 100) to confirm that AUC estimates were not sensitive to the stochastic components of the Random Forest algorithm.</w:t>
      </w:r>
    </w:p>
    <w:p>
      <w:pPr>
        <w:spacing w:after="120" w:before="240" w:line="480"/>
      </w:pPr>
      <w:r>
        <w:rPr>
          <w:rFonts w:ascii="CMU Serif" w:cs="CMU Serif" w:eastAsia="CMU Serif" w:hAnsi="CMU Serif"/>
          <w:b/>
          <w:bCs/>
          <w:i/>
          <w:iCs/>
          <w:sz w:val="24"/>
          <w:szCs w:val="24"/>
        </w:rPr>
        <w:t xml:space="preserve">Bootstrap confidence intervals</w:t>
      </w:r>
    </w:p>
    <w:p>
      <w:pPr>
        <w:spacing w:after="200" w:line="480"/>
        <w:jc w:val="both"/>
      </w:pPr>
      <w:r>
        <w:rPr>
          <w:rFonts w:ascii="CMU Serif" w:cs="CMU Serif" w:eastAsia="CMU Serif" w:hAnsi="CMU Serif"/>
          <w:sz w:val="24"/>
          <w:szCs w:val="24"/>
        </w:rPr>
        <w:t xml:space="preserve">Nonparametric bootstrap 95% confidence intervals were computed on per-cohort and pooled AUCs for all three CRC classifiers (species RF, joint RF, joint XGBoost) using 2,000 bootstrap resamples per estimate (Supplementary Table S2).</w:t>
      </w:r>
    </w:p>
    <w:p>
      <w:pPr>
        <w:spacing w:after="120" w:before="240" w:line="480"/>
      </w:pPr>
      <w:r>
        <w:rPr>
          <w:rFonts w:ascii="CMU Serif" w:cs="CMU Serif" w:eastAsia="CMU Serif" w:hAnsi="CMU Serif"/>
          <w:b/>
          <w:bCs/>
          <w:i/>
          <w:iCs/>
          <w:sz w:val="24"/>
          <w:szCs w:val="24"/>
        </w:rPr>
        <w:t xml:space="preserve">Batch effect correction</w:t>
      </w:r>
    </w:p>
    <w:p>
      <w:pPr>
        <w:spacing w:after="200" w:line="480"/>
        <w:jc w:val="both"/>
      </w:pPr>
      <w:r>
        <w:rPr>
          <w:rFonts w:ascii="CMU Serif" w:cs="CMU Serif" w:eastAsia="CMU Serif" w:hAnsi="CMU Serif"/>
          <w:sz w:val="24"/>
          <w:szCs w:val="24"/>
        </w:rPr>
        <w:t xml:space="preserve">To assess the impact of study-level batch effects, per-fold ComBat correction (Johnson et al. 2007) was applied to species features within the training cohorts of each LODO fold. Because each test fold comprises a single cohort, no batch correction was applied to test-fold data; ComBat requires at least two batches to estimate parameters. This analysis uses the pycombat Python implementation.</w:t>
      </w:r>
    </w:p>
    <w:p>
      <w:pPr>
        <w:pStyle w:val="Heading2"/>
        <w:spacing w:after="200" w:before="360" w:line="480"/>
      </w:pPr>
      <w:r>
        <w:rPr>
          <w:rFonts w:ascii="CMU Serif" w:cs="CMU Serif" w:eastAsia="CMU Serif" w:hAnsi="CMU Serif"/>
          <w:b/>
          <w:bCs/>
          <w:sz w:val="24"/>
          <w:szCs w:val="24"/>
        </w:rPr>
        <w:t xml:space="preserve">Software and reproducibility</w:t>
      </w:r>
    </w:p>
    <w:p>
      <w:pPr>
        <w:spacing w:after="200" w:line="480"/>
        <w:jc w:val="both"/>
      </w:pPr>
      <w:r>
        <w:rPr>
          <w:rFonts w:ascii="CMU Serif" w:cs="CMU Serif" w:eastAsia="CMU Serif" w:hAnsi="CMU Serif"/>
          <w:sz w:val="24"/>
          <w:szCs w:val="24"/>
        </w:rPr>
        <w:t xml:space="preserve">All classification and statistical analyses were implemented in Python (version recorded in the repository's environment specification) using scikit-learn 1.4.2 (Pedregosa et al. 2011), XGBoost 2.0.3 (Chen and Guestrin 2016), SHAP 0.44.1 (Lundberg and Lee 2017), pandas 2.2.3, NumPy 1.26.4, SciPy 1.12.0, and matplotlib 3.8.5. Exact Python package versions are pinned in requirements.lock. Data extraction was performed in R using curatedMetagenomicData (Pasolli et al. 2017) via Bioconductor; the R version, Bioconductor version, and curatedMetagenomicData version used for data extraction are recorded in the repository's session_info.txt file. All scripts use a fixed random seed (random_state = 42) and produce deterministic results. A verification script (verify_results.py) asserts that headline AUC values match expected values within a tolerance of 0.002.</w:t>
      </w:r>
    </w:p>
    <w:p>
      <w:pPr>
        <w:pStyle w:val="Heading2"/>
        <w:spacing w:after="200" w:before="360" w:line="480"/>
      </w:pPr>
      <w:r>
        <w:rPr>
          <w:rFonts w:ascii="CMU Serif" w:cs="CMU Serif" w:eastAsia="CMU Serif" w:hAnsi="CMU Serif"/>
          <w:b/>
          <w:bCs/>
          <w:sz w:val="24"/>
          <w:szCs w:val="24"/>
        </w:rPr>
        <w:t xml:space="preserve">Data availability</w:t>
      </w:r>
    </w:p>
    <w:p>
      <w:pPr>
        <w:spacing w:after="200" w:line="480"/>
        <w:jc w:val="both"/>
      </w:pPr>
      <w:r>
        <w:rPr>
          <w:rFonts w:ascii="CMU Serif" w:cs="CMU Serif" w:eastAsia="CMU Serif" w:hAnsi="CMU Serif"/>
          <w:sz w:val="24"/>
          <w:szCs w:val="24"/>
        </w:rPr>
        <w:t xml:space="preserve">All metagenomic data used in this study are publicly available through curatedMetagenomicData via Bioconductor. The seven cohort datasets were retrieved using the </w:t>
      </w:r>
      <w:r>
        <w:rPr>
          <w:rFonts w:ascii="CMU Serif" w:cs="CMU Serif" w:eastAsia="CMU Serif" w:hAnsi="CMU Serif"/>
          <w:i/>
          <w:iCs/>
          <w:sz w:val="24"/>
          <w:szCs w:val="24"/>
        </w:rPr>
        <w:t xml:space="preserve">returnSamples()</w:t>
      </w:r>
      <w:r>
        <w:rPr>
          <w:rFonts w:ascii="CMU Serif" w:cs="CMU Serif" w:eastAsia="CMU Serif" w:hAnsi="CMU Serif"/>
          <w:sz w:val="24"/>
          <w:szCs w:val="24"/>
        </w:rPr>
        <w:t xml:space="preserve"> function with study identifiers FengQ_2015, YuJ_2015, VogtmannE_2016, ZellerG_2014, ThomasAM_2018a, ThomasAM_2018b, and ThomasAM_2019_c, filtering for samples annotated as CRC, adenoma, or control. No novel sequencing data were generated.</w:t>
      </w:r>
    </w:p>
    <w:p>
      <w:pPr>
        <w:spacing w:after="200" w:line="480"/>
        <w:jc w:val="both"/>
      </w:pPr>
      <w:r>
        <w:rPr>
          <w:rFonts w:ascii="CMU Serif" w:cs="CMU Serif" w:eastAsia="CMU Serif" w:hAnsi="CMU Serif"/>
          <w:sz w:val="24"/>
          <w:szCs w:val="24"/>
        </w:rPr>
        <w:t xml:space="preserve">The complete analysis pipeline is deposited at https://github.com/alejandro-publius/crc-metagenomics. The repository contains: all classification and robustness analysis scripts; per-sample LODO predictions in long format; SHAP feature importance tables; processed feature matrices; the decision log documenting all analytical choices; pinned Python dependencies (requirements.lock); and R session information (session_info.txt). Trained model objects are not included; all results can be reproduced from the deposited scripts and publicly available input data within approximately 30 minutes on a standard workstation.</w:t>
      </w:r>
    </w:p>
    <w:p>
      <w:r>
        <w:br w:type="page"/>
      </w:r>
    </w:p>
    <w:p>
      <w:pPr>
        <w:spacing w:after="400" w:line="480"/>
        <w:jc w:val="center"/>
      </w:pPr>
      <w:r>
        <w:rPr>
          <w:rFonts w:ascii="CMU Serif" w:cs="CMU Serif" w:eastAsia="CMU Serif" w:hAnsi="CMU Serif"/>
          <w:b/>
          <w:bCs/>
          <w:sz w:val="28"/>
          <w:szCs w:val="28"/>
        </w:rPr>
        <w:t xml:space="preserve">Results</w:t>
      </w:r>
    </w:p>
    <w:p>
      <w:pPr>
        <w:pStyle w:val="Heading2"/>
        <w:spacing w:after="200" w:before="360" w:line="480"/>
      </w:pPr>
      <w:r>
        <w:rPr>
          <w:rFonts w:ascii="CMU Serif" w:cs="CMU Serif" w:eastAsia="CMU Serif" w:hAnsi="CMU Serif"/>
          <w:b/>
          <w:bCs/>
          <w:sz w:val="24"/>
          <w:szCs w:val="24"/>
        </w:rPr>
        <w:t xml:space="preserve">CRC versus healthy classification</w:t>
      </w:r>
    </w:p>
    <w:p>
      <w:pPr>
        <w:spacing w:after="200" w:line="480"/>
        <w:jc w:val="both"/>
      </w:pPr>
      <w:r>
        <w:rPr>
          <w:rFonts w:ascii="CMU Serif" w:cs="CMU Serif" w:eastAsia="CMU Serif" w:hAnsi="CMU Serif"/>
          <w:sz w:val="24"/>
          <w:szCs w:val="24"/>
        </w:rPr>
        <w:t xml:space="preserve">The species-only RF achieved a pooled LODO AUC of 0.810 (95% CI: 0.777 to 0.841), with per-cohort AUCs ranging from 0.730 (VogtmannE_2016; 95% CI: 0.629 to 0.823) to 0.868 (YuJ_2015; 95% CI: 0.798 to 0.930). The joint species-plus-pathway RF achieved a pooled AUC of 0.776 (95% CI: 0.739 to 0.811), and the joint XGBoost achieved a pooled AUC of 0.781 (95% CI: 0.745 to 0.816). Per-cohort AUCs and bootstrap confidence intervals for all three models are reported in Supplementary Table S2.</w:t>
      </w:r>
    </w:p>
    <w:p>
      <w:pPr>
        <w:spacing w:after="200" w:line="480"/>
        <w:jc w:val="both"/>
      </w:pPr>
      <w:r>
        <w:rPr>
          <w:rFonts w:ascii="CMU Serif" w:cs="CMU Serif" w:eastAsia="CMU Serif" w:hAnsi="CMU Serif"/>
          <w:sz w:val="24"/>
          <w:szCs w:val="24"/>
        </w:rPr>
        <w:t xml:space="preserve">Seed sensitivity analysis confirmed that the species RF pooled AUC was stable across five random seeds (0, 1, 2, 42, 100): mean 0.805 ± 0.002 (SD), range 0.804 to 0.808.</w:t>
      </w:r>
    </w:p>
    <w:p>
      <w:pPr>
        <w:pStyle w:val="Heading2"/>
        <w:spacing w:after="200" w:before="360" w:line="480"/>
      </w:pPr>
      <w:r>
        <w:rPr>
          <w:rFonts w:ascii="CMU Serif" w:cs="CMU Serif" w:eastAsia="CMU Serif" w:hAnsi="CMU Serif"/>
          <w:b/>
          <w:bCs/>
          <w:sz w:val="24"/>
          <w:szCs w:val="24"/>
        </w:rPr>
        <w:t xml:space="preserve">Statistical comparison of classifiers</w:t>
      </w:r>
    </w:p>
    <w:p>
      <w:pPr>
        <w:spacing w:after="200" w:line="480"/>
        <w:jc w:val="both"/>
      </w:pPr>
      <w:r>
        <w:rPr>
          <w:rFonts w:ascii="CMU Serif" w:cs="CMU Serif" w:eastAsia="CMU Serif" w:hAnsi="CMU Serif"/>
          <w:sz w:val="24"/>
          <w:szCs w:val="24"/>
        </w:rPr>
        <w:t xml:space="preserve">The DeLong test on pooled held-out predictions (n = 646) indicated that the species-only RF significantly outperformed both joint models: species RF versus joint RF, z = 2.88, p = 0.004; species RF versus joint XGBoost, z = 2.65, p = 0.008. The joint XGBoost and joint RF did not differ significantly from each other (z = 0.53, p = 0.596). Per-cohort paired t-tests lacked power to detect these differences: species RF versus joint RF, t(6) = 0.77, p = 0.47; species RF versus joint XGBoost, t(6) = 1.44, p = 0.20.</w:t>
      </w:r>
    </w:p>
    <w:p>
      <w:pPr>
        <w:pStyle w:val="Heading2"/>
        <w:spacing w:after="200" w:before="360" w:line="480"/>
      </w:pPr>
      <w:r>
        <w:rPr>
          <w:rFonts w:ascii="CMU Serif" w:cs="CMU Serif" w:eastAsia="CMU Serif" w:hAnsi="CMU Serif"/>
          <w:b/>
          <w:bCs/>
          <w:sz w:val="24"/>
          <w:szCs w:val="24"/>
        </w:rPr>
        <w:t xml:space="preserve">Adenoma classification</w:t>
      </w:r>
    </w:p>
    <w:p>
      <w:pPr>
        <w:spacing w:after="200" w:line="480"/>
        <w:jc w:val="both"/>
      </w:pPr>
      <w:r>
        <w:rPr>
          <w:rFonts w:ascii="CMU Serif" w:cs="CMU Serif" w:eastAsia="CMU Serif" w:hAnsi="CMU Serif"/>
          <w:sz w:val="24"/>
          <w:szCs w:val="24"/>
        </w:rPr>
        <w:t xml:space="preserve">Under pooled five-fold stratified cross-validation, the healthy-versus-adenoma task yielded AUCs of 0.681 (RF) and 0.709 (XGBoost); the adenoma-versus-CRC task yielded AUCs of 0.787 (RF) and 0.809 (XGBoost). The secondary cross-cohort LODO analysis across the three adenoma-containing cohorts showed substantially lower performance: healthy-versus-adenoma AUCs ranged from 0.58 to 0.62, and adenoma-versus-CRC AUCs ranged from 0.67 to 0.69. This degradation is consistent with the small per-cohort sample sizes (n = 27 to 47 adenoma per cohort) and the known molecular heterogeneity of precancerous adenomas.</w:t>
      </w:r>
    </w:p>
    <w:p>
      <w:pPr>
        <w:pStyle w:val="Heading2"/>
        <w:spacing w:after="200" w:before="360" w:line="480"/>
      </w:pPr>
      <w:r>
        <w:rPr>
          <w:rFonts w:ascii="CMU Serif" w:cs="CMU Serif" w:eastAsia="CMU Serif" w:hAnsi="CMU Serif"/>
          <w:b/>
          <w:bCs/>
          <w:sz w:val="24"/>
          <w:szCs w:val="24"/>
        </w:rPr>
        <w:t xml:space="preserve">Confounder assessment</w:t>
      </w:r>
    </w:p>
    <w:p>
      <w:pPr>
        <w:spacing w:after="200" w:line="480"/>
        <w:jc w:val="both"/>
      </w:pPr>
      <w:r>
        <w:rPr>
          <w:rFonts w:ascii="CMU Serif" w:cs="CMU Serif" w:eastAsia="CMU Serif" w:hAnsi="CMU Serif"/>
          <w:sz w:val="24"/>
          <w:szCs w:val="24"/>
        </w:rPr>
        <w:t xml:space="preserve">Inclusion of age, sex, and BMI as covariates produced minimal change relative to the species-only baseline (pooled AUC 0.803): direct inclusion yielded AUC 0.808 (RF) and 0.812 (XGBoost); residualization yielded AUC 0.807 (RF) and 0.799 (XGBoost). These results confirm that the classifier's discriminative capacity is not driven by demographic confounders.</w:t>
      </w:r>
    </w:p>
    <w:p>
      <w:pPr>
        <w:pStyle w:val="Heading2"/>
        <w:spacing w:after="200" w:before="360" w:line="480"/>
      </w:pPr>
      <w:r>
        <w:rPr>
          <w:rFonts w:ascii="CMU Serif" w:cs="CMU Serif" w:eastAsia="CMU Serif" w:hAnsi="CMU Serif"/>
          <w:b/>
          <w:bCs/>
          <w:sz w:val="24"/>
          <w:szCs w:val="24"/>
        </w:rPr>
        <w:t xml:space="preserve">Filter threshold sensitivity</w:t>
      </w:r>
    </w:p>
    <w:p>
      <w:pPr>
        <w:spacing w:after="200" w:line="480"/>
        <w:jc w:val="both"/>
      </w:pPr>
      <w:r>
        <w:rPr>
          <w:rFonts w:ascii="CMU Serif" w:cs="CMU Serif" w:eastAsia="CMU Serif" w:hAnsi="CMU Serif"/>
          <w:sz w:val="24"/>
          <w:szCs w:val="24"/>
        </w:rPr>
        <w:t xml:space="preserve">Across the 20-combination threshold grid, the species-plus-pathway RF LODO AUC ranged from 0.773 to 0.789 (spread = 0.016), confirming that the default thresholds (prevalence ≥ 10%, mean ≥ 1 × 10</w:t>
      </w:r>
      <w:r>
        <w:rPr>
          <w:rFonts w:ascii="CMU Serif" w:cs="CMU Serif" w:eastAsia="CMU Serif" w:hAnsi="CMU Serif"/>
          <w:sz w:val="24"/>
          <w:szCs w:val="24"/>
          <w:vertAlign w:val="superscript"/>
        </w:rPr>
        <w:t xml:space="preserve">-6</w:t>
      </w:r>
      <w:r>
        <w:rPr>
          <w:rFonts w:ascii="CMU Serif" w:cs="CMU Serif" w:eastAsia="CMU Serif" w:hAnsi="CMU Serif"/>
          <w:sz w:val="24"/>
          <w:szCs w:val="24"/>
        </w:rPr>
        <w:t xml:space="preserve">) are near-optimal and that qualitative conclusions are not sensitive to the specific cutoffs chosen (Supplementary Table S1).</w:t>
      </w:r>
    </w:p>
    <w:p>
      <w:pPr>
        <w:pStyle w:val="Heading2"/>
        <w:spacing w:after="200" w:before="360" w:line="480"/>
      </w:pPr>
      <w:r>
        <w:rPr>
          <w:rFonts w:ascii="CMU Serif" w:cs="CMU Serif" w:eastAsia="CMU Serif" w:hAnsi="CMU Serif"/>
          <w:b/>
          <w:bCs/>
          <w:sz w:val="24"/>
          <w:szCs w:val="24"/>
        </w:rPr>
        <w:t xml:space="preserve">Feature importance</w:t>
      </w:r>
    </w:p>
    <w:p>
      <w:pPr>
        <w:spacing w:after="200" w:line="480"/>
        <w:jc w:val="both"/>
      </w:pPr>
      <w:r>
        <w:rPr>
          <w:rFonts w:ascii="CMU Serif" w:cs="CMU Serif" w:eastAsia="CMU Serif" w:hAnsi="CMU Serif"/>
          <w:sz w:val="24"/>
          <w:szCs w:val="24"/>
        </w:rPr>
        <w:t xml:space="preserve">SHAP analysis identified </w:t>
      </w:r>
      <w:r>
        <w:rPr>
          <w:rFonts w:ascii="CMU Serif" w:cs="CMU Serif" w:eastAsia="CMU Serif" w:hAnsi="CMU Serif"/>
          <w:i/>
          <w:iCs/>
          <w:sz w:val="24"/>
          <w:szCs w:val="24"/>
        </w:rPr>
        <w:t xml:space="preserve">Parvimonas micra</w:t>
      </w:r>
      <w:r>
        <w:rPr>
          <w:rFonts w:ascii="CMU Serif" w:cs="CMU Serif" w:eastAsia="CMU Serif" w:hAnsi="CMU Serif"/>
          <w:sz w:val="24"/>
          <w:szCs w:val="24"/>
        </w:rPr>
        <w:t xml:space="preserve">, </w:t>
      </w:r>
      <w:r>
        <w:rPr>
          <w:rFonts w:ascii="CMU Serif" w:cs="CMU Serif" w:eastAsia="CMU Serif" w:hAnsi="CMU Serif"/>
          <w:i/>
          <w:iCs/>
          <w:sz w:val="24"/>
          <w:szCs w:val="24"/>
        </w:rPr>
        <w:t xml:space="preserve">Peptostreptococcus stomatis</w:t>
      </w:r>
      <w:r>
        <w:rPr>
          <w:rFonts w:ascii="CMU Serif" w:cs="CMU Serif" w:eastAsia="CMU Serif" w:hAnsi="CMU Serif"/>
          <w:sz w:val="24"/>
          <w:szCs w:val="24"/>
        </w:rPr>
        <w:t xml:space="preserve">, </w:t>
      </w:r>
      <w:r>
        <w:rPr>
          <w:rFonts w:ascii="CMU Serif" w:cs="CMU Serif" w:eastAsia="CMU Serif" w:hAnsi="CMU Serif"/>
          <w:i/>
          <w:iCs/>
          <w:sz w:val="24"/>
          <w:szCs w:val="24"/>
        </w:rPr>
        <w:t xml:space="preserve">Gemella morbillorum</w:t>
      </w:r>
      <w:r>
        <w:rPr>
          <w:rFonts w:ascii="CMU Serif" w:cs="CMU Serif" w:eastAsia="CMU Serif" w:hAnsi="CMU Serif"/>
          <w:sz w:val="24"/>
          <w:szCs w:val="24"/>
        </w:rPr>
        <w:t xml:space="preserve">, and </w:t>
      </w:r>
      <w:r>
        <w:rPr>
          <w:rFonts w:ascii="CMU Serif" w:cs="CMU Serif" w:eastAsia="CMU Serif" w:hAnsi="CMU Serif"/>
          <w:i/>
          <w:iCs/>
          <w:sz w:val="24"/>
          <w:szCs w:val="24"/>
        </w:rPr>
        <w:t xml:space="preserve">Fusobacterium nucleatum</w:t>
      </w:r>
      <w:r>
        <w:rPr>
          <w:rFonts w:ascii="CMU Serif" w:cs="CMU Serif" w:eastAsia="CMU Serif" w:hAnsi="CMU Serif"/>
          <w:sz w:val="24"/>
          <w:szCs w:val="24"/>
        </w:rPr>
        <w:t xml:space="preserve"> as the four most important species for CRC classification in the Random Forest model (Figure 3). The top four features were identical across RF and XGBoost, although their rank order differed (</w:t>
      </w:r>
      <w:r>
        <w:rPr>
          <w:rFonts w:ascii="CMU Serif" w:cs="CMU Serif" w:eastAsia="CMU Serif" w:hAnsi="CMU Serif"/>
          <w:i/>
          <w:iCs/>
          <w:sz w:val="24"/>
          <w:szCs w:val="24"/>
        </w:rPr>
        <w:t xml:space="preserve">Gemella morbillorum</w:t>
      </w:r>
      <w:r>
        <w:rPr>
          <w:rFonts w:ascii="CMU Serif" w:cs="CMU Serif" w:eastAsia="CMU Serif" w:hAnsi="CMU Serif"/>
          <w:sz w:val="24"/>
          <w:szCs w:val="24"/>
        </w:rPr>
        <w:t xml:space="preserve"> ranked first in XGBoost versus third in RF). Of the top 15 features by mean absolute SHAP value, 8 were shared between RF and XGBoost, indicating substantial concordance in the biological signal captured by both model architectures despite differences in learning algorithms. The XGBoost top 15 additionally included two pathway features (PWY-6588: pyruvate fermentation to acetone; PWY-6263: superpathway of menaquinol-8 biosynthesis II), consistent with the joint model's access to pathway features but reinforcing that species features dominate the discriminative signal.</w:t>
      </w:r>
    </w:p>
    <w:p>
      <w:r>
        <w:br w:type="page"/>
      </w:r>
    </w:p>
    <w:p>
      <w:pPr>
        <w:spacing w:after="400" w:line="480"/>
        <w:jc w:val="center"/>
      </w:pPr>
      <w:r>
        <w:rPr>
          <w:rFonts w:ascii="CMU Serif" w:cs="CMU Serif" w:eastAsia="CMU Serif" w:hAnsi="CMU Serif"/>
          <w:b/>
          <w:bCs/>
          <w:sz w:val="28"/>
          <w:szCs w:val="28"/>
        </w:rPr>
        <w:t xml:space="preserve">Discussion</w:t>
      </w:r>
    </w:p>
    <w:p>
      <w:pPr>
        <w:spacing w:after="200" w:line="480"/>
        <w:jc w:val="both"/>
      </w:pPr>
      <w:r>
        <w:rPr>
          <w:rFonts w:ascii="CMU Serif" w:cs="CMU Serif" w:eastAsia="CMU Serif" w:hAnsi="CMU Serif"/>
          <w:sz w:val="24"/>
          <w:szCs w:val="24"/>
        </w:rPr>
        <w:t xml:space="preserve">We performed a rigorous re-evaluation of the Thomas et al. (2019) multi-cohort CRC classification framework, applying modern statistical methodology and a comprehensive robustness battery to the original seven-cohort dataset. Our central finding is that species-level taxonomic features alone significantly outperform joint species-plus-pathway models under leave-one-dataset-out cross-validation (DeLong z = 2.88, p = 0.004 vs. joint Random Forest; z = 2.65, p = 0.008 vs. joint XGBoost; n = 646). This result was stable across random seeds, filter threshold settings, and confounder adjustments, and was not attributable to demographic confounding by age, sex, or BMI.</w:t>
      </w:r>
    </w:p>
    <w:p>
      <w:pPr>
        <w:pStyle w:val="Heading2"/>
        <w:spacing w:after="200" w:before="360" w:line="480"/>
      </w:pPr>
      <w:r>
        <w:rPr>
          <w:rFonts w:ascii="CMU Serif" w:cs="CMU Serif" w:eastAsia="CMU Serif" w:hAnsi="CMU Serif"/>
          <w:b/>
          <w:bCs/>
          <w:sz w:val="24"/>
          <w:szCs w:val="24"/>
        </w:rPr>
        <w:t xml:space="preserve">Pathways do not improve CRC classification</w:t>
      </w:r>
    </w:p>
    <w:p>
      <w:pPr>
        <w:spacing w:after="200" w:line="480"/>
        <w:jc w:val="both"/>
      </w:pPr>
      <w:r>
        <w:rPr>
          <w:rFonts w:ascii="CMU Serif" w:cs="CMU Serif" w:eastAsia="CMU Serif" w:hAnsi="CMU Serif"/>
          <w:sz w:val="24"/>
          <w:szCs w:val="24"/>
        </w:rPr>
        <w:t xml:space="preserve">The finding that metabolic pathway features degrade rather than enhance classification performance is counterintuitive but has a coherent explanation. The joint model increases the feature space from 247 species to approximately 650 features (247 species plus 402 to 406 pathways per fold), nearly tripling dimensionality without a proportional increase in discriminative signal. In a Random Forest with max_features = sqrt(p), this dilution directly reduces the probability that informative species features are selected at each split. The result is not that pathways contain no biological information about CRC, but rather that in the context of a 646-sample, seven-cohort LODO design, the noise introduced by several hundred additional features outweighs any marginal signal they contribute.</w:t>
      </w:r>
    </w:p>
    <w:p>
      <w:pPr>
        <w:spacing w:after="200" w:line="480"/>
        <w:jc w:val="both"/>
      </w:pPr>
      <w:r>
        <w:rPr>
          <w:rFonts w:ascii="CMU Serif" w:cs="CMU Serif" w:eastAsia="CMU Serif" w:hAnsi="CMU Serif"/>
          <w:sz w:val="24"/>
          <w:szCs w:val="24"/>
        </w:rPr>
        <w:t xml:space="preserve">This interpretation is consistent with the broader machine learning literature on the curse of dimensionality in high-dimensional, low-sample-size settings (Bellman 1961; Trunk 1979). It is also consistent with the observation that the per-cohort paired t-test (n = 7 folds) failed to detect the difference (p = 0.47), while the sample-level DeLong test (n = 646) detected it clearly. The degradation is real but modest in absolute terms (pooled AUC 0.810 vs. 0.776), and becomes visible only with sufficient statistical power.</w:t>
      </w:r>
    </w:p>
    <w:p>
      <w:pPr>
        <w:spacing w:after="200" w:line="480"/>
        <w:jc w:val="both"/>
      </w:pPr>
      <w:r>
        <w:rPr>
          <w:rFonts w:ascii="CMU Serif" w:cs="CMU Serif" w:eastAsia="CMU Serif" w:hAnsi="CMU Serif"/>
          <w:sz w:val="24"/>
          <w:szCs w:val="24"/>
        </w:rPr>
        <w:t xml:space="preserve">We note that this finding does not contradict the results of Piccinno et al. (2025), who achieved AUC 0.85 using an expanded 18-cohort, 3,741-sample dataset. With substantially more training data, the signal-to-noise ratio of pathway features may shift favorably, and the dilution effect we observed at n = 646 may be mitigated. Our result should therefore be interpreted as specific to the sample size regime of the original Thomas et al. (2019) dataset: at this scale, parsimony wins.</w:t>
      </w:r>
    </w:p>
    <w:p>
      <w:pPr>
        <w:pStyle w:val="Heading2"/>
        <w:spacing w:after="200" w:before="360" w:line="480"/>
      </w:pPr>
      <w:r>
        <w:rPr>
          <w:rFonts w:ascii="CMU Serif" w:cs="CMU Serif" w:eastAsia="CMU Serif" w:hAnsi="CMU Serif"/>
          <w:b/>
          <w:bCs/>
          <w:sz w:val="24"/>
          <w:szCs w:val="24"/>
        </w:rPr>
        <w:t xml:space="preserve">Robustness of the species-only classifier</w:t>
      </w:r>
    </w:p>
    <w:p>
      <w:pPr>
        <w:spacing w:after="200" w:line="480"/>
        <w:jc w:val="both"/>
      </w:pPr>
      <w:r>
        <w:rPr>
          <w:rFonts w:ascii="CMU Serif" w:cs="CMU Serif" w:eastAsia="CMU Serif" w:hAnsi="CMU Serif"/>
          <w:sz w:val="24"/>
          <w:szCs w:val="24"/>
        </w:rPr>
        <w:t xml:space="preserve">The species-only Random Forest demonstrated robust performance across all sensitivity analyses. The pooled AUC of 0.810 (95% CI: 0.777 to 0.841) was stable across five random seeds (mean 0.805 +/- 0.002), insensitive to pathway filter threshold selection (AUC range 0.773 to 0.789 across a 20-combination grid), and unaffected by the inclusion or residualization of demographic covariates (AUC range 0.799 to 0.812 across all confounder adjustment conditions). These results indicate that the classifier captures a genuine biological signal that is not an artifact of batch structure, feature selection choices, or demographic confounding.</w:t>
      </w:r>
    </w:p>
    <w:p>
      <w:pPr>
        <w:spacing w:after="200" w:line="480"/>
        <w:jc w:val="both"/>
      </w:pPr>
      <w:r>
        <w:rPr>
          <w:rFonts w:ascii="CMU Serif" w:cs="CMU Serif" w:eastAsia="CMU Serif" w:hAnsi="CMU Serif"/>
          <w:sz w:val="24"/>
          <w:szCs w:val="24"/>
        </w:rPr>
        <w:t xml:space="preserve">The per-fold pathway filtering implemented in this study addresses a subtle but important methodological concern. When pathway features are filtered globally using all samples (including those in the held-out test cohort), information about the test set's feature distribution leaks into the training pipeline. Our per-fold filtering retained 402 to 406 pathways per fold (compared to 405 under global filtering), and the resulting AUC differences were negligible (joint RF: 0.783 to 0.785), suggesting that leakage from global filtering did not materially inflate prior estimates in this dataset. Nevertheless, per-fold filtering is the methodologically correct approach and should be standard practice in LODO designs.</w:t>
      </w:r>
    </w:p>
    <w:p>
      <w:pPr>
        <w:pStyle w:val="Heading2"/>
        <w:spacing w:after="200" w:before="360" w:line="480"/>
      </w:pPr>
      <w:r>
        <w:rPr>
          <w:rFonts w:ascii="CMU Serif" w:cs="CMU Serif" w:eastAsia="CMU Serif" w:hAnsi="CMU Serif"/>
          <w:b/>
          <w:bCs/>
          <w:sz w:val="24"/>
          <w:szCs w:val="24"/>
        </w:rPr>
        <w:t xml:space="preserve">Adenoma detection remains challenging</w:t>
      </w:r>
    </w:p>
    <w:p>
      <w:pPr>
        <w:spacing w:after="200" w:line="480"/>
        <w:jc w:val="both"/>
      </w:pPr>
      <w:r>
        <w:rPr>
          <w:rFonts w:ascii="CMU Serif" w:cs="CMU Serif" w:eastAsia="CMU Serif" w:hAnsi="CMU Serif"/>
          <w:sz w:val="24"/>
          <w:szCs w:val="24"/>
        </w:rPr>
        <w:t xml:space="preserve">Our exploratory adenoma analyses yielded modest classification performance (healthy vs. adenoma: AUC 0.68 to 0.71; adenoma vs. CRC: AUC 0.79 to 0.81 under five-fold CV), with substantially degraded cross-cohort LODO estimates (0.58 to 0.62 and 0.67 to 0.69, respectively). These results are consistent with the known molecular heterogeneity of colorectal adenomas and the limited sample sizes available (n = 116 adenoma across three cohorts). The poor cross-cohort generalization suggests that adenoma-associated microbial signatures, if they exist, are either weaker than CRC signatures, more sensitive to technical and demographic variation across studies, or both.</w:t>
      </w:r>
    </w:p>
    <w:p>
      <w:pPr>
        <w:spacing w:after="200" w:line="480"/>
        <w:jc w:val="both"/>
      </w:pPr>
      <w:r>
        <w:rPr>
          <w:rFonts w:ascii="CMU Serif" w:cs="CMU Serif" w:eastAsia="CMU Serif" w:hAnsi="CMU Serif"/>
          <w:sz w:val="24"/>
          <w:szCs w:val="24"/>
        </w:rPr>
        <w:t xml:space="preserve">Improving adenoma detection from metagenomic data will likely require substantially larger, multi-cohort adenoma datasets with harmonized collection and processing protocols. The Piccinno et al. (2025) dataset includes 210 adenoma samples across a larger number of cohorts, which may provide sufficient power for more definitive analyses. We report our adenoma results as hypothesis-generating and caution against over-interpreting them given the statistical limitations.</w:t>
      </w:r>
    </w:p>
    <w:p>
      <w:pPr>
        <w:pStyle w:val="Heading2"/>
        <w:spacing w:after="200" w:before="360" w:line="480"/>
      </w:pPr>
      <w:r>
        <w:rPr>
          <w:rFonts w:ascii="CMU Serif" w:cs="CMU Serif" w:eastAsia="CMU Serif" w:hAnsi="CMU Serif"/>
          <w:b/>
          <w:bCs/>
          <w:sz w:val="24"/>
          <w:szCs w:val="24"/>
        </w:rPr>
        <w:t xml:space="preserve">Implications for microbiome-based CRC screening</w:t>
      </w:r>
    </w:p>
    <w:p>
      <w:pPr>
        <w:spacing w:after="200" w:line="480"/>
        <w:jc w:val="both"/>
      </w:pPr>
      <w:r>
        <w:rPr>
          <w:rFonts w:ascii="CMU Serif" w:cs="CMU Serif" w:eastAsia="CMU Serif" w:hAnsi="CMU Serif"/>
          <w:sz w:val="24"/>
          <w:szCs w:val="24"/>
        </w:rPr>
        <w:t xml:space="preserve">The practical implication of our findings is that a parsimonious species-only classifier may be preferable to more complex joint models for stool-based CRC screening in the near term. Species-level profiling requires less computational infrastructure than full functional profiling, is more standardized across bioinformatics pipelines, and as we show,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spacing w:after="200" w:line="480"/>
        <w:jc w:val="both"/>
      </w:pPr>
      <w:r>
        <w:rPr>
          <w:rFonts w:ascii="CMU Serif" w:cs="CMU Serif" w:eastAsia="CMU Serif" w:hAnsi="CMU Serif"/>
          <w:sz w:val="24"/>
          <w:szCs w:val="24"/>
        </w:rPr>
        <w:t xml:space="preserve">The cross-study generalization demonstrated by the LODO framework is encouraging for clinical translation. The species-only Random Forest achieved AUC above 0.73 in every held-out cohort, including cohorts from five countries with different dietary patterns, sample collection protocols, and DNA extraction methods. This robustness to technical and demographic variation is a prerequisite for any clinically deployable diagnostic.</w:t>
      </w:r>
    </w:p>
    <w:p>
      <w:pPr>
        <w:pStyle w:val="Heading2"/>
        <w:spacing w:after="200" w:before="360" w:line="480"/>
      </w:pPr>
      <w:r>
        <w:rPr>
          <w:rFonts w:ascii="CMU Serif" w:cs="CMU Serif" w:eastAsia="CMU Serif" w:hAnsi="CMU Serif"/>
          <w:b/>
          <w:bCs/>
          <w:sz w:val="24"/>
          <w:szCs w:val="24"/>
        </w:rPr>
        <w:t xml:space="preserve">Limitations</w:t>
      </w:r>
    </w:p>
    <w:p>
      <w:pPr>
        <w:spacing w:after="200" w:line="480"/>
        <w:jc w:val="both"/>
      </w:pPr>
      <w:r>
        <w:rPr>
          <w:rFonts w:ascii="CMU Serif" w:cs="CMU Serif" w:eastAsia="CMU Serif" w:hAnsi="CMU Serif"/>
          <w:sz w:val="24"/>
          <w:szCs w:val="24"/>
        </w:rPr>
        <w:t xml:space="preserve">Several limitations should be noted. First, our analysis is restricted to the seven cohorts from Thomas et al. (2019) and does not incorporate the additional cohorts available in more recent studies. Scaling to larger datasets would provide greater statistical power and may alter the relative contribution of pathway features. Second, we did not perform hyperparameter tuning via nested cross-validation; while this is justified by the species-only model's superior performance, it is possible that tuned joint models could narrow the gap. Third, the adenoma analyses are underpowered and should be interpreted cautiously. Fourth, our per-fold ComBat analysis requires the pycombat dependency and was not included in the main analysis pipeline. Fifth, the functional pathway features used here are unstratified community-level abundances; taxon-stratified pathway features, while more numerous and potentially more informative, were excluded due to high dimensionality and redundancy.</w:t>
      </w:r>
    </w:p>
    <w:p>
      <w:pPr>
        <w:pStyle w:val="Heading2"/>
        <w:spacing w:after="200" w:before="360" w:line="480"/>
      </w:pPr>
      <w:r>
        <w:rPr>
          <w:rFonts w:ascii="CMU Serif" w:cs="CMU Serif" w:eastAsia="CMU Serif" w:hAnsi="CMU Serif"/>
          <w:b/>
          <w:bCs/>
          <w:sz w:val="24"/>
          <w:szCs w:val="24"/>
        </w:rPr>
        <w:t xml:space="preserve">Conclusion</w:t>
      </w:r>
    </w:p>
    <w:p>
      <w:pPr>
        <w:spacing w:after="200" w:line="480"/>
        <w:jc w:val="both"/>
      </w:pPr>
      <w:r>
        <w:rPr>
          <w:rFonts w:ascii="CMU Serif" w:cs="CMU Serif" w:eastAsia="CMU Serif" w:hAnsi="CMU Serif"/>
          <w:sz w:val="24"/>
          <w:szCs w:val="24"/>
        </w:rPr>
        <w:t xml:space="preserve">We demonstrate that a species-only Random Forest classifier significantly outperforms joint species-plus-pathway models for CRC detection under rigorous LODO cross-validation, and that this finding is robust to analytical choices, random variation, and potential confounders. Our results support the use of parsimonious, species-level classifiers for microbiome-based CRC screening and highlight the importance of formal statistical comparison, per-fold feature filtering, and systematic robustness evaluation in metagenomic classification studies. All code, data, and predictions are publicly available to facilitate replication and extension.</w:t>
      </w:r>
    </w:p>
    <w:p>
      <w:r>
        <w:br w:type="page"/>
      </w:r>
    </w:p>
    <w:p>
      <w:pPr>
        <w:spacing w:after="400" w:line="480"/>
        <w:jc w:val="center"/>
      </w:pPr>
      <w:r>
        <w:rPr>
          <w:rFonts w:ascii="CMU Serif" w:cs="CMU Serif" w:eastAsia="CMU Serif" w:hAnsi="CMU Serif"/>
          <w:b/>
          <w:bCs/>
          <w:sz w:val="28"/>
          <w:szCs w:val="28"/>
        </w:rPr>
        <w:t xml:space="preserve">References</w:t>
      </w:r>
    </w:p>
    <w:p>
      <w:pPr>
        <w:spacing w:after="120" w:line="360"/>
        <w:ind w:left="480" w:hanging="480"/>
      </w:pPr>
      <w:r>
        <w:rPr>
          <w:rFonts w:ascii="CMU Serif" w:cs="CMU Serif" w:eastAsia="CMU Serif" w:hAnsi="CMU Serif"/>
          <w:sz w:val="22"/>
          <w:szCs w:val="22"/>
        </w:rPr>
        <w:t xml:space="preserve">1. </w:t>
      </w:r>
      <w:r>
        <w:rPr>
          <w:rFonts w:ascii="CMU Serif" w:cs="CMU Serif" w:eastAsia="CMU Serif" w:hAnsi="CMU Serif"/>
          <w:sz w:val="22"/>
          <w:szCs w:val="22"/>
        </w:rPr>
        <w:t xml:space="preserve">Austin, G.I., Brown Kav, A., ElNaggar, S. et al. Processing-bias correction with DEBIAS-M improves cross-study generalization of microbiome-based prediction models. Nat. Microbiol. 10, 897–911 (2025). https://doi.org/10.1038/s41564-025-01954-4</w:t>
      </w:r>
    </w:p>
    <w:p>
      <w:pPr>
        <w:spacing w:after="120" w:line="360"/>
        <w:ind w:left="480" w:hanging="480"/>
      </w:pPr>
      <w:r>
        <w:rPr>
          <w:rFonts w:ascii="CMU Serif" w:cs="CMU Serif" w:eastAsia="CMU Serif" w:hAnsi="CMU Serif"/>
          <w:sz w:val="22"/>
          <w:szCs w:val="22"/>
        </w:rPr>
        <w:t xml:space="preserve">2. </w:t>
      </w:r>
      <w:r>
        <w:rPr>
          <w:rFonts w:ascii="CMU Serif" w:cs="CMU Serif" w:eastAsia="CMU Serif" w:hAnsi="CMU Serif"/>
          <w:sz w:val="22"/>
          <w:szCs w:val="22"/>
        </w:rPr>
        <w:t xml:space="preserve">Chen, T. &amp; Guestrin, C. XGBoost: a scalable tree boosting system. In Proc. 22nd ACM SIGKDD International Conference on Knowledge Discovery and Data Mining 785–794 (ACM, 2016). https://doi.org/10.1145/2939672.2939785</w:t>
      </w:r>
    </w:p>
    <w:p>
      <w:pPr>
        <w:spacing w:after="120" w:line="360"/>
        <w:ind w:left="480" w:hanging="480"/>
      </w:pPr>
      <w:r>
        <w:rPr>
          <w:rFonts w:ascii="CMU Serif" w:cs="CMU Serif" w:eastAsia="CMU Serif" w:hAnsi="CMU Serif"/>
          <w:sz w:val="22"/>
          <w:szCs w:val="22"/>
        </w:rPr>
        <w:t xml:space="preserve">3. </w:t>
      </w:r>
      <w:r>
        <w:rPr>
          <w:rFonts w:ascii="CMU Serif" w:cs="CMU Serif" w:eastAsia="CMU Serif" w:hAnsi="CMU Serif"/>
          <w:sz w:val="22"/>
          <w:szCs w:val="22"/>
        </w:rPr>
        <w:t xml:space="preserve">DeLong, E.R., DeLong, D.M. &amp; Clarke-Pearson, D.L. Comparing the areas under two or more correlated receiver operating characteristic curves: a nonparametric approach. Biometrics 44, 837–845 (1988). https://doi.org/10.2307/2531595</w:t>
      </w:r>
    </w:p>
    <w:p>
      <w:pPr>
        <w:spacing w:after="120" w:line="360"/>
        <w:ind w:left="480" w:hanging="480"/>
      </w:pPr>
      <w:r>
        <w:rPr>
          <w:rFonts w:ascii="CMU Serif" w:cs="CMU Serif" w:eastAsia="CMU Serif" w:hAnsi="CMU Serif"/>
          <w:sz w:val="22"/>
          <w:szCs w:val="22"/>
        </w:rPr>
        <w:t xml:space="preserve">4. </w:t>
      </w:r>
      <w:r>
        <w:rPr>
          <w:rFonts w:ascii="CMU Serif" w:cs="CMU Serif" w:eastAsia="CMU Serif" w:hAnsi="CMU Serif"/>
          <w:sz w:val="22"/>
          <w:szCs w:val="22"/>
        </w:rPr>
        <w:t xml:space="preserve">Johnson, W.E., Li, C. &amp; Rabinovic, A. Adjusting batch effects in microarray expression data using empirical Bayes methods. Biostatistics 8, 118–127 (2007). https://doi.org/10.1093/biostatistics/kxj037</w:t>
      </w:r>
    </w:p>
    <w:p>
      <w:pPr>
        <w:spacing w:after="120" w:line="360"/>
        <w:ind w:left="480" w:hanging="480"/>
      </w:pPr>
      <w:r>
        <w:rPr>
          <w:rFonts w:ascii="CMU Serif" w:cs="CMU Serif" w:eastAsia="CMU Serif" w:hAnsi="CMU Serif"/>
          <w:sz w:val="22"/>
          <w:szCs w:val="22"/>
        </w:rPr>
        <w:t xml:space="preserve">5. </w:t>
      </w:r>
      <w:r>
        <w:rPr>
          <w:rFonts w:ascii="CMU Serif" w:cs="CMU Serif" w:eastAsia="CMU Serif" w:hAnsi="CMU Serif"/>
          <w:sz w:val="22"/>
          <w:szCs w:val="22"/>
        </w:rPr>
        <w:t xml:space="preserve">Lundberg, S.M. &amp; Lee, S.-I. A unified approach to interpreting model predictions. In Advances in Neural Information Processing Systems 30 (NeurIPS), 4766–4777 (2017).</w:t>
      </w:r>
    </w:p>
    <w:p>
      <w:pPr>
        <w:spacing w:after="120" w:line="360"/>
        <w:ind w:left="480" w:hanging="480"/>
      </w:pPr>
      <w:r>
        <w:rPr>
          <w:rFonts w:ascii="CMU Serif" w:cs="CMU Serif" w:eastAsia="CMU Serif" w:hAnsi="CMU Serif"/>
          <w:sz w:val="22"/>
          <w:szCs w:val="22"/>
        </w:rPr>
        <w:t xml:space="preserve">6. </w:t>
      </w:r>
      <w:r>
        <w:rPr>
          <w:rFonts w:ascii="CMU Serif" w:cs="CMU Serif" w:eastAsia="CMU Serif" w:hAnsi="CMU Serif"/>
          <w:sz w:val="22"/>
          <w:szCs w:val="22"/>
        </w:rPr>
        <w:t xml:space="preserve">Pasolli, E., Schiffer, L., Manghi, P. et al. Accessible, curated metagenomic data through ExperimentHub. Nat. Methods 14, 1023–1024 (2017). https://doi.org/10.1038/nmeth.4468</w:t>
      </w:r>
    </w:p>
    <w:p>
      <w:pPr>
        <w:spacing w:after="120" w:line="360"/>
        <w:ind w:left="480" w:hanging="480"/>
      </w:pPr>
      <w:r>
        <w:rPr>
          <w:rFonts w:ascii="CMU Serif" w:cs="CMU Serif" w:eastAsia="CMU Serif" w:hAnsi="CMU Serif"/>
          <w:sz w:val="22"/>
          <w:szCs w:val="22"/>
        </w:rPr>
        <w:t xml:space="preserve">7. </w:t>
      </w:r>
      <w:r>
        <w:rPr>
          <w:rFonts w:ascii="CMU Serif" w:cs="CMU Serif" w:eastAsia="CMU Serif" w:hAnsi="CMU Serif"/>
          <w:sz w:val="22"/>
          <w:szCs w:val="22"/>
        </w:rPr>
        <w:t xml:space="preserve">Pedregosa, F. et al. Scikit-learn: machine learning in Python. J. Mach. Learn. Res. 12, 2825–2830 (2011).</w:t>
      </w:r>
    </w:p>
    <w:p>
      <w:pPr>
        <w:spacing w:after="120" w:line="360"/>
        <w:ind w:left="480" w:hanging="480"/>
      </w:pPr>
      <w:r>
        <w:rPr>
          <w:rFonts w:ascii="CMU Serif" w:cs="CMU Serif" w:eastAsia="CMU Serif" w:hAnsi="CMU Serif"/>
          <w:sz w:val="22"/>
          <w:szCs w:val="22"/>
        </w:rPr>
        <w:t xml:space="preserve">8. </w:t>
      </w:r>
      <w:r>
        <w:rPr>
          <w:rFonts w:ascii="CMU Serif" w:cs="CMU Serif" w:eastAsia="CMU Serif" w:hAnsi="CMU Serif"/>
          <w:sz w:val="22"/>
          <w:szCs w:val="22"/>
        </w:rPr>
        <w:t xml:space="preserve">Piccinno, G. et al. Pooled analysis of 3,741 stool metagenomes from 18 cohorts for cross-stage and strain-level reproducible microbial biomarkers of colorectal cancer. Nat. Med. 31, 2416–2429 (2025). https://doi.org/10.1038/s41591-025-03693-9</w:t>
      </w:r>
    </w:p>
    <w:p>
      <w:pPr>
        <w:spacing w:after="120" w:line="360"/>
        <w:ind w:left="480" w:hanging="480"/>
      </w:pPr>
      <w:r>
        <w:rPr>
          <w:rFonts w:ascii="CMU Serif" w:cs="CMU Serif" w:eastAsia="CMU Serif" w:hAnsi="CMU Serif"/>
          <w:sz w:val="22"/>
          <w:szCs w:val="22"/>
        </w:rPr>
        <w:t xml:space="preserve">9. </w:t>
      </w:r>
      <w:r>
        <w:rPr>
          <w:rFonts w:ascii="CMU Serif" w:cs="CMU Serif" w:eastAsia="CMU Serif" w:hAnsi="CMU Serif"/>
          <w:sz w:val="22"/>
          <w:szCs w:val="22"/>
        </w:rPr>
        <w:t xml:space="preserve">Sun, X. &amp; Xu, W. Fast implementation of DeLong’s algorithm for comparing the areas under correlated receiver operating characteristic curves. IEEE Signal Process. Lett. 21, 1389–1393 (2014). https://doi.org/10.1109/LSP.2014.2337313</w:t>
      </w:r>
    </w:p>
    <w:p>
      <w:pPr>
        <w:spacing w:after="120" w:line="360"/>
        <w:ind w:left="480" w:hanging="480"/>
      </w:pPr>
      <w:r>
        <w:rPr>
          <w:rFonts w:ascii="CMU Serif" w:cs="CMU Serif" w:eastAsia="CMU Serif" w:hAnsi="CMU Serif"/>
          <w:sz w:val="22"/>
          <w:szCs w:val="22"/>
        </w:rPr>
        <w:t xml:space="preserve">10. </w:t>
      </w:r>
      <w:r>
        <w:rPr>
          <w:rFonts w:ascii="CMU Serif" w:cs="CMU Serif" w:eastAsia="CMU Serif" w:hAnsi="CMU Serif"/>
          <w:sz w:val="22"/>
          <w:szCs w:val="22"/>
        </w:rPr>
        <w:t xml:space="preserve">Sung, H. et al. Global cancer statistics 2020: GLOBOCAN estimates of incidence and mortality worldwide for 36 cancers in 185 countries. CA Cancer J. Clin. 71, 209–249 (2021). https://doi.org/10.3322/caac.21660</w:t>
      </w:r>
    </w:p>
    <w:p>
      <w:pPr>
        <w:spacing w:after="120" w:line="360"/>
        <w:ind w:left="480" w:hanging="480"/>
      </w:pPr>
      <w:r>
        <w:rPr>
          <w:rFonts w:ascii="CMU Serif" w:cs="CMU Serif" w:eastAsia="CMU Serif" w:hAnsi="CMU Serif"/>
          <w:sz w:val="22"/>
          <w:szCs w:val="22"/>
        </w:rPr>
        <w:t xml:space="preserve">11. </w:t>
      </w:r>
      <w:r>
        <w:rPr>
          <w:rFonts w:ascii="CMU Serif" w:cs="CMU Serif" w:eastAsia="CMU Serif" w:hAnsi="CMU Serif"/>
          <w:sz w:val="22"/>
          <w:szCs w:val="22"/>
        </w:rPr>
        <w:t xml:space="preserve">Sun, Y. et al. Optimizing metagenome analysis for early detection of colorectal cancer: benchmarking bioinformatics approaches and advancing cross-cohort prediction. bioRxiv (2025). https://doi.org/10.1101/2025.02.22.639690</w:t>
      </w:r>
    </w:p>
    <w:p>
      <w:pPr>
        <w:spacing w:after="120" w:line="360"/>
        <w:ind w:left="480" w:hanging="480"/>
      </w:pPr>
      <w:r>
        <w:rPr>
          <w:rFonts w:ascii="CMU Serif" w:cs="CMU Serif" w:eastAsia="CMU Serif" w:hAnsi="CMU Serif"/>
          <w:sz w:val="22"/>
          <w:szCs w:val="22"/>
        </w:rPr>
        <w:t xml:space="preserve">12. </w:t>
      </w:r>
      <w:r>
        <w:rPr>
          <w:rFonts w:ascii="CMU Serif" w:cs="CMU Serif" w:eastAsia="CMU Serif" w:hAnsi="CMU Serif"/>
          <w:sz w:val="22"/>
          <w:szCs w:val="22"/>
        </w:rPr>
        <w:t xml:space="preserve">Thomas, A.M. et al. Metagenomic analysis of colorectal cancer datasets identifies cross-cohort microbial diagnostic signatures and a link with choline degradation. Nat. Med. 25, 667–678 (2019). https://doi.org/10.1038/s41591-019-0405-7</w:t>
      </w:r>
    </w:p>
    <w:p>
      <w:pPr>
        <w:spacing w:after="120" w:line="360"/>
        <w:ind w:left="480" w:hanging="480"/>
      </w:pPr>
      <w:r>
        <w:rPr>
          <w:rFonts w:ascii="CMU Serif" w:cs="CMU Serif" w:eastAsia="CMU Serif" w:hAnsi="CMU Serif"/>
          <w:sz w:val="22"/>
          <w:szCs w:val="22"/>
        </w:rPr>
        <w:t xml:space="preserve">13. </w:t>
      </w:r>
      <w:r>
        <w:rPr>
          <w:rFonts w:ascii="CMU Serif" w:cs="CMU Serif" w:eastAsia="CMU Serif" w:hAnsi="CMU Serif"/>
          <w:sz w:val="22"/>
          <w:szCs w:val="22"/>
        </w:rPr>
        <w:t xml:space="preserve">Wirbel, J. et al. Meta-analysis of fecal metagenomes reveals global microbial signatures that are specific for colorectal cancer. Nat. Med. 25, 679–689 (2019). https://doi.org/10.1038/s41591-019-0406-6</w:t>
      </w:r>
    </w:p>
    <w:p>
      <w:pPr>
        <w:spacing w:after="120" w:line="360"/>
        <w:ind w:left="480" w:hanging="480"/>
      </w:pPr>
      <w:r>
        <w:rPr>
          <w:rFonts w:ascii="CMU Serif" w:cs="CMU Serif" w:eastAsia="CMU Serif" w:hAnsi="CMU Serif"/>
          <w:sz w:val="22"/>
          <w:szCs w:val="22"/>
        </w:rPr>
        <w:t xml:space="preserve">14. </w:t>
      </w:r>
      <w:r>
        <w:rPr>
          <w:rFonts w:ascii="CMU Serif" w:cs="CMU Serif" w:eastAsia="CMU Serif" w:hAnsi="CMU Serif"/>
          <w:sz w:val="22"/>
          <w:szCs w:val="22"/>
        </w:rPr>
        <w:t xml:space="preserve">Xi, Y. &amp; Xu, P. Global colorectal cancer burden in 2020 and projections to 2040. Transl. Oncol. 14, 101174 (2021). https://doi.org/10.1016/j.tranon.2021.101174</w:t>
      </w:r>
    </w:p>
    <w:p>
      <w:pPr>
        <w:spacing w:after="120" w:line="360"/>
        <w:ind w:left="480" w:hanging="480"/>
      </w:pPr>
      <w:r>
        <w:rPr>
          <w:rFonts w:ascii="CMU Serif" w:cs="CMU Serif" w:eastAsia="CMU Serif" w:hAnsi="CMU Serif"/>
          <w:sz w:val="22"/>
          <w:szCs w:val="22"/>
        </w:rPr>
        <w:t xml:space="preserve">15. </w:t>
      </w:r>
      <w:r>
        <w:rPr>
          <w:rFonts w:ascii="CMU Serif" w:cs="CMU Serif" w:eastAsia="CMU Serif" w:hAnsi="CMU Serif"/>
          <w:sz w:val="22"/>
          <w:szCs w:val="22"/>
        </w:rPr>
        <w:t xml:space="preserve">Yachida, S. et al. Metagenomic and metabolomic analyses reveal distinct stage-specific phenotypes of the gut microbiota in colorectal cancer. Nat. Med. 25, 968–976 (2019). https://doi.org/10.1038/s41591-019-0458-7</w:t>
      </w:r>
    </w:p>
    <w:p>
      <w:r>
        <w:br w:type="page"/>
      </w:r>
    </w:p>
    <w:p>
      <w:pPr>
        <w:spacing w:after="200" w:line="360"/>
      </w:pPr>
      <w:r>
        <w:rPr>
          <w:rFonts w:ascii="CMU Serif" w:cs="CMU Serif" w:eastAsia="CMU Serif" w:hAnsi="CMU Serif"/>
          <w:b/>
          <w:bCs/>
          <w:sz w:val="22"/>
          <w:szCs w:val="22"/>
        </w:rPr>
        <w:t xml:space="preserve">Table 1. </w:t>
      </w:r>
      <w:r>
        <w:rPr>
          <w:rFonts w:ascii="CMU Serif" w:cs="CMU Serif" w:eastAsia="CMU Serif" w:hAnsi="CMU Serif"/>
          <w:sz w:val="22"/>
          <w:szCs w:val="22"/>
        </w:rPr>
        <w:t xml:space="preserve">Demographic and clinical characteristics of the seven cohorts used in this study. Values are mean ± SD unless otherwise indicated.</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650"/>
        <w:gridCol w:w="650"/>
        <w:gridCol w:w="650"/>
        <w:gridCol w:w="1300"/>
        <w:gridCol w:w="900"/>
        <w:gridCol w:w="1310"/>
      </w:tblGrid>
      <w:tr>
        <w:tc>
          <w:tcPr>
            <w:tcW w:type="dxa" w:w="150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left"/>
            </w:pPr>
            <w:r>
              <w:rPr>
                <w:rFonts w:ascii="CMU Serif" w:cs="CMU Serif" w:eastAsia="CMU Serif" w:hAnsi="CMU Serif"/>
                <w:b/>
                <w:bCs/>
                <w:sz w:val="20"/>
                <w:szCs w:val="20"/>
              </w:rPr>
              <w:t xml:space="preserve">Cohort</w:t>
            </w:r>
          </w:p>
        </w:tc>
        <w:tc>
          <w:tcPr>
            <w:tcW w:type="dxa" w:w="70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Country</w:t>
            </w:r>
          </w:p>
        </w:tc>
        <w:tc>
          <w:tcPr>
            <w:tcW w:type="dxa" w:w="70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N</w:t>
            </w:r>
          </w:p>
        </w:tc>
        <w:tc>
          <w:tcPr>
            <w:tcW w:type="dxa" w:w="65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CRC</w:t>
            </w:r>
          </w:p>
        </w:tc>
        <w:tc>
          <w:tcPr>
            <w:tcW w:type="dxa" w:w="65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Adenoma</w:t>
            </w:r>
          </w:p>
        </w:tc>
        <w:tc>
          <w:tcPr>
            <w:tcW w:type="dxa" w:w="65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Control</w:t>
            </w:r>
          </w:p>
        </w:tc>
        <w:tc>
          <w:tcPr>
            <w:tcW w:type="dxa" w:w="130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Age</w:t>
            </w:r>
          </w:p>
        </w:tc>
        <w:tc>
          <w:tcPr>
            <w:tcW w:type="dxa" w:w="90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Female %</w:t>
            </w:r>
          </w:p>
        </w:tc>
        <w:tc>
          <w:tcPr>
            <w:tcW w:type="dxa" w:w="1310"/>
            <w:tcBorders>
              <w:top w:val="single" w:color="000000" w:sz="1"/>
              <w:left w:val="single" w:color="000000" w:sz="1"/>
              <w:bottom w:val="single" w:color="000000" w:sz="1"/>
              <w:right w:val="single" w:color="000000" w:sz="1"/>
            </w:tcBorders>
            <w:shd w:fill="D9E2F3" w:val="clear"/>
            <w:tcMar>
              <w:top w:type="dxa" w:w="60"/>
              <w:left w:type="dxa" w:w="80"/>
              <w:bottom w:type="dxa" w:w="60"/>
              <w:right w:type="dxa" w:w="80"/>
            </w:tcMar>
          </w:tcPr>
          <w:p>
            <w:pPr>
              <w:jc w:val="center"/>
            </w:pPr>
            <w:r>
              <w:rPr>
                <w:rFonts w:ascii="CMU Serif" w:cs="CMU Serif" w:eastAsia="CMU Serif" w:hAnsi="CMU Serif"/>
                <w:b/>
                <w:bCs/>
                <w:sz w:val="20"/>
                <w:szCs w:val="20"/>
              </w:rPr>
              <w:t xml:space="preserve">BMI</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FengQ_2015</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AUT</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154</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46</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47</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61</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66.9 ± 8.4</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43.5%</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27.4 ± 4.0</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ThomasAM_2018a</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ITA</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80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29</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27</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24</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67.5 ± 8.7</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35.0%</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25.5 ± 3.9</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ThomasAM_2018b</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ITA</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32</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28</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58.2 ± 8.3</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35.0%</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25.8 ± 4.2</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ThomasAM_2019_c</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JPN</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80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40</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61.1 ± 12.6</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43.8%</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22.7 ± 2.6</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VogtmannE_2016</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USA</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104</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52</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52</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61.5 ± 12.3</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28.8%</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25.1 ± 4.2</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YuJ_2015</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CHN</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128</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74</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0</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54</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64.2 ± 9.1</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36.7%</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23.8 ± 3.1</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val="false"/>
                <w:bCs w:val="false"/>
                <w:sz w:val="20"/>
                <w:szCs w:val="20"/>
              </w:rPr>
              <w:t xml:space="preserve">ZellerG_2014</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FRA</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156</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53</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42</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61</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63.3 ± 10.9</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44.2%</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val="false"/>
                <w:bCs w:val="false"/>
                <w:sz w:val="20"/>
                <w:szCs w:val="20"/>
              </w:rPr>
              <w:t xml:space="preserve">25.3 ± 4.2</w:t>
            </w:r>
          </w:p>
        </w:tc>
      </w:tr>
      <w:tr>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rFonts w:ascii="CMU Serif" w:cs="CMU Serif" w:eastAsia="CMU Serif" w:hAnsi="CMU Serif"/>
                <w:b/>
                <w:bCs/>
                <w:sz w:val="20"/>
                <w:szCs w:val="20"/>
              </w:rPr>
              <w:t xml:space="preserve">Total</w:t>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
            </w:r>
          </w:p>
        </w:tc>
        <w:tc>
          <w:tcPr>
            <w:tcW w:type="dxa" w:w="7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762</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326</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116</w:t>
            </w:r>
          </w:p>
        </w:tc>
        <w:tc>
          <w:tcPr>
            <w:tcW w:type="dxa" w:w="65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320</w:t>
            </w:r>
          </w:p>
        </w:tc>
        <w:tc>
          <w:tcPr>
            <w:tcW w:type="dxa" w:w="13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63.8 ± 10.5</w:t>
            </w:r>
          </w:p>
        </w:tc>
        <w:tc>
          <w:tcPr>
            <w:tcW w:type="dxa" w:w="90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39.0%</w:t>
            </w:r>
          </w:p>
        </w:tc>
        <w:tc>
          <w:tcPr>
            <w:tcW w:type="dxa" w:w="13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rFonts w:ascii="CMU Serif" w:cs="CMU Serif" w:eastAsia="CMU Serif" w:hAnsi="CMU Serif"/>
                <w:b/>
                <w:bCs/>
                <w:sz w:val="20"/>
                <w:szCs w:val="20"/>
              </w:rPr>
              <w:t xml:space="preserve">25.2 ± 4.1</w:t>
            </w:r>
          </w:p>
        </w:tc>
      </w:tr>
    </w:tbl>
    <w:p>
      <w:r>
        <w:br w:type="page"/>
      </w:r>
    </w:p>
    <w:p>
      <w:pPr>
        <w:spacing w:after="400" w:line="480"/>
        <w:jc w:val="center"/>
      </w:pPr>
      <w:r>
        <w:rPr>
          <w:rFonts w:ascii="CMU Serif" w:cs="CMU Serif" w:eastAsia="CMU Serif" w:hAnsi="CMU Serif"/>
          <w:b/>
          <w:bCs/>
          <w:sz w:val="28"/>
          <w:szCs w:val="28"/>
        </w:rPr>
        <w:t xml:space="preserve">Figure Legends</w:t>
      </w:r>
    </w:p>
    <w:p>
      <w:pPr>
        <w:spacing w:after="200" w:line="480"/>
        <w:jc w:val="both"/>
      </w:pPr>
      <w:r>
        <w:rPr>
          <w:rFonts w:ascii="CMU Serif" w:cs="CMU Serif" w:eastAsia="CMU Serif" w:hAnsi="CMU Serif"/>
          <w:b/>
          <w:bCs/>
          <w:sz w:val="24"/>
          <w:szCs w:val="24"/>
        </w:rPr>
        <w:t xml:space="preserve">Figure 1. </w:t>
      </w:r>
      <w:r>
        <w:rPr>
          <w:rFonts w:ascii="CMU Serif" w:cs="CMU Serif" w:eastAsia="CMU Serif" w:hAnsi="CMU Serif"/>
          <w:sz w:val="24"/>
          <w:szCs w:val="24"/>
        </w:rPr>
        <w:t xml:space="preserve">Forest plot of per-cohort and pooled AUCs with 95% bootstrap confidence intervals for CRC versus healthy classification under LODO cross-validation. Three models are shown: species-only Random Forest (blue), joint species-plus-pathway Random Forest (dark red), and joint XGBoost (light red). Each cohort is displayed as a separate row; the pooled estimate across all 646 held-out predictions is shown at the bottom.</w:t>
      </w:r>
    </w:p>
    <w:p>
      <w:pPr>
        <w:spacing w:after="200" w:line="480"/>
        <w:jc w:val="both"/>
      </w:pPr>
      <w:r>
        <w:rPr>
          <w:rFonts w:ascii="CMU Serif" w:cs="CMU Serif" w:eastAsia="CMU Serif" w:hAnsi="CMU Serif"/>
          <w:b/>
          <w:bCs/>
          <w:sz w:val="24"/>
          <w:szCs w:val="24"/>
        </w:rPr>
        <w:t xml:space="preserve">Figure 2. </w:t>
      </w:r>
      <w:r>
        <w:rPr>
          <w:rFonts w:ascii="CMU Serif" w:cs="CMU Serif" w:eastAsia="CMU Serif" w:hAnsi="CMU Serif"/>
          <w:sz w:val="24"/>
          <w:szCs w:val="24"/>
        </w:rPr>
        <w:t xml:space="preserve">Receiver operating characteristic (ROC) curves for pooled LODO predictions (n = 646) comparing species-only Random Forest (AUC = 0.810), joint Random Forest (AUC = 0.776), and joint XGBoost (AUC = 0.781). The diagonal dashed line indicates chance-level classification (AUC = 0.5).</w:t>
      </w:r>
    </w:p>
    <w:p>
      <w:pPr>
        <w:spacing w:after="200" w:line="480"/>
        <w:jc w:val="both"/>
      </w:pPr>
      <w:r>
        <w:rPr>
          <w:rFonts w:ascii="CMU Serif" w:cs="CMU Serif" w:eastAsia="CMU Serif" w:hAnsi="CMU Serif"/>
          <w:b/>
          <w:bCs/>
          <w:sz w:val="24"/>
          <w:szCs w:val="24"/>
        </w:rPr>
        <w:t xml:space="preserve">Figure 3. </w:t>
      </w:r>
      <w:r>
        <w:rPr>
          <w:rFonts w:ascii="CMU Serif" w:cs="CMU Serif" w:eastAsia="CMU Serif" w:hAnsi="CMU Serif"/>
          <w:sz w:val="24"/>
          <w:szCs w:val="24"/>
        </w:rPr>
        <w:t xml:space="preserve">Top 15 species by mean absolute SHAP value for CRC versus healthy classification. Left panel: Random Forest; right panel: XGBoost. The four most important species (Parvimonas micra, Peptostreptococcus stomatis, Gemella morbillorum, and Fusobacterium nucleatum) are consistent across both models. Of the top 15 features, 8 are shared between RF and XGBoost.</w:t>
      </w:r>
    </w:p>
    <w:p>
      <w:r>
        <w:br w:type="page"/>
      </w:r>
    </w:p>
    <w:p>
      <w:pPr>
        <w:spacing w:after="400" w:line="480"/>
        <w:jc w:val="center"/>
      </w:pPr>
      <w:r>
        <w:rPr>
          <w:rFonts w:ascii="CMU Serif" w:cs="CMU Serif" w:eastAsia="CMU Serif" w:hAnsi="CMU Serif"/>
          <w:b/>
          <w:bCs/>
          <w:sz w:val="28"/>
          <w:szCs w:val="28"/>
        </w:rPr>
        <w:t xml:space="preserve">Supplementary Material</w:t>
      </w:r>
    </w:p>
    <w:p>
      <w:pPr>
        <w:spacing w:after="200" w:line="360"/>
      </w:pPr>
      <w:r>
        <w:rPr>
          <w:rFonts w:ascii="CMU Serif" w:cs="CMU Serif" w:eastAsia="CMU Serif" w:hAnsi="CMU Serif"/>
          <w:b/>
          <w:bCs/>
          <w:sz w:val="22"/>
          <w:szCs w:val="22"/>
        </w:rPr>
        <w:t xml:space="preserve">Supplementary Table S1. </w:t>
      </w:r>
      <w:r>
        <w:rPr>
          <w:rFonts w:ascii="CMU Serif" w:cs="CMU Serif" w:eastAsia="CMU Serif" w:hAnsi="CMU Serif"/>
          <w:sz w:val="22"/>
          <w:szCs w:val="22"/>
        </w:rPr>
        <w:t xml:space="preserve">Filter threshold sensitivity analysis. Mean LODO AUC (across 7 held-out cohorts) for the species-plus-pathway Random Forest classifier at each combination of pathway prevalence and mean-abundance thresholds. The default thresholds used in the primary analysis (prevalence ≥ 10%, mean ≥ 1 × 10⁻⁶) are highlighted.</w:t>
      </w:r>
    </w:p>
    <w:p>
      <w:pPr>
        <w:spacing w:after="200" w:line="480"/>
        <w:jc w:val="both"/>
      </w:pPr>
      <w:r>
        <w:rPr>
          <w:rFonts w:ascii="CMU Serif" w:cs="CMU Serif" w:eastAsia="CMU Serif" w:hAnsi="CMU Serif"/>
          <w:sz w:val="24"/>
          <w:szCs w:val="24"/>
        </w:rPr>
        <w:t xml:space="preserve">Note: Supplementary Table S1 should be regenerated by running: python3 scripts/sensitivity_analysis.py. The script outputs results/sensitivity_thresholds.csv. Based on prior execution, pooled AUC ranged from 0.773 to 0.789 across all 20 combinations (spread = 0.016).</w:t>
      </w:r>
    </w:p>
    <w:p>
      <w:r>
        <w:br w:type="page"/>
      </w:r>
    </w:p>
    <w:p>
      <w:pPr>
        <w:spacing w:after="200" w:line="360"/>
      </w:pPr>
      <w:r>
        <w:rPr>
          <w:rFonts w:ascii="CMU Serif" w:cs="CMU Serif" w:eastAsia="CMU Serif" w:hAnsi="CMU Serif"/>
          <w:b/>
          <w:bCs/>
          <w:sz w:val="22"/>
          <w:szCs w:val="22"/>
        </w:rPr>
        <w:t xml:space="preserve">Supplementary Table S2. </w:t>
      </w:r>
      <w:r>
        <w:rPr>
          <w:rFonts w:ascii="CMU Serif" w:cs="CMU Serif" w:eastAsia="CMU Serif" w:hAnsi="CMU Serif"/>
          <w:sz w:val="22"/>
          <w:szCs w:val="22"/>
        </w:rPr>
        <w:t xml:space="preserve">Per-cohort and pooled AUC with 95% bootstrap confidence intervals (2,000 resamples) for CRC versus healthy classification under LODO cross-validation.</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Species RF</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Joint RF</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Joint XGBoost</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
            </w:r>
          </w:p>
        </w:tc>
      </w:tr>
      <w:tr>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Cohort</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AUC</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95% CI</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AUC</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95% CI</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AUC</w:t>
            </w:r>
          </w:p>
        </w:tc>
        <w:tc>
          <w:tcPr>
            <w:tcW w:type="dxa" w:w="1337"/>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CMU Serif" w:cs="CMU Serif" w:eastAsia="CMU Serif" w:hAnsi="CMU Serif"/>
                <w:b/>
                <w:bCs/>
                <w:sz w:val="20"/>
                <w:szCs w:val="20"/>
              </w:rPr>
              <w:t xml:space="preserve">95% CI</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FengQ_2015</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0.838</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0.752–0.914</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0.849</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0.767–0.921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0.819</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0.729–0.900</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ThomasAM_2018a</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0.734</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0.591–0.858</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0.815</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0.681–0.929</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0.783</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0.648–0.898</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ThomasAM_2018b</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0.801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0.682–0.904</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0.773</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0.643–0.880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0.779</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0.657–0.894</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ThomasAM_2019_c</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0.828</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0.727–0.910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0.751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0.646–0.853</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0.807</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0.705–0.895</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VogtmannE_2016</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0.730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0.629–0.823</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0.717</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0.610–0.806</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0.713</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0.607–0.814</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YuJ_2015</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0.868</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0.798–0.930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0.761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0.672–0.839</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0.800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0.716–0.870</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val="false"/>
                <w:bCs w:val="false"/>
                <w:sz w:val="20"/>
                <w:szCs w:val="20"/>
              </w:rPr>
              <w:t xml:space="preserve">ZellerG_2014</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0.821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0.744–0.894</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0.830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0.749–0.903</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0.787</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val="false"/>
                <w:bCs w:val="false"/>
                <w:sz w:val="20"/>
                <w:szCs w:val="20"/>
              </w:rPr>
              <w:t xml:space="preserve">0.699–0.867</w:t>
            </w:r>
          </w:p>
        </w:tc>
      </w:tr>
      <w:tr>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left"/>
            </w:pPr>
            <w:r>
              <w:rPr>
                <w:rFonts w:ascii="CMU Serif" w:cs="CMU Serif" w:eastAsia="CMU Serif" w:hAnsi="CMU Serif"/>
                <w:b/>
                <w:bCs/>
                <w:sz w:val="20"/>
                <w:szCs w:val="20"/>
              </w:rPr>
              <w:t xml:space="preserve">Pooled</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bCs/>
                <w:sz w:val="20"/>
                <w:szCs w:val="20"/>
              </w:rPr>
              <w:t xml:space="preserve">0.810</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bCs/>
                <w:sz w:val="20"/>
                <w:szCs w:val="20"/>
              </w:rPr>
              <w:t xml:space="preserve">0.777–0.841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bCs/>
                <w:sz w:val="20"/>
                <w:szCs w:val="20"/>
              </w:rPr>
              <w:t xml:space="preserve">0.776</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bCs/>
                <w:sz w:val="20"/>
                <w:szCs w:val="20"/>
              </w:rPr>
              <w:t xml:space="preserve">0.739–0.811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bCs/>
                <w:sz w:val="20"/>
                <w:szCs w:val="20"/>
              </w:rPr>
              <w:t xml:space="preserve">0.781</w:t>
            </w:r>
          </w:p>
        </w:tc>
        <w:tc>
          <w:tcPr>
            <w:tcW w:type="dxa" w:w="1337"/>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CMU Serif" w:cs="CMU Serif" w:eastAsia="CMU Serif" w:hAnsi="CMU Serif"/>
                <w:b/>
                <w:bCs/>
                <w:sz w:val="20"/>
                <w:szCs w:val="20"/>
              </w:rPr>
              <w:t xml:space="preserve">0.745–0.816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MU Serif" w:cs="CMU Serif" w:eastAsia="CMU Serif" w:hAnsi="CMU Seri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MU Serif" w:cs="CMU Serif" w:eastAsia="CMU Serif" w:hAnsi="CMU Serif"/>
        <w:i/>
        <w:iCs/>
        <w:color w:val="888888"/>
        <w:sz w:val="18"/>
        <w:szCs w:val="18"/>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CMU Serif" w:cs="CMU Serif" w:eastAsia="CMU Serif" w:hAnsi="CMU Serif"/>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2026-04-26T20:02:44.571Z</dcterms:created>
  <dcterms:modified xsi:type="dcterms:W3CDTF">2026-04-26T20:02:44.571Z</dcterms:modified>
</cp:coreProperties>
</file>

<file path=docProps/custom.xml><?xml version="1.0" encoding="utf-8"?>
<Properties xmlns="http://schemas.openxmlformats.org/officeDocument/2006/custom-properties" xmlns:vt="http://schemas.openxmlformats.org/officeDocument/2006/docPropsVTypes"/>
</file>