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Introduction</w:t>
      </w:r>
    </w:p>
    <w:p>
      <w:pPr>
        <w:spacing w:after="200" w:line="480"/>
        <w:jc w:val="both"/>
      </w:pPr>
      <w:r>
        <w:rPr>
          <w:rFonts w:ascii="Times New Roman" w:cs="Times New Roman" w:eastAsia="Times New Roman" w:hAnsi="Times New Roman"/>
          <w:sz w:val="24"/>
          <w:szCs w:val="24"/>
        </w:rPr>
        <w:t xml:space="preserve">Colorectal cancer (CRC) is the third most commonly diagnosed cancer worldwide and the second leading cause of cancer-related mortality, with approximately 1.9 million new cases and 930,000 deaths estimated annually (Sung et al. 2021). The global burden is projected to reach 3.2 million new cases per year by 2040, driven by aging populations and the adoption of Western dietary patterns in low- and middle-income countries (Xi and Xu 2021). Early detection substantially improves survival, yet colonoscopy-based screening programs remain resource-intensive and achieve incomplete population coverage, particularly in underserved settings. There is consequently a pressing need for non-invasive, scalable biomarkers that can complement or precede endoscopic screening.</w:t>
      </w:r>
    </w:p>
    <w:p>
      <w:pPr>
        <w:spacing w:after="200" w:line="480"/>
        <w:jc w:val="both"/>
      </w:pPr>
      <w:r>
        <w:rPr>
          <w:rFonts w:ascii="Times New Roman" w:cs="Times New Roman" w:eastAsia="Times New Roman" w:hAnsi="Times New Roman"/>
          <w:sz w:val="24"/>
          <w:szCs w:val="24"/>
        </w:rPr>
        <w:t xml:space="preserve">The gut microbiome has emerged as a promising source of such biomarkers. Large-scale metagenomic studies have identified reproducible microbial signatures that distinguish CRC patients from healthy controls, with reported classification accuracies (area under the receiver operating characteristic curve, AUC) typically ranging from 0.75 to 0.85 in cross-cohort validation (Wirbel et al. 2019; Thomas et al. 2019; Yachida et al. 2019). A recent pooled analysis of 3,741 metagenomes across 18 cohorts achieved a mean AUC of 0.85, further establishing the diagnostic potential of stool-based metagenomic profiling (Piccinno et al. 2025). These findings have motivated a growing body of work applying machine learning to metagenomic features for CRC detection.</w:t>
      </w:r>
    </w:p>
    <w:p>
      <w:pPr>
        <w:spacing w:after="200" w:line="480"/>
        <w:jc w:val="both"/>
      </w:pPr>
      <w:r>
        <w:rPr>
          <w:rFonts w:ascii="Times New Roman" w:cs="Times New Roman" w:eastAsia="Times New Roman" w:hAnsi="Times New Roman"/>
          <w:sz w:val="24"/>
          <w:szCs w:val="24"/>
        </w:rPr>
        <w:t xml:space="preserve">Thomas et al. (2019) introduced a landmark multi-cohort classification framework that combined species-level taxonomic profiles with metabolic pathway abundances from seven geographically diverse cohorts (n = 762), using leave-one-dataset-out (LODO) cross-validation to evaluate cross-cohort generalization. Their approach demonstrated that metagenomic classifiers trained on pooled multi-cohort data outperformed single-cohort models and identified </w:t>
      </w:r>
      <w:r>
        <w:rPr>
          <w:rFonts w:ascii="Times New Roman" w:cs="Times New Roman" w:eastAsia="Times New Roman" w:hAnsi="Times New Roman"/>
          <w:i/>
          <w:iCs/>
          <w:sz w:val="24"/>
          <w:szCs w:val="24"/>
        </w:rPr>
        <w:t xml:space="preserve">Fusobacterium nucleatum</w:t>
      </w:r>
      <w:r>
        <w:rPr>
          <w:rFonts w:ascii="Times New Roman" w:cs="Times New Roman" w:eastAsia="Times New Roman" w:hAnsi="Times New Roman"/>
          <w:sz w:val="24"/>
          <w:szCs w:val="24"/>
        </w:rPr>
        <w:t xml:space="preserve">, choline trimethylamine-lyase, and other microbial features as consistent CRC-associated biomarkers. This framework has become a standard reference for metagenomics-based CRC classification.</w:t>
      </w:r>
    </w:p>
    <w:p>
      <w:pPr>
        <w:spacing w:after="200" w:line="480"/>
        <w:jc w:val="both"/>
      </w:pPr>
      <w:r>
        <w:rPr>
          <w:rFonts w:ascii="Times New Roman" w:cs="Times New Roman" w:eastAsia="Times New Roman" w:hAnsi="Times New Roman"/>
          <w:sz w:val="24"/>
          <w:szCs w:val="24"/>
        </w:rPr>
        <w:t xml:space="preserve">However, as the field has scaled to larger cohorts and more complex feature sets, several methodological concerns have received insufficient attention. First, the contribution of functional pathway features relative to species-level taxonomic features has not been rigorously tested with formal statistical comparison; most studies report joint model performance without asking whether pathways actually improve upon species alone. Second, feature filtering applied globally rather than within each cross-validation fold risks information leakage from test-set samples into the training pipeline, potentially inflating performance estimates. Third, robustness of classification results to analytical choices (filter thresholds, random seeds, batch effects, potential confounders) is rarely reported systematically, making it difficult to assess whether findings reflect stable biological signals or are artifacts of specific analytical configurations.</w:t>
      </w:r>
    </w:p>
    <w:p>
      <w:pPr>
        <w:spacing w:after="200" w:line="480"/>
        <w:jc w:val="both"/>
      </w:pPr>
      <w:r>
        <w:rPr>
          <w:rFonts w:ascii="Times New Roman" w:cs="Times New Roman" w:eastAsia="Times New Roman" w:hAnsi="Times New Roman"/>
          <w:sz w:val="24"/>
          <w:szCs w:val="24"/>
        </w:rPr>
        <w:t xml:space="preserve">Recent methodological work has begun to address related concerns. Korem and colleagues developed DEBIAS-M to correct processing biases that degrade cross-study generalization of microbiome prediction models (Austin et al. 2025). Separately, benchmarking studies have explored optimal bioinformatics workflows for CRC detection across multiple cohorts (Gihawi et al. 2025). Yet a focused, end-to-end evaluation of the Thomas et al. (2019) framework with modern statistical rigor, including per-fold feature filtering, formal classifier comparison, and a comprehensive robustness battery, has not been performed.</w:t>
      </w:r>
    </w:p>
    <w:p>
      <w:pPr>
        <w:spacing w:after="200" w:line="480"/>
        <w:jc w:val="both"/>
      </w:pPr>
      <w:r>
        <w:rPr>
          <w:rFonts w:ascii="Times New Roman" w:cs="Times New Roman" w:eastAsia="Times New Roman" w:hAnsi="Times New Roman"/>
          <w:sz w:val="24"/>
          <w:szCs w:val="24"/>
        </w:rPr>
        <w:t xml:space="preserve">Here, we revisit the Thomas et al. (2019) CRC classification framework with three objectives. First, we test whether the addition of metabolic pathway features to species-level taxonomic profiles improves classification performance, using the DeLong test on pooled LODO predictions (n = 646) for formal statistical comparison. Second, we implement per-fold pathway filtering to eliminate information leakage from held-out cohorts. Third, we conduct a systematic robustness battery comprising filter threshold sensitivity analysis, confounder assessment, random seed stability, bootstrap confidence intervals, and batch effect evaluation. We additionally evaluate adenoma classification in an exploratory analysis. All code, data, per-sample predictions, and decision logs are publicly available to enable full reproducibility.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2026-04-26T18:10:07.590Z</dcterms:created>
  <dcterms:modified xsi:type="dcterms:W3CDTF">2026-04-26T18:10:07.591Z</dcterms:modified>
</cp:coreProperties>
</file>

<file path=docProps/custom.xml><?xml version="1.0" encoding="utf-8"?>
<Properties xmlns="http://schemas.openxmlformats.org/officeDocument/2006/custom-properties" xmlns:vt="http://schemas.openxmlformats.org/officeDocument/2006/docPropsVTypes"/>
</file>