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Results</w:t>
      </w:r>
    </w:p>
    <w:p>
      <w:pPr>
        <w:pStyle w:val="Heading2"/>
        <w:spacing w:after="200" w:before="360" w:line="480"/>
      </w:pPr>
      <w:r>
        <w:rPr>
          <w:rFonts w:ascii="Times New Roman" w:cs="Times New Roman" w:eastAsia="Times New Roman" w:hAnsi="Times New Roman"/>
          <w:b/>
          <w:bCs/>
          <w:sz w:val="24"/>
          <w:szCs w:val="24"/>
        </w:rPr>
        <w:t xml:space="preserve">CRC versus healthy classification</w:t>
      </w:r>
    </w:p>
    <w:p>
      <w:pPr>
        <w:spacing w:after="200" w:line="480"/>
        <w:jc w:val="both"/>
      </w:pPr>
      <w:r>
        <w:rPr>
          <w:rFonts w:ascii="Times New Roman" w:cs="Times New Roman" w:eastAsia="Times New Roman" w:hAnsi="Times New Roman"/>
          <w:sz w:val="24"/>
          <w:szCs w:val="24"/>
        </w:rPr>
        <w:t xml:space="preserve">The species-only RF achieved a pooled LODO AUC of 0.810 (95% CI: 0.777 to 0.841), with per-cohort AUCs ranging from 0.730 (VogtmannE_2016; 95% CI: 0.629 to 0.823) to 0.868 (YuJ_2015; 95% CI: 0.798 to 0.930). The joint species-plus-pathway RF achieved a pooled AUC of 0.776 (95% CI: 0.739 to 0.811), and the joint XGBoost achieved a pooled AUC of 0.781 (95% CI: 0.745 to 0.816). Per-cohort AUCs and bootstrap confidence intervals for all three models are reported in Supplementary Table S2.</w:t>
      </w:r>
    </w:p>
    <w:p>
      <w:pPr>
        <w:spacing w:after="200" w:line="480"/>
        <w:jc w:val="both"/>
      </w:pPr>
      <w:r>
        <w:rPr>
          <w:rFonts w:ascii="Times New Roman" w:cs="Times New Roman" w:eastAsia="Times New Roman" w:hAnsi="Times New Roman"/>
          <w:sz w:val="24"/>
          <w:szCs w:val="24"/>
        </w:rPr>
        <w:t xml:space="preserve">Seed sensitivity analysis confirmed that the species RF pooled AUC was stable across five random seeds (0, 1, 2, 42, 100): mean 0.805 ± 0.002 (SD), range 0.804 to 0.808.</w:t>
      </w:r>
    </w:p>
    <w:p>
      <w:pPr>
        <w:pStyle w:val="Heading2"/>
        <w:spacing w:after="200" w:before="360" w:line="480"/>
      </w:pPr>
      <w:r>
        <w:rPr>
          <w:rFonts w:ascii="Times New Roman" w:cs="Times New Roman" w:eastAsia="Times New Roman" w:hAnsi="Times New Roman"/>
          <w:b/>
          <w:bCs/>
          <w:sz w:val="24"/>
          <w:szCs w:val="24"/>
        </w:rPr>
        <w:t xml:space="preserve">Statistical comparison of classifiers</w:t>
      </w:r>
    </w:p>
    <w:p>
      <w:pPr>
        <w:spacing w:after="200" w:line="480"/>
        <w:jc w:val="both"/>
      </w:pPr>
      <w:r>
        <w:rPr>
          <w:rFonts w:ascii="Times New Roman" w:cs="Times New Roman" w:eastAsia="Times New Roman" w:hAnsi="Times New Roman"/>
          <w:sz w:val="24"/>
          <w:szCs w:val="24"/>
        </w:rPr>
        <w:t xml:space="preserve">The DeLong test on pooled held-out predictions (n = 646) indicated that the species-only RF significantly outperformed both joint models: species RF versus joint RF, z = 2.88, p = 0.004; species RF versus joint XGBoost, z = 2.65, p = 0.008. The joint XGBoost and joint RF did not differ significantly from each other (z = 0.53, p = 0.596). Per-cohort paired t-tests lacked power to detect these differences: species RF versus joint RF, t(6) = 0.77, p = 0.47; species RF versus joint XGBoost, t(6) = 1.44, p = 0.20.</w:t>
      </w:r>
    </w:p>
    <w:p>
      <w:pPr>
        <w:pStyle w:val="Heading2"/>
        <w:spacing w:after="200" w:before="360" w:line="480"/>
      </w:pPr>
      <w:r>
        <w:rPr>
          <w:rFonts w:ascii="Times New Roman" w:cs="Times New Roman" w:eastAsia="Times New Roman" w:hAnsi="Times New Roman"/>
          <w:b/>
          <w:bCs/>
          <w:sz w:val="24"/>
          <w:szCs w:val="24"/>
        </w:rPr>
        <w:t xml:space="preserve">Adenoma classification</w:t>
      </w:r>
    </w:p>
    <w:p>
      <w:pPr>
        <w:spacing w:after="200" w:line="480"/>
        <w:jc w:val="both"/>
      </w:pPr>
      <w:r>
        <w:rPr>
          <w:rFonts w:ascii="Times New Roman" w:cs="Times New Roman" w:eastAsia="Times New Roman" w:hAnsi="Times New Roman"/>
          <w:sz w:val="24"/>
          <w:szCs w:val="24"/>
        </w:rPr>
        <w:t xml:space="preserve">Under pooled five-fold stratified cross-validation, the healthy-versus-adenoma task yielded AUCs of 0.681 (RF) and 0.709 (XGBoost); the adenoma-versus-CRC task yielded AUCs of 0.787 (RF) and 0.809 (XGBoost). The secondary cross-cohort LODO analysis across the three adenoma-containing cohorts showed substantially lower performance: healthy-versus-adenoma AUCs ranged from 0.58 to 0.62, and adenoma-versus-CRC AUCs ranged from 0.67 to 0.69. This degradation is consistent with the small per-cohort sample sizes (n = 27 to 47 adenoma per cohort) and the known molecular heterogeneity of precancerous adenomas.</w:t>
      </w:r>
    </w:p>
    <w:p>
      <w:pPr>
        <w:pStyle w:val="Heading2"/>
        <w:spacing w:after="200" w:before="360" w:line="480"/>
      </w:pPr>
      <w:r>
        <w:rPr>
          <w:rFonts w:ascii="Times New Roman" w:cs="Times New Roman" w:eastAsia="Times New Roman" w:hAnsi="Times New Roman"/>
          <w:b/>
          <w:bCs/>
          <w:sz w:val="24"/>
          <w:szCs w:val="24"/>
        </w:rPr>
        <w:t xml:space="preserve">Confounder assessment</w:t>
      </w:r>
    </w:p>
    <w:p>
      <w:pPr>
        <w:spacing w:after="200" w:line="480"/>
        <w:jc w:val="both"/>
      </w:pPr>
      <w:r>
        <w:rPr>
          <w:rFonts w:ascii="Times New Roman" w:cs="Times New Roman" w:eastAsia="Times New Roman" w:hAnsi="Times New Roman"/>
          <w:sz w:val="24"/>
          <w:szCs w:val="24"/>
        </w:rPr>
        <w:t xml:space="preserve">Inclusion of age, sex, and BMI as covariates produced minimal change relative to the species-only baseline (pooled AUC 0.803): direct inclusion yielded AUC 0.808 (RF) and 0.812 (XGBoost); residualization yielded AUC 0.807 (RF) and 0.799 (XGBoost). These results confirm that the classifier's discriminative capacity is not driven by demographic confounders.</w:t>
      </w:r>
    </w:p>
    <w:p>
      <w:pPr>
        <w:pStyle w:val="Heading2"/>
        <w:spacing w:after="200" w:before="360" w:line="480"/>
      </w:pPr>
      <w:r>
        <w:rPr>
          <w:rFonts w:ascii="Times New Roman" w:cs="Times New Roman" w:eastAsia="Times New Roman" w:hAnsi="Times New Roman"/>
          <w:b/>
          <w:bCs/>
          <w:sz w:val="24"/>
          <w:szCs w:val="24"/>
        </w:rPr>
        <w:t xml:space="preserve">Filter threshold sensitivity</w:t>
      </w:r>
    </w:p>
    <w:p>
      <w:pPr>
        <w:spacing w:after="200" w:line="480"/>
        <w:jc w:val="both"/>
      </w:pPr>
      <w:r>
        <w:rPr>
          <w:rFonts w:ascii="Times New Roman" w:cs="Times New Roman" w:eastAsia="Times New Roman" w:hAnsi="Times New Roman"/>
          <w:sz w:val="24"/>
          <w:szCs w:val="24"/>
        </w:rPr>
        <w:t xml:space="preserve">Across the 20-combination threshold grid, the species-plus-pathway RF LODO AUC ranged from 0.773 to 0.789 (spread = 0.016), confirming that the default thresholds (prevalence ≥ 10%, mean ≥ 1 ×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are near-optimal and that qualitative conclusions are not sensitive to the specific cutoffs chosen (Supplementary Table S1).</w:t>
      </w:r>
    </w:p>
    <w:p>
      <w:pPr>
        <w:pStyle w:val="Heading2"/>
        <w:spacing w:after="200" w:before="360" w:line="480"/>
      </w:pPr>
      <w:r>
        <w:rPr>
          <w:rFonts w:ascii="Times New Roman" w:cs="Times New Roman" w:eastAsia="Times New Roman" w:hAnsi="Times New Roman"/>
          <w:b/>
          <w:bCs/>
          <w:sz w:val="24"/>
          <w:szCs w:val="24"/>
        </w:rPr>
        <w:t xml:space="preserve">Feature importance</w:t>
      </w:r>
    </w:p>
    <w:p>
      <w:pPr>
        <w:spacing w:after="200" w:line="480"/>
        <w:jc w:val="both"/>
      </w:pPr>
      <w:r>
        <w:rPr>
          <w:rFonts w:ascii="Times New Roman" w:cs="Times New Roman" w:eastAsia="Times New Roman" w:hAnsi="Times New Roman"/>
          <w:sz w:val="24"/>
          <w:szCs w:val="24"/>
        </w:rPr>
        <w:t xml:space="preserve">SHAP analysis identified </w:t>
      </w:r>
      <w:r>
        <w:rPr>
          <w:rFonts w:ascii="Times New Roman" w:cs="Times New Roman" w:eastAsia="Times New Roman" w:hAnsi="Times New Roman"/>
          <w:i/>
          <w:iCs/>
          <w:sz w:val="24"/>
          <w:szCs w:val="24"/>
        </w:rPr>
        <w:t xml:space="preserve">Parvimonas micra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Peptostreptococcus stomatis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Fusobacterium nucleatum</w:t>
      </w:r>
      <w:r>
        <w:rPr>
          <w:rFonts w:ascii="Times New Roman" w:cs="Times New Roman" w:eastAsia="Times New Roman" w:hAnsi="Times New Roman"/>
          <w:sz w:val="24"/>
          <w:szCs w:val="24"/>
        </w:rPr>
        <w:t xml:space="preserve"> as the four most important species for CRC classification in the Random Forest model (Figure 3). The top four features were identical across RF and XGBoost, although their rank order differed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ranked first in XGBoost versus third in RF). Of the top 15 features by mean absolute SHAP value, 8 were shared between RF and XGBoost, indicating substantial concordance in the biological signal captured by both model architectures despite differences in learning algorithms. The XGBoost top 15 additionally included two pathway features (PWY-6588: pyruvate fermentation to acetone; PWY-6263: superpathway of menaquinol-8 biosynthesis II), consistent with the joint model's access to pathway features but reinforcing that species features dominate the discriminative signal.</w:t>
      </w:r>
    </w:p>
    <w:p>
      <w:pPr>
        <w:pStyle w:val="Heading2"/>
        <w:spacing w:after="200" w:before="360" w:line="480"/>
      </w:pPr>
      <w:r>
        <w:rPr>
          <w:rFonts w:ascii="Times New Roman" w:cs="Times New Roman" w:eastAsia="Times New Roman" w:hAnsi="Times New Roman"/>
          <w:b/>
          <w:bCs/>
          <w:sz w:val="24"/>
          <w:szCs w:val="24"/>
        </w:rPr>
        <w:t xml:space="preserve">Figure legends</w:t>
      </w:r>
    </w:p>
    <w:p>
      <w:pPr>
        <w:spacing w:after="200" w:line="480"/>
        <w:jc w:val="both"/>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Forest plot of per-cohort and pooled AUCs with 95% bootstrap confidence intervals for CRC versus healthy classification under LODO cross-validation. Three models are shown: species-only Random Forest (blue), joint species-plus-pathway Random Forest (dark red), and joint XGBoost (light red). Each cohort is displayed as a separate row; the pooled estimate across all 646 held-out predictions is shown at the bottom.</w:t>
      </w:r>
    </w:p>
    <w:p>
      <w:pPr>
        <w:spacing w:after="200" w:line="480"/>
        <w:jc w:val="both"/>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Receiver operating characteristic (ROC) curves for pooled LODO predictions (n = 646) comparing species-only Random Forest (AUC = 0.810), joint Random Forest (AUC = 0.776), and joint XGBoost (AUC = 0.781). The diagonal dashed line indicates chance-level classification (AUC = 0.5).</w:t>
      </w:r>
    </w:p>
    <w:p>
      <w:pPr>
        <w:spacing w:after="200" w:line="480"/>
        <w:jc w:val="both"/>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Top 15 species by mean absolute SHAP value for CRC versus healthy classification. Left panel: Random Forest; right panel: XGBoost. The four most important species (Parvimonas micra, Peptostreptococcus stomatis, Gemella morbillorum, and Fusobacterium nucleatum) are consistent across both models. Of the top 15 features, 8 are shared between RF and XGBoost.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2026-04-26T18:42:54.060Z</dcterms:created>
  <dcterms:modified xsi:type="dcterms:W3CDTF">2026-04-26T18:42:54.060Z</dcterms:modified>
</cp:coreProperties>
</file>

<file path=docProps/custom.xml><?xml version="1.0" encoding="utf-8"?>
<Properties xmlns="http://schemas.openxmlformats.org/officeDocument/2006/custom-properties" xmlns:vt="http://schemas.openxmlformats.org/officeDocument/2006/docPropsVTypes"/>
</file>