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w:t>
      </w:r>
    </w:p>
    <w:p>
      <w:pPr>
        <w:pStyle w:val="Heading2"/>
      </w:pPr>
      <w:r>
        <w:t>Study design and cohort selection</w:t>
      </w:r>
    </w:p>
    <w:p>
      <w:r>
        <w:t xml:space="preserve">We performed a multi-cohort classification study to evaluate the discriminative capacity of gut metagenomic features for colorectal cancer (CRC) detection, extending the analytical framework of Thomas et al. (2019). Uniformly processed shotgun metagenomic profiles were obtained from the curatedMetagenomicData Bioconductor resource (Pasolli et al. 2017) using the </w:t>
      </w:r>
      <w:r>
        <w:rPr>
          <w:rFonts w:ascii="Courier New" w:hAnsi="Courier New"/>
        </w:rPr>
        <w:t>returnSamples()</w:t>
      </w:r>
      <w:r>
        <w:t xml:space="preserve"> function in R. Exact R, Bioconductor, and curatedMetagenomicData versions used for data extraction are recorded in the repository's </w:t>
      </w:r>
      <w:r>
        <w:rPr>
          <w:rFonts w:ascii="Courier New" w:hAnsi="Courier New"/>
        </w:rPr>
        <w:t>session_info.txt</w:t>
      </w:r>
      <w:r>
        <w:t>.</w:t>
      </w:r>
    </w:p>
    <w:p>
      <w:r>
        <w:t xml:space="preserve">Ten cohorts were retained for analysis: FengQ_2015 (Austria), GuptaA_2019 (India), ThomasAM_2018a (Italy), ThomasAM_2018b (Italy), ThomasAM_2019_c (Japan), VogtmannE_2016 (USA), WirbelJ_2018 (Germany), YachidaS_2019 (Japan), YuJ_2015 (China), and ZellerG_2014 (France). HanniganGD_2017 was excluded a priori based on a pre-specified, classifier-blind quality assessment: mean sequencing depth of 6.5M reads (range 17K–21M) was substantially below all other cohorts (per-cohort mean depth in the retained 10-cohort set ranges from 9.2M for GuptaA_2019 to 102M for ThomasAM_2018a; all other retained cohorts &gt;40M) and species feature sparsity was 82% versus a 61% mean across other cohorts. An additional per-sample minimum of 1M reads removed four extreme outliers. The final dataset contained 1,522 unique subjects (674 CRC, 665 healthy controls, 183 adenomas); subject identity was audited to confirm that no individual appeared in more than one cohort. The metadata </w:t>
      </w:r>
      <w:r>
        <w:rPr>
          <w:rFonts w:ascii="Courier New" w:hAnsi="Courier New"/>
        </w:rPr>
        <w:t>study_condition</w:t>
      </w:r>
      <w:r>
        <w:t xml:space="preserve"> field uses the value </w:t>
      </w:r>
      <w:r>
        <w:rPr>
          <w:rFonts w:ascii="Courier New" w:hAnsi="Courier New"/>
        </w:rPr>
        <w:t>control</w:t>
      </w:r>
      <w:r>
        <w:t xml:space="preserve"> (not </w:t>
      </w:r>
      <w:r>
        <w:rPr>
          <w:rFonts w:ascii="Courier New" w:hAnsi="Courier New"/>
        </w:rPr>
        <w:t>healthy</w:t>
      </w:r>
      <w:r>
        <w:t>); we use "control" throughout for samples coded as such. Demographic characteristics (age, sex, BMI) were extracted from sample metadata (Table 1).</w:t>
      </w:r>
    </w:p>
    <w:p>
      <w:pPr>
        <w:pStyle w:val="Heading2"/>
      </w:pPr>
      <w:r>
        <w:t>Feature extraction and preprocessing</w:t>
      </w:r>
    </w:p>
    <w:p>
      <w:r>
        <w:rPr>
          <w:b/>
        </w:rPr>
        <w:t>Species abundance.</w:t>
      </w:r>
      <w:r>
        <w:t xml:space="preserve"> Taxonomic profiles were taken from MetaPhlAn relative abundance tables (Truong et al. 2015). Species-level features were filtered to taxa with prevalence ≥ 10% and mean relative abundance ≥ 1 × 10⁻⁴, yielding 229 species features. Retained features were row-sum renormalized (when input was on a percentage scale) and log-transformed as log₁₀(x + 1 × 10⁻⁶). The species filter is computed globally rather than per fold; this is a mild form of feature-set leakage, accepted on three grounds: (i) MetaPhlAn maps to a fixed reference database, so the filter primarily removes globally rare taxa; (ii) only 229 species are retained, providing little room for overfitting at the filter stage; and (iii) global species filtering matches the reference standard set by Thomas et al. (2019).</w:t>
      </w:r>
    </w:p>
    <w:p>
      <w:r>
        <w:rPr>
          <w:b/>
        </w:rPr>
        <w:t>Pathway abundance.</w:t>
      </w:r>
      <w:r>
        <w:t xml:space="preserve"> Functional profiles were taken from HUMAnN unstratified pathway abundance tables (Franzosa et al. 2018). Per-cohort pathway tables were concatenated into a single matrix. Only unstratified pathway features (community-level pathway abundances, excluding taxon-stratified columns) were retained as joint-model candidates, yielding 551 candidate columns. A prevalence ≥ 10% and mean ≥ 1 × 10⁻⁶ filter was applied </w:t>
      </w:r>
      <w:r>
        <w:rPr>
          <w:i/>
        </w:rPr>
        <w:t>within each LODO fold using only training-cohort samples</w:t>
      </w:r>
      <w:r>
        <w:t>, retaining 402–406 pathways per fold (633–635 total features after merging with species). Pathway features were retained on their native relative-abundance scale; because Random Forest and XGBoost split decisions are scale-invariant per feature, the asymmetric handling of species (log-transformed) and pathway (raw) features does not affect AUC.</w:t>
      </w:r>
    </w:p>
    <w:p>
      <w:r>
        <w:t xml:space="preserve">Stratified taxon|pathway features were considered but excluded: they produce &gt;4,000 highly redundant columns and did not improve AUC in pilot tests. Pathway features were also evaluated under a biologically-guided subset (eight CRC-relevant functional groups, ~84 candidate pathways yielding ~66 retained features per fold; </w:t>
      </w:r>
      <w:r>
        <w:rPr>
          <w:rFonts w:ascii="Courier New" w:hAnsi="Courier New"/>
        </w:rPr>
        <w:t>scripts/bio_pathway_shortlist.py</w:t>
      </w:r>
      <w:r>
        <w:t xml:space="preserve">) and as species-stratified pathways (pilot in </w:t>
      </w:r>
      <w:r>
        <w:rPr>
          <w:rFonts w:ascii="Courier New" w:hAnsi="Courier New"/>
        </w:rPr>
        <w:t>scripts/stratified_pathway_pilot.py</w:t>
      </w:r>
      <w:r>
        <w:t xml:space="preserve">, </w:t>
      </w:r>
      <w:r>
        <w:rPr>
          <w:rFonts w:ascii="Courier New" w:hAnsi="Courier New"/>
        </w:rPr>
        <w:t>results/stratified_pathway_pilot.csv</w:t>
      </w:r>
      <w:r>
        <w:t>); neither rescued the joint model, indicating that the negative result on community-level pathways is not an artefact of feature granularity.</w:t>
      </w:r>
    </w:p>
    <w:p>
      <w:pPr>
        <w:pStyle w:val="Heading2"/>
      </w:pPr>
      <w:r>
        <w:t>Country-aware leave-one-dataset-out cross-validation</w:t>
      </w:r>
    </w:p>
    <w:p>
      <w:r>
        <w:t xml:space="preserve">LODO cross-validation holds out one cohort as the test set while training on the remaining cohorts. Because two pairs of cohorts share a country (ThomasAM_2018a / ThomasAM_2018b in Italy; ThomasAM_2019_c / YachidaS_2019 in Japan), we used a </w:t>
      </w:r>
      <w:r>
        <w:rPr>
          <w:i/>
        </w:rPr>
        <w:t>country-aware</w:t>
      </w:r>
      <w:r>
        <w:t xml:space="preserve"> LODO design: when a cohort is held out, all cohorts from the same country are also removed from the training fold. Without this fix, ThomasAM_2019_c reached an inflated AUC of 0.999 due to YachidaS_2019 in training; with country-aware LODO the AUC drops to a biologically plausible 0.836. Country-aware LODO is applied consistently across </w:t>
      </w:r>
      <w:r>
        <w:rPr>
          <w:rFonts w:ascii="Courier New" w:hAnsi="Courier New"/>
        </w:rPr>
        <w:t>train_baseline.py</w:t>
      </w:r>
      <w:r>
        <w:t xml:space="preserve">, </w:t>
      </w:r>
      <w:r>
        <w:rPr>
          <w:rFonts w:ascii="Courier New" w:hAnsi="Courier New"/>
        </w:rPr>
        <w:t>train_joint.py</w:t>
      </w:r>
      <w:r>
        <w:t xml:space="preserve">, </w:t>
      </w:r>
      <w:r>
        <w:rPr>
          <w:rFonts w:ascii="Courier New" w:hAnsi="Courier New"/>
        </w:rPr>
        <w:t>seed_sensitivity.py</w:t>
      </w:r>
      <w:r>
        <w:t xml:space="preserve">, </w:t>
      </w:r>
      <w:r>
        <w:rPr>
          <w:rFonts w:ascii="Courier New" w:hAnsi="Courier New"/>
        </w:rPr>
        <w:t>sensitivity_analysis.py</w:t>
      </w:r>
      <w:r>
        <w:t xml:space="preserve">, and </w:t>
      </w:r>
      <w:r>
        <w:rPr>
          <w:rFonts w:ascii="Courier New" w:hAnsi="Courier New"/>
        </w:rPr>
        <w:t>bio_pathway_shortlist.py</w:t>
      </w:r>
      <w:r>
        <w:t>.</w:t>
      </w:r>
    </w:p>
    <w:p>
      <w:pPr>
        <w:pStyle w:val="Heading2"/>
      </w:pPr>
      <w:r>
        <w:t>Batch-effect mitigation</w:t>
      </w:r>
    </w:p>
    <w:p>
      <w:r>
        <w:t xml:space="preserve">Cross-cohort variability in DNA extraction, library preparation, sequencing depth, and host population genetics is the dominant source of unwanted variation in pooled gut metagenomic data. Our design treats this as a structural problem rather than a post-hoc statistical correction. Country-aware LODO is the </w:t>
      </w:r>
      <w:r>
        <w:rPr>
          <w:i/>
        </w:rPr>
        <w:t>primary</w:t>
      </w:r>
      <w:r>
        <w:t xml:space="preserve"> batch-effect mitigation: each cohort is treated as a single batch, the test cohort is held out in full, and any other cohort sharing the test cohort's country is additionally excluded from training (Italy and Japan pairs above) to remove population-level genetic and dietary confounding from the train–test split. Per-fold filtering and feature normalisation use only training-cohort statistics; no within-fold scaling or standardisation is applied beyond the global species log₁₀ transform described above. Per-fold ComBat (Johnson et al. 2007) on species features, fit jointly on train and test feature matrices using only </w:t>
      </w:r>
      <w:r>
        <w:rPr>
          <w:rFonts w:ascii="Courier New" w:hAnsi="Courier New"/>
        </w:rPr>
        <w:t>study_name</w:t>
      </w:r>
      <w:r>
        <w:t xml:space="preserve"> as the batch label, is reported as a </w:t>
      </w:r>
      <w:r>
        <w:rPr>
          <w:i/>
        </w:rPr>
        <w:t>robustness check</w:t>
      </w:r>
      <w:r>
        <w:t xml:space="preserve"> rather than the primary correction (</w:t>
      </w:r>
      <w:r>
        <w:rPr>
          <w:rFonts w:ascii="Courier New" w:hAnsi="Courier New"/>
        </w:rPr>
        <w:t>results/combat_results.csv</w:t>
      </w:r>
      <w:r>
        <w:t>): the ComBat-corrected pooled per-cohort mean AUC is 0.815 versus 0.807 uncorrected, and qualitative conclusions are unchanged. This ordering — design first, statistical correction second — reflects the view that residual batch structure that survives country-aware LODO is not reliably removed by mean/variance harmonisation alone.</w:t>
      </w:r>
    </w:p>
    <w:p>
      <w:pPr>
        <w:pStyle w:val="Heading2"/>
      </w:pPr>
      <w:r>
        <w:t>Classifiers</w:t>
      </w:r>
    </w:p>
    <w:p>
      <w:r>
        <w:rPr>
          <w:b/>
        </w:rPr>
        <w:t>CRC vs control.</w:t>
      </w:r>
      <w:r>
        <w:t xml:space="preserve"> Binary classification of CRC (n = 674) versus controls (n = 665) was performed on the 1,339 case/control subjects under country-aware LODO. Three models were compared: (1) species-only Random Forest, (2) joint species-plus-pathway Random Forest, and (3) joint species-plus-pathway XGBoost. Random Forest was configured with </w:t>
      </w:r>
      <w:r>
        <w:rPr>
          <w:rFonts w:ascii="Courier New" w:hAnsi="Courier New"/>
        </w:rPr>
        <w:t>n_estimators = 500</w:t>
      </w:r>
      <w:r>
        <w:t xml:space="preserve">, </w:t>
      </w:r>
      <w:r>
        <w:rPr>
          <w:rFonts w:ascii="Courier New" w:hAnsi="Courier New"/>
        </w:rPr>
        <w:t>max_features = 'sqrt'</w:t>
      </w:r>
      <w:r>
        <w:t xml:space="preserve">, </w:t>
      </w:r>
      <w:r>
        <w:rPr>
          <w:rFonts w:ascii="Courier New" w:hAnsi="Courier New"/>
        </w:rPr>
        <w:t>min_samples_leaf = 5</w:t>
      </w:r>
      <w:r>
        <w:t xml:space="preserve">, </w:t>
      </w:r>
      <w:r>
        <w:rPr>
          <w:rFonts w:ascii="Courier New" w:hAnsi="Courier New"/>
        </w:rPr>
        <w:t>class_weight = 'balanced'</w:t>
      </w:r>
      <w:r>
        <w:t xml:space="preserve">. XGBoost was configured with </w:t>
      </w:r>
      <w:r>
        <w:rPr>
          <w:rFonts w:ascii="Courier New" w:hAnsi="Courier New"/>
        </w:rPr>
        <w:t>n_estimators = 500</w:t>
      </w:r>
      <w:r>
        <w:t xml:space="preserve">, </w:t>
      </w:r>
      <w:r>
        <w:rPr>
          <w:rFonts w:ascii="Courier New" w:hAnsi="Courier New"/>
        </w:rPr>
        <w:t>max_depth = 6</w:t>
      </w:r>
      <w:r>
        <w:t xml:space="preserve">, </w:t>
      </w:r>
      <w:r>
        <w:rPr>
          <w:rFonts w:ascii="Courier New" w:hAnsi="Courier New"/>
        </w:rPr>
        <w:t>learning_rate = 0.1</w:t>
      </w:r>
      <w:r>
        <w:t xml:space="preserve">, </w:t>
      </w:r>
      <w:r>
        <w:rPr>
          <w:rFonts w:ascii="Courier New" w:hAnsi="Courier New"/>
        </w:rPr>
        <w:t>subsample = 0.8</w:t>
      </w:r>
      <w:r>
        <w:t xml:space="preserve">, </w:t>
      </w:r>
      <w:r>
        <w:rPr>
          <w:rFonts w:ascii="Courier New" w:hAnsi="Courier New"/>
        </w:rPr>
        <w:t>colsample_bytree = 0.8</w:t>
      </w:r>
      <w:r>
        <w:t xml:space="preserve">; for adenoma tasks, XGBoost additionally used </w:t>
      </w:r>
      <w:r>
        <w:rPr>
          <w:rFonts w:ascii="Courier New" w:hAnsi="Courier New"/>
        </w:rPr>
        <w:t>scale_pos_weight</w:t>
      </w:r>
      <w:r>
        <w:t xml:space="preserve"> equal to the inverse class ratio recomputed per fold. Hyperparameters were not tuned via nested cross-validation because the joint model did not statistically outperform the species-only baseline, making further optimization unlikely to alter qualitative conclusions. All models used </w:t>
      </w:r>
      <w:r>
        <w:rPr>
          <w:rFonts w:ascii="Courier New" w:hAnsi="Courier New"/>
        </w:rPr>
        <w:t>random_state = 42</w:t>
      </w:r>
      <w:r>
        <w:t xml:space="preserve"> unless stated otherwise.</w:t>
      </w:r>
    </w:p>
    <w:p>
      <w:r>
        <w:rPr>
          <w:b/>
        </w:rPr>
        <w:t>Adenoma classification.</w:t>
      </w:r>
      <w:r>
        <w:t xml:space="preserve"> Four cohorts contain adenoma samples (FengQ_2015: n = 47; YachidaS_2019: n = 67; ZellerG_2014: n = 42; ThomasAM_2018a: n = 27; total n = 183). All four are from different countries, so no additional country-aware exclusion is required. Two binary tasks were evaluated under country-aware LODO across these four cohorts: control-vs-adenoma (H-vs-A) and adenoma-vs-CRC (A-vs-CRC), each with RF and XGBoost. An earlier within-cohort pooled five-fold protocol (</w:t>
      </w:r>
      <w:r>
        <w:rPr>
          <w:rFonts w:ascii="Courier New" w:hAnsi="Courier New"/>
        </w:rPr>
        <w:t>train_adenoma.py</w:t>
      </w:r>
      <w:r>
        <w:t xml:space="preserve">) is retained in the repository for reference only; all current adenoma results use </w:t>
      </w:r>
      <w:r>
        <w:rPr>
          <w:rFonts w:ascii="Courier New" w:hAnsi="Courier New"/>
        </w:rPr>
        <w:t>adenoma_lodo.py</w:t>
      </w:r>
      <w:r>
        <w:t xml:space="preserve"> (Decision Memo, </w:t>
      </w:r>
      <w:r>
        <w:rPr>
          <w:rFonts w:ascii="Courier New" w:hAnsi="Courier New"/>
        </w:rPr>
        <w:t>results/adenoma_go_nogo_memo.md</w:t>
      </w:r>
      <w:r>
        <w:t>).</w:t>
      </w:r>
    </w:p>
    <w:p>
      <w:r>
        <w:t>Class imbalance was handled by class-weighting (</w:t>
      </w:r>
      <w:r>
        <w:rPr>
          <w:rFonts w:ascii="Courier New" w:hAnsi="Courier New"/>
        </w:rPr>
        <w:t>class_weight='balanced'</w:t>
      </w:r>
      <w:r>
        <w:t xml:space="preserve"> for RF; per-fold </w:t>
      </w:r>
      <w:r>
        <w:rPr>
          <w:rFonts w:ascii="Courier New" w:hAnsi="Courier New"/>
        </w:rPr>
        <w:t>scale_pos_weight</w:t>
      </w:r>
      <w:r>
        <w:t xml:space="preserve"> for XGBoost); SMOTE was not used.</w:t>
      </w:r>
    </w:p>
    <w:p>
      <w:pPr>
        <w:pStyle w:val="Heading2"/>
      </w:pPr>
      <w:r>
        <w:t>Statistical comparison of classifiers</w:t>
      </w:r>
    </w:p>
    <w:p>
      <w:r>
        <w:t>Model performance was compared using three complementary tests. First, per-cohort AUC differences across the 10 LODO folds were assessed by paired t-test (df = 9) and Wilcoxon signed-rank test, with 95% bootstrap confidence intervals on the mean difference (</w:t>
      </w:r>
      <w:r>
        <w:rPr>
          <w:rFonts w:ascii="Courier New" w:hAnsi="Courier New"/>
        </w:rPr>
        <w:t>scripts/auc_comparison.py</w:t>
      </w:r>
      <w:r>
        <w:t>). These per-cohort tests have limited power at n = 10. Second, the DeLong test (DeLong et al. 1988) using the fast implementation of Sun and Xu (2014) was applied to pooled held-out predictions (n = 1,339), comparing the ROC curves of each classifier pair on the same sample-level predictions. The DeLong test has substantially greater statistical power than the per-cohort paired tests and is the inferential anchor of the manuscript. Per-sample LODO predictions (sample_id, cohort, y_true, y_prob) were saved in long format per classifier (</w:t>
      </w:r>
      <w:r>
        <w:rPr>
          <w:rFonts w:ascii="Courier New" w:hAnsi="Courier New"/>
        </w:rPr>
        <w:t>results/preds_*.csv</w:t>
      </w:r>
      <w:r>
        <w:t>) to enable post-hoc DeLong comparisons without re-running classifiers.</w:t>
      </w:r>
    </w:p>
    <w:p>
      <w:pPr>
        <w:pStyle w:val="Heading2"/>
      </w:pPr>
      <w:r>
        <w:t>Bootstrap confidence intervals</w:t>
      </w:r>
    </w:p>
    <w:p>
      <w:r>
        <w:t>Nonparametric bootstrap 95% confidence intervals were computed using 10,000 iterations (</w:t>
      </w:r>
      <w:r>
        <w:rPr>
          <w:rFonts w:ascii="Courier New" w:hAnsi="Courier New"/>
        </w:rPr>
        <w:t>scripts/bootstrap_ci.py</w:t>
      </w:r>
      <w:r>
        <w:t>). Per-cohort CIs use i.i.d. resampling within each held-out cohort; pooled CIs use cohort-stratified resampling (resampling within each cohort separately and concatenating) to preserve the LODO sample-size structure.</w:t>
      </w:r>
    </w:p>
    <w:p>
      <w:pPr>
        <w:pStyle w:val="Heading2"/>
      </w:pPr>
      <w:r>
        <w:t>Feature importance</w:t>
      </w:r>
    </w:p>
    <w:p>
      <w:r>
        <w:t>Per-feature contributions were quantified using SHAP (SHapley Additive exPlanations; Lundberg and Lee 2017) values computed with TreeSHAP on the joint RF, joint XGBoost, and the two adenoma classifiers (</w:t>
      </w:r>
      <w:r>
        <w:rPr>
          <w:rFonts w:ascii="Courier New" w:hAnsi="Courier New"/>
        </w:rPr>
        <w:t>results/shap_*.csv</w:t>
      </w:r>
      <w:r>
        <w:t>). The top features by mean absolute SHAP value were compared across model architectures and across the H-vs-A, CRC-vs-control, and A-vs-CRC tasks.</w:t>
      </w:r>
    </w:p>
    <w:p>
      <w:pPr>
        <w:pStyle w:val="Heading2"/>
      </w:pPr>
      <w:r>
        <w:t>Robustness battery</w:t>
      </w:r>
    </w:p>
    <w:p>
      <w:r>
        <w:rPr>
          <w:b/>
        </w:rPr>
        <w:t>Filter-threshold sensitivity.</w:t>
      </w:r>
      <w:r>
        <w:t xml:space="preserve"> The joint RF LODO was repeated across a 20-cell grid of prevalence cutoffs {0.05, 0.10, 0.15, 0.20} × mean-abundance cutoffs {1e-7, 1e-6, 1e-5, 1e-4, 1e-3}. The per-fold prevalence/mean filter is applied to training-cohort samples only, matching the headline run. Results in </w:t>
      </w:r>
      <w:r>
        <w:rPr>
          <w:rFonts w:ascii="Courier New" w:hAnsi="Courier New"/>
        </w:rPr>
        <w:t>results/sensitivity_thresholds.csv</w:t>
      </w:r>
      <w:r>
        <w:t>.</w:t>
      </w:r>
    </w:p>
    <w:p>
      <w:r>
        <w:rPr>
          <w:b/>
        </w:rPr>
        <w:t>Confounder assessment.</w:t>
      </w:r>
      <w:r>
        <w:t xml:space="preserve"> Age, sex, and BMI were tested as potential confounders via two approaches: (1) direct inclusion as additional features alongside species abundances, and (2) residualization, in which each species feature was regressed on the covariates by ordinary least squares and the residuals were used for classification. Train-fold-only medians (age, BMI) and modes (sex) were used for missing-value imputation to prevent leakage from test-fold samples.</w:t>
      </w:r>
    </w:p>
    <w:p>
      <w:r>
        <w:rPr>
          <w:b/>
        </w:rPr>
        <w:t>Seed sensitivity.</w:t>
      </w:r>
      <w:r>
        <w:t xml:space="preserve"> The species-only RF country-aware LODO was repeated at five random seeds {0, 1, 2, 42, 100} (</w:t>
      </w:r>
      <w:r>
        <w:rPr>
          <w:rFonts w:ascii="Courier New" w:hAnsi="Courier New"/>
        </w:rPr>
        <w:t>results/seed_sensitivity.csv</w:t>
      </w:r>
      <w:r>
        <w:t>).</w:t>
      </w:r>
    </w:p>
    <w:p>
      <w:r>
        <w:rPr>
          <w:b/>
        </w:rPr>
        <w:t>Batch correction (robustness check).</w:t>
      </w:r>
      <w:r>
        <w:t xml:space="preserve"> As described in </w:t>
      </w:r>
      <w:r>
        <w:rPr>
          <w:i/>
        </w:rPr>
        <w:t>Batch-effect mitigation</w:t>
      </w:r>
      <w:r>
        <w:t xml:space="preserve"> above, per-fold ComBat (Johnson et al. 2007), as implemented in </w:t>
      </w:r>
      <w:r>
        <w:rPr>
          <w:rFonts w:ascii="Courier New" w:hAnsi="Courier New"/>
        </w:rPr>
        <w:t>combat.pycombat.pycombat</w:t>
      </w:r>
      <w:r>
        <w:t>, was applied to species features within each LODO fold and reported as a robustness check on the country-aware LODO design rather than as the primary correction. ComBat was fit jointly on train and test feature matrices using only batch labels (</w:t>
      </w:r>
      <w:r>
        <w:rPr>
          <w:rFonts w:ascii="Courier New" w:hAnsi="Courier New"/>
        </w:rPr>
        <w:t>study_name</w:t>
      </w:r>
      <w:r>
        <w:t>); class labels were never seen by ComBat, preserving LODO no-leakage while keeping train and test in the same corrected feature space. Pooled per-cohort mean AUC: 0.815 corrected versus 0.807 uncorrected (</w:t>
      </w:r>
      <w:r>
        <w:rPr>
          <w:rFonts w:ascii="Courier New" w:hAnsi="Courier New"/>
        </w:rPr>
        <w:t>results/combat_results.csv</w:t>
      </w:r>
      <w:r>
        <w:t>).</w:t>
      </w:r>
    </w:p>
    <w:p>
      <w:r>
        <w:rPr>
          <w:b/>
        </w:rPr>
        <w:t>Biologically-guided pathway shortlist.</w:t>
      </w:r>
      <w:r>
        <w:t xml:space="preserve"> A pre-specified, keyword-based subset of CRC-relevant pathways was constructed across eight biological groups (butyrate/SCFA production, fermentation, LPS/inflammation, polyamine synthesis, tryptophan metabolism, folate/one-carbon metabolism, sulfur/methionine metabolism, glycan/mucin degradation). Keyword selection was specified before model training based on published CRC microbiome literature (</w:t>
      </w:r>
      <w:r>
        <w:rPr>
          <w:rFonts w:ascii="Courier New" w:hAnsi="Courier New"/>
        </w:rPr>
        <w:t>scripts/bio_pathway_shortlist.py</w:t>
      </w:r>
      <w:r>
        <w:t>).</w:t>
      </w:r>
    </w:p>
    <w:p>
      <w:pPr>
        <w:pStyle w:val="Heading2"/>
      </w:pPr>
      <w:r>
        <w:t>Software and reproducibility</w:t>
      </w:r>
    </w:p>
    <w:p>
      <w:r>
        <w:t xml:space="preserve">All classification and statistical analyses were implemented in Python with scikit-learn 1.4.2 (Pedregosa et al. 2011), XGBoost 2.0.3 (Chen and Guestrin 2016), SHAP 0.44.1 (Lundberg and Lee 2017), pandas 2.2.3, NumPy 1.26.4, SciPy 1.12.0, and matplotlib 3.8.5. Python package versions are pinned in </w:t>
      </w:r>
      <w:r>
        <w:rPr>
          <w:rFonts w:ascii="Courier New" w:hAnsi="Courier New"/>
        </w:rPr>
        <w:t>requirements.lock</w:t>
      </w:r>
      <w:r>
        <w:t xml:space="preserve">. Data extraction was performed in R using curatedMetagenomicData (Pasolli et al. 2017) via Bioconductor; the R session is recorded in </w:t>
      </w:r>
      <w:r>
        <w:rPr>
          <w:rFonts w:ascii="Courier New" w:hAnsi="Courier New"/>
        </w:rPr>
        <w:t>session_info.txt</w:t>
      </w:r>
      <w:r>
        <w:t xml:space="preserve">. All scripts use </w:t>
      </w:r>
      <w:r>
        <w:rPr>
          <w:rFonts w:ascii="Courier New" w:hAnsi="Courier New"/>
        </w:rPr>
        <w:t>random_state = 42</w:t>
      </w:r>
      <w:r>
        <w:t xml:space="preserve"> and produce deterministic results. A verification script (</w:t>
      </w:r>
      <w:r>
        <w:rPr>
          <w:rFonts w:ascii="Courier New" w:hAnsi="Courier New"/>
        </w:rPr>
        <w:t>scripts/verify_results.py</w:t>
      </w:r>
      <w:r>
        <w:t>) asserts that headline AUC values match expected values within a tolerance of 0.002.</w:t>
      </w:r>
    </w:p>
    <w:p>
      <w:pPr>
        <w:pStyle w:val="Heading2"/>
      </w:pPr>
      <w:r>
        <w:t>Data and code availability</w:t>
      </w:r>
    </w:p>
    <w:p>
      <w:r>
        <w:t xml:space="preserve">All metagenomic data are publicly available through curatedMetagenomicData via Bioconductor. Retrieval used </w:t>
      </w:r>
      <w:r>
        <w:rPr>
          <w:rFonts w:ascii="Courier New" w:hAnsi="Courier New"/>
        </w:rPr>
        <w:t>returnSamples()</w:t>
      </w:r>
      <w:r>
        <w:t xml:space="preserve"> with the ten study identifiers listed above, filtering for samples annotated as CRC, adenoma, or control. No novel sequencing data were generated. The complete analysis pipeline is deposited at https://github.com/alejandro-publius/crc-metagenomics. The repository contains all classification and robustness scripts; per-sample LODO predictions in long format; SHAP feature-importance tables; processed feature matrices; the decision log (</w:t>
      </w:r>
      <w:r>
        <w:rPr>
          <w:rFonts w:ascii="Courier New" w:hAnsi="Courier New"/>
        </w:rPr>
        <w:t>results/decisions_addendum.md</w:t>
      </w:r>
      <w:r>
        <w:t>); pinned Python dependencies (</w:t>
      </w:r>
      <w:r>
        <w:rPr>
          <w:rFonts w:ascii="Courier New" w:hAnsi="Courier New"/>
        </w:rPr>
        <w:t>requirements.lock</w:t>
      </w:r>
      <w:r>
        <w:t>); and R session information (</w:t>
      </w:r>
      <w:r>
        <w:rPr>
          <w:rFonts w:ascii="Courier New" w:hAnsi="Courier New"/>
        </w:rPr>
        <w:t>session_info.txt</w:t>
      </w:r>
      <w:r>
        <w:t>). Trained model objects are not deposited; all reported results can be reproduced from the deposited scripts and publicly available inputs in approximately 45 minutes on a standard workstation.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