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Colorectal cancer (CRC) is the third most commonly diagnosed cancer worldwide and the second leading cause of cancer-related death, with approximately 1.9 million new cases and 930,000 deaths estimated annually (Sung et al. 2021). The global burden is projected to reach 3.2 million new cases per year by 2040, driven by aging populations and the global diffusion of Western dietary patterns (Xi and Xu 2021). Early detection substantially improves survival, yet colonoscopy-based screening programs are resource-intensive and achieve incomplete population coverage. There is a clear need for non-invasive, scalable biomarkers that can complement or precede endoscopic screening.</w:t>
      </w:r>
    </w:p>
    <w:p>
      <w:r>
        <w:t>The gut microbiome has emerged as a promising source of such biomarkers. Large-scale shotgun metagenomic studies have identified reproducible microbial signatures that distinguish CRC patients from healthy controls, with cross-cohort area under the receiver operating characteristic curve (AUC) values typically in the 0.75–0.85 range (Wirbel et al. 2019; Thomas et al. 2019; Yachida et al. 2019). The recent pooled analysis of 3,741 metagenomes across 18 cohorts (Piccinno et al. 2025) reached a mean AUC of approximately 0.85, further establishing the diagnostic potential of stool-based metagenomic profiling and motivating the application of machine learning to metagenomic features for CRC detection.</w:t>
      </w:r>
    </w:p>
    <w:p>
      <w:r>
        <w:t>Thomas et al. (2019) introduced a landmark multi-cohort framework that combined MetaPhlAn species-level taxonomic profiles (Truong et al. 2015) with HUMAnN functional pathway abundances (Franzosa et al. 2018), trained Random Forest classifiers under leave-one-dataset-out (LODO) cross-validation, and demonstrated cross-cohort generalization for CRC detection. This framework has become a de facto reference standard for metagenomics-based CRC classification. Three methodological concerns about the modern application of this framework have, however, received insufficient attention.</w:t>
      </w:r>
    </w:p>
    <w:p>
      <w:r>
        <w:t>First, the contribution of functional pathway features relative to species-level taxonomic features has rarely been tested with formal statistical comparison; many studies report joint model performance without asking whether pathways genuinely improve upon species alone. Second, feature filtering applied globally — across pooled training and test cohorts — rather than refit within each cross-validation fold risks leakage from the held-out cohort into the feature-selection pipeline and can inflate performance estimates. Third, robustness to analytical choices (filter thresholds, random seeds, batch effects, demographic confounders, country-level confounding) is rarely reported systematically, making it difficult to assess whether published results reflect stable biological signals or are artifacts of specific analytical configurations.</w:t>
      </w:r>
    </w:p>
    <w:p>
      <w:r>
        <w:t>Recent benchmarking efforts have evaluated bioinformatics workflows for CRC detection across multiple cohorts (Sun et al. 2025), and several groups have proposed processing-bias corrections to improve cross-study generalization of microbiome prediction models. What is still missing is a focused, end-to-end re-evaluation of the Thomas et al. (2019) framework with per-fold feature filtering, formal statistical classifier comparison via the DeLong test, and a systematic robustness battery, performed on an expanded modern cohort set.</w:t>
      </w:r>
    </w:p>
    <w:p>
      <w:r>
        <w:t>Here we revisit the Thomas et al. (2019) framework with three objectives. First, we test whether the addition of unstratified HUMAnN pathway features to MetaPhlAn species-level profiles improves classification performance, using the DeLong test (DeLong et al. 1988; Sun and Xu 2014) on pooled LODO predictions for formal sample-level comparison and per-cohort paired t-tests / Wilcoxon signed-rank tests for fold-level comparison. Second, we implement per-fold pathway filtering and a country-aware LODO design to eliminate two distinct sources of information leakage: from held-out cohorts into feature selection, and from same-country cohorts into the training fold. Third, we conduct a systematic robustness battery comprising 20-cell filter-threshold sensitivity analysis, demographic confounder assessment (age, sex, BMI), random-seed stability, 10,000-iteration cohort-stratified bootstrap confidence intervals, per-fold ComBat batch correction, and a biologically-guided pathway shortlist. We additionally extend the framework to cross-cohort adenoma classification across the four adenoma-containing cohorts. All code, processed data, per-sample predictions, and decision logs are publicly available to enable end-to-end reproducibility.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