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F0A58" w14:textId="6CEC1127" w:rsidR="008D6E72" w:rsidRPr="004C447E" w:rsidRDefault="00264B6F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Planteamiento</w:t>
      </w:r>
    </w:p>
    <w:p w14:paraId="0FD4BFDA" w14:textId="1811970B" w:rsidR="00264B6F" w:rsidRDefault="00264B6F" w:rsidP="008D6E72">
      <w:r>
        <w:t xml:space="preserve">El objetivo de este proyecto es </w:t>
      </w:r>
      <w:r>
        <w:t>determinar el nivel</w:t>
      </w:r>
      <w:r>
        <w:t xml:space="preserve"> de riqueza intra nacional</w:t>
      </w:r>
      <w:r w:rsidR="00A512B8">
        <w:t xml:space="preserve"> </w:t>
      </w:r>
      <w:r w:rsidR="00A512B8">
        <w:t>europeo</w:t>
      </w:r>
      <w:r w:rsidR="00EF5EBC">
        <w:t>, así como su evolución,</w:t>
      </w:r>
      <w:r>
        <w:t xml:space="preserve"> </w:t>
      </w:r>
      <w:r w:rsidR="00EF5EBC">
        <w:t>de los diferentes países de la unión europea</w:t>
      </w:r>
      <w:r w:rsidR="00000B36">
        <w:t xml:space="preserve"> desde 2014 hasta 2022</w:t>
      </w:r>
      <w:r w:rsidR="00EF5EBC">
        <w:t xml:space="preserve">. </w:t>
      </w:r>
      <w:r w:rsidR="00327D7F">
        <w:t>Más adelante</w:t>
      </w:r>
      <w:r w:rsidR="00EF5EBC">
        <w:t xml:space="preserve">, se realizará un estudio para determinar cuáles son los factores que influyen en este. </w:t>
      </w:r>
    </w:p>
    <w:p w14:paraId="55044EF2" w14:textId="2EE91CCF" w:rsidR="00C60B3A" w:rsidRDefault="00327D7F" w:rsidP="008D6E72">
      <w:r>
        <w:t>Para ello,</w:t>
      </w:r>
      <w:r w:rsidR="00A512B8">
        <w:t xml:space="preserve"> </w:t>
      </w:r>
      <w:r>
        <w:t xml:space="preserve">crearemos </w:t>
      </w:r>
      <w:r w:rsidR="00A512B8">
        <w:t xml:space="preserve">un nuevo índice que ajusta los ingresos netos del trabajador promedio con la diferencia de precios de artículos básicos entre los diferentes países de la unión europea. </w:t>
      </w:r>
      <w:r>
        <w:t>Este índice se denominará Índice de Ingresos Europeo (IIE).</w:t>
      </w:r>
    </w:p>
    <w:p w14:paraId="4ED5BA3C" w14:textId="5980C8E2" w:rsidR="00FA4DAF" w:rsidRPr="004C447E" w:rsidRDefault="00264B6F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Recolección de datos</w:t>
      </w:r>
    </w:p>
    <w:p w14:paraId="15CCD77E" w14:textId="3988F453" w:rsidR="00000B36" w:rsidRDefault="00A512B8" w:rsidP="00000B36">
      <w:r>
        <w:t xml:space="preserve">Obtendremos los datos a </w:t>
      </w:r>
      <w:r w:rsidR="00000B36">
        <w:t xml:space="preserve">partir de dos indicadores que nos ofrece Eurostat. </w:t>
      </w:r>
    </w:p>
    <w:p w14:paraId="69196AFE" w14:textId="77777777" w:rsidR="004C447E" w:rsidRDefault="004C447E" w:rsidP="004C447E">
      <w:r>
        <w:rPr>
          <w:b/>
          <w:bCs/>
        </w:rPr>
        <w:t xml:space="preserve">- </w:t>
      </w:r>
      <w:r w:rsidR="00000B36" w:rsidRPr="004C447E">
        <w:rPr>
          <w:b/>
          <w:bCs/>
        </w:rPr>
        <w:t>Beneficios netos</w:t>
      </w:r>
      <w:r w:rsidR="00000B36">
        <w:t xml:space="preserve">: </w:t>
      </w:r>
    </w:p>
    <w:p w14:paraId="06A11A86" w14:textId="0F2DBF88" w:rsidR="00A512B8" w:rsidRDefault="00000B36" w:rsidP="004C447E">
      <w:r>
        <w:t>Determina el beneficio neto del trabajador promedio restando el importe en bruto con</w:t>
      </w:r>
      <w:r w:rsidRPr="00000B36">
        <w:t xml:space="preserve"> los impuestos sobre la renta</w:t>
      </w:r>
      <w:r>
        <w:t>, las</w:t>
      </w:r>
      <w:r w:rsidRPr="00000B36">
        <w:t xml:space="preserve"> cotizaciones a la seguridad social del </w:t>
      </w:r>
      <w:r>
        <w:t>y sumando</w:t>
      </w:r>
      <w:r w:rsidRPr="00000B36">
        <w:t xml:space="preserve"> </w:t>
      </w:r>
      <w:r>
        <w:t>los diferentes subsidios familiares.</w:t>
      </w:r>
      <w:r w:rsidR="00A512B8">
        <w:t xml:space="preserve"> [1]</w:t>
      </w:r>
    </w:p>
    <w:p w14:paraId="71242A10" w14:textId="66CFCB34" w:rsidR="004C447E" w:rsidRDefault="004C447E" w:rsidP="004C447E">
      <w:r>
        <w:rPr>
          <w:b/>
          <w:bCs/>
        </w:rPr>
        <w:t xml:space="preserve">- </w:t>
      </w:r>
      <w:r w:rsidR="00000B36" w:rsidRPr="004C447E">
        <w:rPr>
          <w:b/>
          <w:bCs/>
        </w:rPr>
        <w:t xml:space="preserve">Índice </w:t>
      </w:r>
      <w:r w:rsidR="00000B36" w:rsidRPr="004C447E">
        <w:rPr>
          <w:b/>
          <w:bCs/>
        </w:rPr>
        <w:t>de nivel de precios</w:t>
      </w:r>
      <w:r w:rsidR="00327D7F">
        <w:rPr>
          <w:b/>
          <w:bCs/>
        </w:rPr>
        <w:t xml:space="preserve"> (INP)</w:t>
      </w:r>
      <w:r w:rsidR="00000B36">
        <w:t xml:space="preserve">: </w:t>
      </w:r>
    </w:p>
    <w:p w14:paraId="7E0600D7" w14:textId="136EAE76" w:rsidR="00EF5EBC" w:rsidRPr="00D070F6" w:rsidRDefault="00000B36" w:rsidP="006C2FEF">
      <w:r>
        <w:t>Determina el nivel de precios de un país con respecto a otro.</w:t>
      </w:r>
      <w:r w:rsidR="00A512B8">
        <w:t xml:space="preserve"> [2]</w:t>
      </w:r>
    </w:p>
    <w:p w14:paraId="1E244CD5" w14:textId="79D7A8F9" w:rsidR="00264B6F" w:rsidRDefault="00264B6F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Limpieza de datos</w:t>
      </w:r>
    </w:p>
    <w:p w14:paraId="04ABDE78" w14:textId="53EE1406" w:rsidR="001D1CE0" w:rsidRDefault="001D1CE0" w:rsidP="008D6E72">
      <w:r w:rsidRPr="001D1CE0">
        <w:t>Ambas tablas presentan un forma</w:t>
      </w:r>
      <w:r>
        <w:t>to parecido y se tratarán de la siguiente manera:</w:t>
      </w:r>
    </w:p>
    <w:p w14:paraId="1797FA23" w14:textId="77777777" w:rsidR="001D1CE0" w:rsidRDefault="001D1CE0" w:rsidP="008D6E72">
      <w:r>
        <w:t xml:space="preserve">1. Eliminamos todas las filas que no tengan nada que ver con los datos a estudiar. </w:t>
      </w:r>
    </w:p>
    <w:p w14:paraId="3E099914" w14:textId="55E0860A" w:rsidR="001D1CE0" w:rsidRDefault="001D1CE0" w:rsidP="008D6E72">
      <w:r>
        <w:t>2. Convertimos los años de nombre a columna a datos.</w:t>
      </w:r>
    </w:p>
    <w:p w14:paraId="1209134D" w14:textId="18124B12" w:rsidR="001D1CE0" w:rsidRDefault="001D1CE0" w:rsidP="008D6E72">
      <w:r>
        <w:t>3. Se cambia el nombre de todas aquellas celdas para mejorar la presentación.</w:t>
      </w:r>
    </w:p>
    <w:p w14:paraId="0719139F" w14:textId="72326643" w:rsidR="008B1065" w:rsidRDefault="008B1065" w:rsidP="008D6E72">
      <w:r>
        <w:t>A continuación, procedemos a tratar las celdas vacías.</w:t>
      </w:r>
    </w:p>
    <w:p w14:paraId="57385A1A" w14:textId="7ACEDA71" w:rsidR="008B1065" w:rsidRDefault="008B1065" w:rsidP="008D6E72">
      <w:r>
        <w:t>1. En el caso de Chipre en la tabla de los beneficios netos, rellenamos los datos de 2015 y 2016 distribuyendo el crecimiento que sufre de 2014 a 2017 pero conservando el total.</w:t>
      </w:r>
    </w:p>
    <w:p w14:paraId="624771FC" w14:textId="69ECAA02" w:rsidR="00107FA3" w:rsidRDefault="008B1065" w:rsidP="008D6E72">
      <w:r>
        <w:t>2. En el caso de los datos del 2022 de la tabla de índice de nivel de precios, se estima aplicando la media móvil simple con respecto a los anteriores 3 años.</w:t>
      </w:r>
    </w:p>
    <w:p w14:paraId="5AF01E97" w14:textId="77777777" w:rsidR="00C60B3A" w:rsidRDefault="00C60B3A" w:rsidP="00C60B3A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Construcción del modelo</w:t>
      </w:r>
    </w:p>
    <w:p w14:paraId="48D26B2F" w14:textId="77777777" w:rsidR="00C60B3A" w:rsidRDefault="00C60B3A" w:rsidP="00C60B3A">
      <w:r>
        <w:t xml:space="preserve">Para comprender mejor la información, añadiremos nuevas características. </w:t>
      </w:r>
    </w:p>
    <w:p w14:paraId="71120253" w14:textId="41B5CB53" w:rsidR="00C60B3A" w:rsidRDefault="00C60B3A" w:rsidP="008D6E72">
      <w:r>
        <w:t xml:space="preserve">Estudiaremos los datos en base a si la nación pertenece o no a la eurozona, la fecha de incorporación a la unión europea y la región a la que pertenece (según </w:t>
      </w:r>
      <w:proofErr w:type="spellStart"/>
      <w:r>
        <w:t>EuroVoc</w:t>
      </w:r>
      <w:proofErr w:type="spellEnd"/>
      <w:r>
        <w:t xml:space="preserve">). </w:t>
      </w:r>
    </w:p>
    <w:p w14:paraId="1561FB52" w14:textId="77777777" w:rsidR="00C60B3A" w:rsidRDefault="00C60B3A" w:rsidP="00C60B3A">
      <w:r>
        <w:t>Después, combinamos todas las tablas en una sola y calculamos el índice de ingresos europeo mediante la siguiente formula:</w:t>
      </w:r>
    </w:p>
    <w:p w14:paraId="6AF33747" w14:textId="77777777" w:rsidR="00C60B3A" w:rsidRPr="00107FA3" w:rsidRDefault="00C60B3A" w:rsidP="00C60B3A">
      <m:oMathPara>
        <m:oMath>
          <m:r>
            <w:rPr>
              <w:rFonts w:ascii="Cambria Math" w:hAnsi="Cambria Math"/>
            </w:rPr>
            <m:t>IIE=Benficios netos*(1+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100-INP</m:t>
              </m:r>
            </m:num>
            <m:den>
              <m:r>
                <w:rPr>
                  <w:rFonts w:ascii="Cambria Math" w:hAnsi="Cambria Math"/>
                </w:rPr>
                <m:t>100</m:t>
              </m:r>
            </m:den>
          </m:f>
          <m:r>
            <w:rPr>
              <w:rFonts w:ascii="Cambria Math" w:hAnsi="Cambria Math"/>
            </w:rPr>
            <m:t>)</m:t>
          </m:r>
        </m:oMath>
      </m:oMathPara>
    </w:p>
    <w:p w14:paraId="358A4ABD" w14:textId="79AFFFD3" w:rsidR="00C60B3A" w:rsidRPr="00327D7F" w:rsidRDefault="00C60B3A" w:rsidP="008D6E72">
      <w:r>
        <w:t xml:space="preserve">Luego, se calcularemos la varianza anual del IIE y lo añadiremos a la tabla. </w:t>
      </w:r>
    </w:p>
    <w:p w14:paraId="6B44871E" w14:textId="72091BF1" w:rsidR="000D6A68" w:rsidRPr="000D6A68" w:rsidRDefault="00C13CBE" w:rsidP="00327D7F">
      <w:pPr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Análisis</w:t>
      </w:r>
      <w:r w:rsidR="00E82141">
        <w:rPr>
          <w:b/>
          <w:bCs/>
          <w:sz w:val="28"/>
          <w:szCs w:val="24"/>
          <w:u w:val="single"/>
        </w:rPr>
        <w:t xml:space="preserve"> preliminar</w:t>
      </w:r>
    </w:p>
    <w:p w14:paraId="72C8AA1B" w14:textId="54620D83" w:rsidR="00BA0A89" w:rsidRPr="00BA0A89" w:rsidRDefault="00BA0A89" w:rsidP="008D6E72">
      <w:pPr>
        <w:rPr>
          <w:b/>
          <w:bCs/>
        </w:rPr>
      </w:pPr>
      <w:r w:rsidRPr="00BA0A89">
        <w:rPr>
          <w:b/>
          <w:bCs/>
        </w:rPr>
        <w:t>UE</w:t>
      </w:r>
    </w:p>
    <w:p w14:paraId="3FD2C0E4" w14:textId="56E6E414" w:rsidR="008F0C08" w:rsidRDefault="008F0C08" w:rsidP="008D6E72">
      <w:r>
        <w:t>A nivel europeo, l</w:t>
      </w:r>
      <w:r>
        <w:t>a media de ingresos actualmente es de 22284,40 PPS y el crecimiento medio total desde 2014 es del 24%</w:t>
      </w:r>
      <w:r>
        <w:t>.</w:t>
      </w:r>
    </w:p>
    <w:p w14:paraId="3F67D77A" w14:textId="77777777" w:rsidR="00BA0A89" w:rsidRDefault="00BA0A89" w:rsidP="008D6E72"/>
    <w:p w14:paraId="6F9180FD" w14:textId="468140C6" w:rsidR="00BA0A89" w:rsidRPr="00BA0A89" w:rsidRDefault="00BA0A89" w:rsidP="008D6E72">
      <w:pPr>
        <w:rPr>
          <w:b/>
          <w:bCs/>
        </w:rPr>
      </w:pPr>
      <w:r w:rsidRPr="00BA0A89">
        <w:rPr>
          <w:b/>
          <w:bCs/>
        </w:rPr>
        <w:lastRenderedPageBreak/>
        <w:t>Naciones</w:t>
      </w:r>
    </w:p>
    <w:p w14:paraId="40C019EB" w14:textId="0DC23C57" w:rsidR="008F0C08" w:rsidRDefault="00327D7F" w:rsidP="008D6E72">
      <w:r>
        <w:t>A</w:t>
      </w:r>
      <w:r w:rsidR="008F0C08">
        <w:t xml:space="preserve"> nivel de naciones, </w:t>
      </w:r>
      <w:r>
        <w:t>podemos ver que</w:t>
      </w:r>
      <w:r w:rsidR="008F0C08">
        <w:t xml:space="preserve">, salvo Grecia, Luxemburgo e Irlanda, los países experimentan crecimiento económico.  </w:t>
      </w:r>
    </w:p>
    <w:p w14:paraId="7D25147C" w14:textId="78A07A6B" w:rsidR="008F0C08" w:rsidRDefault="008F0C08" w:rsidP="008D6E72">
      <w:r>
        <w:t>L</w:t>
      </w:r>
      <w:r>
        <w:t>os países que más han crecido son Rumanía, Bulgaria, Lituania y Letonia</w:t>
      </w:r>
      <w:r>
        <w:t>,</w:t>
      </w:r>
      <w:r>
        <w:t xml:space="preserve"> mientras que los que tienen peor crecimiento son Irlanda, Luxemburgo, Grecia y Eslovaquia.</w:t>
      </w:r>
    </w:p>
    <w:p w14:paraId="0CF52FDA" w14:textId="7A5A07AB" w:rsidR="00BA0A89" w:rsidRDefault="00BA0A89" w:rsidP="008D6E72">
      <w:r>
        <w:t xml:space="preserve">Con respecto al nivel de ingresos actual, los cuatro países con un índice de ingresos más elevados son </w:t>
      </w:r>
      <w:r w:rsidRPr="00327D7F">
        <w:t>Polonia, Alemania, Países bajos</w:t>
      </w:r>
      <w:r>
        <w:t xml:space="preserve"> y</w:t>
      </w:r>
      <w:r w:rsidRPr="00327D7F">
        <w:t xml:space="preserve"> Austria</w:t>
      </w:r>
      <w:r>
        <w:t>. Por otro lado, los cuatro países con menor índice son Irlanda, Eslovaquia, Dinamarca y Luxemburgo.</w:t>
      </w:r>
    </w:p>
    <w:p w14:paraId="27647AB1" w14:textId="54C3A1A8" w:rsidR="00BA0A89" w:rsidRPr="00BA0A89" w:rsidRDefault="00BA0A89" w:rsidP="00BA0A89">
      <w:pPr>
        <w:rPr>
          <w:b/>
          <w:bCs/>
        </w:rPr>
      </w:pPr>
      <w:r>
        <w:rPr>
          <w:b/>
          <w:bCs/>
        </w:rPr>
        <w:t>Regiones</w:t>
      </w:r>
    </w:p>
    <w:p w14:paraId="3D91B7F3" w14:textId="4423AB03" w:rsidR="00BA0A89" w:rsidRDefault="00BA0A89" w:rsidP="00BA0A89">
      <w:r w:rsidRPr="00BA0A89">
        <w:t>Las naciones que perten</w:t>
      </w:r>
      <w:r>
        <w:t>ecen a Europa occidental son las que tienen un mayor ingreso, sin embargo, aquellas que pertenecen a Europa Oriental tienen un mayor crecimiento.</w:t>
      </w:r>
    </w:p>
    <w:p w14:paraId="601D2437" w14:textId="293728C4" w:rsidR="00BA0A89" w:rsidRPr="00BA0A89" w:rsidRDefault="00BA0A89" w:rsidP="00BA0A89">
      <w:r>
        <w:t>Las naciones del norte son de media las que tienen un ingreso menor y las naciones del sur son las que menos crecen.</w:t>
      </w:r>
    </w:p>
    <w:p w14:paraId="7BF2DB7D" w14:textId="1383C2EB" w:rsidR="00BA0A89" w:rsidRDefault="00BA0A89" w:rsidP="00BA0A89">
      <w:pPr>
        <w:rPr>
          <w:b/>
          <w:bCs/>
        </w:rPr>
      </w:pPr>
      <w:r>
        <w:rPr>
          <w:b/>
          <w:bCs/>
        </w:rPr>
        <w:t>Antig</w:t>
      </w:r>
      <w:r>
        <w:rPr>
          <w:b/>
          <w:bCs/>
        </w:rPr>
        <w:t>ü</w:t>
      </w:r>
      <w:r>
        <w:rPr>
          <w:b/>
          <w:bCs/>
        </w:rPr>
        <w:t>edad</w:t>
      </w:r>
    </w:p>
    <w:p w14:paraId="6C78A7E8" w14:textId="12004F21" w:rsidR="00BA0A89" w:rsidRDefault="00BA0A89" w:rsidP="00BA0A89">
      <w:r w:rsidRPr="00BA0A89">
        <w:t xml:space="preserve">Las naciones </w:t>
      </w:r>
      <w:r>
        <w:t>que fundaron la UE cuentan con un mayor ingreso de media, seguidas por las naciones que se unieron a principios del 2000, aunque estas últimas son las que mayor crecimiento han experimentado.</w:t>
      </w:r>
    </w:p>
    <w:p w14:paraId="42252177" w14:textId="638F3707" w:rsidR="00BA0A89" w:rsidRPr="00BA0A89" w:rsidRDefault="00BA0A89" w:rsidP="00BA0A89">
      <w:r>
        <w:t>Las naciones unidas en los ’70 son las que menos ingresos poseen de media</w:t>
      </w:r>
      <w:r w:rsidR="00E82141">
        <w:t>, sin embargo, son las segundas que más crecen.</w:t>
      </w:r>
    </w:p>
    <w:p w14:paraId="7165CED3" w14:textId="2BC4E33B" w:rsidR="00BA0A89" w:rsidRPr="00BA0A89" w:rsidRDefault="00BA0A89" w:rsidP="00BA0A89">
      <w:pPr>
        <w:rPr>
          <w:b/>
          <w:bCs/>
        </w:rPr>
      </w:pPr>
      <w:r>
        <w:rPr>
          <w:b/>
          <w:bCs/>
        </w:rPr>
        <w:t>Eurozona</w:t>
      </w:r>
    </w:p>
    <w:p w14:paraId="6FD90C07" w14:textId="77777777" w:rsidR="00E82141" w:rsidRDefault="00E82141" w:rsidP="008D6E72">
      <w:r>
        <w:t xml:space="preserve">Las naciones que pertenecen a la </w:t>
      </w:r>
      <w:proofErr w:type="gramStart"/>
      <w:r>
        <w:t>UE</w:t>
      </w:r>
      <w:proofErr w:type="gramEnd"/>
      <w:r>
        <w:t xml:space="preserve"> pero están fuera de la Eurozona tienen de media </w:t>
      </w:r>
      <w:r>
        <w:t xml:space="preserve">más ingreso que las que si pertenecen, aunque la diferencia es poca. </w:t>
      </w:r>
    </w:p>
    <w:p w14:paraId="1EB4F64C" w14:textId="36B1C3CF" w:rsidR="00C13CBE" w:rsidRPr="00C13CBE" w:rsidRDefault="00E82141" w:rsidP="008D6E72">
      <w:r>
        <w:t>Por otro lado, el crecimiento de las que no pertenecen duplica a las que sí.</w:t>
      </w:r>
    </w:p>
    <w:p w14:paraId="2AAD1B83" w14:textId="3CB996E9" w:rsidR="00E82141" w:rsidRPr="000D6A68" w:rsidRDefault="00E82141" w:rsidP="00E82141">
      <w:pPr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Análisis en profundidad</w:t>
      </w:r>
    </w:p>
    <w:p w14:paraId="696912F2" w14:textId="77777777" w:rsidR="00C15AA8" w:rsidRDefault="00C13CBE" w:rsidP="00C13CBE">
      <w:r>
        <w:t>Las naciones de Europa del este se unieron a la UE en el siglo 21, la mayoría a principios del 2000 excepto Croacia, que se unió en 2014.</w:t>
      </w:r>
      <w:r w:rsidR="00C15AA8">
        <w:t xml:space="preserve"> </w:t>
      </w:r>
    </w:p>
    <w:p w14:paraId="3556F4C1" w14:textId="77777777" w:rsidR="00C15AA8" w:rsidRDefault="00C15AA8" w:rsidP="00C13CBE">
      <w:r>
        <w:t xml:space="preserve">De éstas, sólo 3 pertenecen a la eurozona: Croacia, Eslovaquia y Eslovenia. </w:t>
      </w:r>
    </w:p>
    <w:p w14:paraId="1B6B3993" w14:textId="65A93C65" w:rsidR="00C15AA8" w:rsidRDefault="00C15AA8" w:rsidP="00C13CBE">
      <w:r>
        <w:t>Si las comparamos con las que no pertenecen, sus métricas son bastante inferiores. Sin embargo, tienen un crecimiento parecido al resto de naciones que pertenecen a la eurozona, aunque su nivel de ingresos es menor.</w:t>
      </w:r>
    </w:p>
    <w:p w14:paraId="133478DC" w14:textId="77777777" w:rsidR="00B07E85" w:rsidRDefault="00C15AA8" w:rsidP="00C13CBE">
      <w:r>
        <w:t>Las otras naciones que no pertenecen a la Eurozona pertenecen al norte de Europa y son Dinamarca y Suecia. Éstas se unieron en la década de los 70 y los 90 respectivamente</w:t>
      </w:r>
      <w:r w:rsidR="00B07E85">
        <w:t xml:space="preserve"> </w:t>
      </w:r>
    </w:p>
    <w:p w14:paraId="739DF7AB" w14:textId="77777777" w:rsidR="00B07E85" w:rsidRDefault="00B07E85" w:rsidP="00C13CBE">
      <w:r>
        <w:t xml:space="preserve">Experimentan un crecimiento menor y un nivel de ingresos inferior </w:t>
      </w:r>
      <w:r>
        <w:t>a las del este</w:t>
      </w:r>
      <w:r>
        <w:t xml:space="preserve"> y las regiones del norte que pertenecen a la eurozona. </w:t>
      </w:r>
    </w:p>
    <w:p w14:paraId="36568E35" w14:textId="0E334A2B" w:rsidR="00B07E85" w:rsidRDefault="00B07E85" w:rsidP="00C13CBE">
      <w:r>
        <w:t>Cabe destacar que sólo los países bálticos sufren este crecimiento (unidos en los 00’). Si lo comparamos con Finlandia, nación de la Eurozona y del norte, el crecimiento es igual que las naciones del norte que no pertenecen a ésta.</w:t>
      </w:r>
    </w:p>
    <w:p w14:paraId="29445D7D" w14:textId="5843BAEE" w:rsidR="001E4677" w:rsidRDefault="00B07E85" w:rsidP="00C13CBE">
      <w:r>
        <w:t>En base a estos datos,</w:t>
      </w:r>
      <w:r w:rsidR="001E4677">
        <w:t xml:space="preserve"> el presente estudio sugiere que las naciones que mayor han experimentado un crecimiento económico y mayor riqueza pueden llegar a tener son aquellas naciones unidas en el siglo 21 que no pertenecen a la eurozona.</w:t>
      </w:r>
    </w:p>
    <w:p w14:paraId="12ACFB41" w14:textId="38CCF0F3" w:rsidR="00C15AA8" w:rsidRDefault="00B07E85" w:rsidP="00C13CBE">
      <w:r>
        <w:lastRenderedPageBreak/>
        <w:t xml:space="preserve">  </w:t>
      </w:r>
    </w:p>
    <w:p w14:paraId="35D0699E" w14:textId="3EA0941E" w:rsidR="004C447E" w:rsidRDefault="00264B6F" w:rsidP="004C447E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t>Visualización</w:t>
      </w:r>
    </w:p>
    <w:p w14:paraId="3FDB11E8" w14:textId="047E73D6" w:rsidR="004C447E" w:rsidRPr="004C447E" w:rsidRDefault="00C13CBE" w:rsidP="004C447E">
      <w:pPr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Resumen</w:t>
      </w:r>
      <w:r w:rsidR="004C447E">
        <w:rPr>
          <w:b/>
          <w:bCs/>
        </w:rPr>
        <w:br w:type="page"/>
      </w:r>
    </w:p>
    <w:p w14:paraId="3D5F557A" w14:textId="09CAB053" w:rsidR="00A512B8" w:rsidRPr="004C447E" w:rsidRDefault="00A512B8" w:rsidP="008D6E72">
      <w:pPr>
        <w:rPr>
          <w:b/>
          <w:bCs/>
          <w:sz w:val="28"/>
          <w:szCs w:val="24"/>
          <w:u w:val="single"/>
        </w:rPr>
      </w:pPr>
      <w:r w:rsidRPr="004C447E">
        <w:rPr>
          <w:b/>
          <w:bCs/>
          <w:sz w:val="28"/>
          <w:szCs w:val="24"/>
          <w:u w:val="single"/>
        </w:rPr>
        <w:lastRenderedPageBreak/>
        <w:t>Anexo</w:t>
      </w:r>
    </w:p>
    <w:p w14:paraId="0ABC6276" w14:textId="0533FC71" w:rsidR="00A512B8" w:rsidRDefault="00A512B8" w:rsidP="00A512B8">
      <w:pPr>
        <w:pStyle w:val="ListParagraph"/>
        <w:numPr>
          <w:ilvl w:val="0"/>
          <w:numId w:val="4"/>
        </w:numPr>
      </w:pPr>
      <w:hyperlink r:id="rId5" w:history="1">
        <w:r w:rsidRPr="00A37128">
          <w:rPr>
            <w:rStyle w:val="Hyperlink"/>
          </w:rPr>
          <w:t>https://ec.europa.eu/eurostat/databrowser/view/EARN_NT_NETFT__custom_6581505/default/table?lang=en</w:t>
        </w:r>
      </w:hyperlink>
    </w:p>
    <w:p w14:paraId="6DC1AA04" w14:textId="77777777" w:rsidR="00A512B8" w:rsidRPr="00A512B8" w:rsidRDefault="00A512B8" w:rsidP="00A512B8">
      <w:pPr>
        <w:pStyle w:val="ListParagraph"/>
      </w:pPr>
    </w:p>
    <w:p w14:paraId="6E9F5272" w14:textId="3B0AF50A" w:rsidR="00A512B8" w:rsidRDefault="00A512B8" w:rsidP="00A512B8">
      <w:pPr>
        <w:pStyle w:val="ListParagraph"/>
        <w:numPr>
          <w:ilvl w:val="0"/>
          <w:numId w:val="4"/>
        </w:numPr>
      </w:pPr>
      <w:hyperlink r:id="rId6" w:history="1">
        <w:r w:rsidRPr="00A37128">
          <w:rPr>
            <w:rStyle w:val="Hyperlink"/>
          </w:rPr>
          <w:t>https://ec.europa.eu/eurostat/databrowser/view/PRC_PPP_IND__custom_6327961/default/table</w:t>
        </w:r>
      </w:hyperlink>
    </w:p>
    <w:p w14:paraId="2E675754" w14:textId="77777777" w:rsidR="00A512B8" w:rsidRDefault="00A512B8" w:rsidP="00A512B8">
      <w:pPr>
        <w:pStyle w:val="ListParagraph"/>
      </w:pPr>
    </w:p>
    <w:p w14:paraId="5EA44E11" w14:textId="77777777" w:rsidR="00A512B8" w:rsidRPr="00A512B8" w:rsidRDefault="00A512B8" w:rsidP="00A512B8">
      <w:pPr>
        <w:pStyle w:val="ListParagraph"/>
      </w:pPr>
    </w:p>
    <w:sectPr w:rsidR="00A512B8" w:rsidRPr="00A512B8" w:rsidSect="004C447E">
      <w:pgSz w:w="12240" w:h="15840"/>
      <w:pgMar w:top="1440" w:right="1440" w:bottom="1440" w:left="144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ll MT">
    <w:altName w:val="Bell MT"/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9A25C0"/>
    <w:multiLevelType w:val="hybridMultilevel"/>
    <w:tmpl w:val="5E6A63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D67807"/>
    <w:multiLevelType w:val="hybridMultilevel"/>
    <w:tmpl w:val="C83EAF7C"/>
    <w:lvl w:ilvl="0" w:tplc="04090001">
      <w:start w:val="1"/>
      <w:numFmt w:val="bullet"/>
      <w:lvlText w:val=""/>
      <w:lvlJc w:val="left"/>
      <w:pPr>
        <w:ind w:left="7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2" w15:restartNumberingAfterBreak="0">
    <w:nsid w:val="4030444E"/>
    <w:multiLevelType w:val="hybridMultilevel"/>
    <w:tmpl w:val="5CAA7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151EF4"/>
    <w:multiLevelType w:val="multilevel"/>
    <w:tmpl w:val="7E9CAA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64E03A73"/>
    <w:multiLevelType w:val="hybridMultilevel"/>
    <w:tmpl w:val="45C06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DA6E3F"/>
    <w:multiLevelType w:val="hybridMultilevel"/>
    <w:tmpl w:val="849A8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3523634">
    <w:abstractNumId w:val="3"/>
  </w:num>
  <w:num w:numId="2" w16cid:durableId="322661217">
    <w:abstractNumId w:val="0"/>
  </w:num>
  <w:num w:numId="3" w16cid:durableId="682975125">
    <w:abstractNumId w:val="1"/>
  </w:num>
  <w:num w:numId="4" w16cid:durableId="1401826080">
    <w:abstractNumId w:val="4"/>
  </w:num>
  <w:num w:numId="5" w16cid:durableId="289282888">
    <w:abstractNumId w:val="2"/>
  </w:num>
  <w:num w:numId="6" w16cid:durableId="20819798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265A"/>
    <w:rsid w:val="00000B36"/>
    <w:rsid w:val="0002727F"/>
    <w:rsid w:val="00032C1B"/>
    <w:rsid w:val="000C265A"/>
    <w:rsid w:val="000D6A68"/>
    <w:rsid w:val="00107FA3"/>
    <w:rsid w:val="001D1CE0"/>
    <w:rsid w:val="001E4677"/>
    <w:rsid w:val="00264B6F"/>
    <w:rsid w:val="00327D7F"/>
    <w:rsid w:val="0034655E"/>
    <w:rsid w:val="003C7965"/>
    <w:rsid w:val="004C447E"/>
    <w:rsid w:val="005D055F"/>
    <w:rsid w:val="006C2FEF"/>
    <w:rsid w:val="006C4FFB"/>
    <w:rsid w:val="00790B12"/>
    <w:rsid w:val="008B1065"/>
    <w:rsid w:val="008D6E72"/>
    <w:rsid w:val="008F0C08"/>
    <w:rsid w:val="00A30E23"/>
    <w:rsid w:val="00A512B8"/>
    <w:rsid w:val="00B07E85"/>
    <w:rsid w:val="00BA0A89"/>
    <w:rsid w:val="00C13CBE"/>
    <w:rsid w:val="00C15AA8"/>
    <w:rsid w:val="00C21C7B"/>
    <w:rsid w:val="00C60B3A"/>
    <w:rsid w:val="00CD718A"/>
    <w:rsid w:val="00D070F6"/>
    <w:rsid w:val="00D905DB"/>
    <w:rsid w:val="00E82141"/>
    <w:rsid w:val="00EF44C8"/>
    <w:rsid w:val="00EF5EBC"/>
    <w:rsid w:val="00F97300"/>
    <w:rsid w:val="00FA4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5BFD63"/>
  <w15:chartTrackingRefBased/>
  <w15:docId w15:val="{9C2429DB-98F8-454F-8F54-E0B9B9F4A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0E23"/>
    <w:pPr>
      <w:spacing w:after="280" w:line="240" w:lineRule="auto"/>
      <w:jc w:val="both"/>
    </w:pPr>
    <w:rPr>
      <w:rFonts w:ascii="Bell MT" w:hAnsi="Bell MT"/>
      <w:kern w:val="0"/>
      <w:sz w:val="24"/>
      <w:lang w:val="es-ES"/>
      <w14:ligatures w14:val="none"/>
    </w:rPr>
  </w:style>
  <w:style w:type="paragraph" w:styleId="Heading1">
    <w:name w:val="heading 1"/>
    <w:aliases w:val="HK4"/>
    <w:basedOn w:val="Normal"/>
    <w:next w:val="Normal"/>
    <w:link w:val="Heading1Char"/>
    <w:qFormat/>
    <w:rsid w:val="00C21C7B"/>
    <w:pPr>
      <w:outlineLvl w:val="0"/>
      <w15:collapsed/>
    </w:pPr>
    <w:rPr>
      <w:rFonts w:eastAsiaTheme="majorEastAsia" w:cstheme="majorBidi"/>
      <w:b/>
      <w:color w:val="7030A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K1">
    <w:name w:val="HK1"/>
    <w:basedOn w:val="Normal"/>
    <w:next w:val="Normal"/>
    <w:qFormat/>
    <w:rsid w:val="006C4FFB"/>
    <w:pPr>
      <w:spacing w:before="240" w:after="320"/>
      <w:outlineLvl w:val="0"/>
    </w:pPr>
    <w:rPr>
      <w:b/>
      <w:sz w:val="36"/>
    </w:rPr>
  </w:style>
  <w:style w:type="paragraph" w:customStyle="1" w:styleId="HK2">
    <w:name w:val="HK2"/>
    <w:basedOn w:val="Normal"/>
    <w:next w:val="Normal"/>
    <w:qFormat/>
    <w:rsid w:val="006C4FFB"/>
    <w:pPr>
      <w:spacing w:after="320"/>
      <w:outlineLvl w:val="1"/>
      <w15:collapsed/>
    </w:pPr>
    <w:rPr>
      <w:b/>
      <w:color w:val="C00000"/>
      <w:sz w:val="32"/>
      <w:u w:val="single"/>
    </w:rPr>
  </w:style>
  <w:style w:type="paragraph" w:customStyle="1" w:styleId="HK3">
    <w:name w:val="HK3"/>
    <w:basedOn w:val="Normal"/>
    <w:next w:val="Normal"/>
    <w:autoRedefine/>
    <w:qFormat/>
    <w:rsid w:val="00C21C7B"/>
    <w:pPr>
      <w:spacing w:after="320"/>
      <w:outlineLvl w:val="2"/>
      <w15:collapsed/>
    </w:pPr>
    <w:rPr>
      <w:b/>
      <w:color w:val="0070C0"/>
      <w:sz w:val="28"/>
    </w:rPr>
  </w:style>
  <w:style w:type="character" w:customStyle="1" w:styleId="Heading1Char">
    <w:name w:val="Heading 1 Char"/>
    <w:aliases w:val="HK4 Char"/>
    <w:basedOn w:val="DefaultParagraphFont"/>
    <w:link w:val="Heading1"/>
    <w:rsid w:val="00C21C7B"/>
    <w:rPr>
      <w:rFonts w:ascii="Bell MT" w:eastAsiaTheme="majorEastAsia" w:hAnsi="Bell MT" w:cstheme="majorBidi"/>
      <w:b/>
      <w:color w:val="7030A0"/>
      <w:sz w:val="24"/>
      <w:szCs w:val="32"/>
    </w:rPr>
  </w:style>
  <w:style w:type="paragraph" w:styleId="ListParagraph">
    <w:name w:val="List Paragraph"/>
    <w:basedOn w:val="Normal"/>
    <w:uiPriority w:val="34"/>
    <w:qFormat/>
    <w:rsid w:val="00F97300"/>
    <w:pPr>
      <w:ind w:left="720"/>
      <w:contextualSpacing/>
    </w:pPr>
  </w:style>
  <w:style w:type="table" w:styleId="TableGrid">
    <w:name w:val="Table Grid"/>
    <w:basedOn w:val="TableNormal"/>
    <w:uiPriority w:val="39"/>
    <w:rsid w:val="00F973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D6E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6E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070F6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327D7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c.europa.eu/eurostat/databrowser/view/PRC_PPP_IND__custom_6327961/default/table" TargetMode="External"/><Relationship Id="rId5" Type="http://schemas.openxmlformats.org/officeDocument/2006/relationships/hyperlink" Target="https://ec.europa.eu/eurostat/databrowser/view/EARN_NT_NETFT__custom_6581505/default/table?lang=e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811</Words>
  <Characters>4627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N</dc:creator>
  <cp:keywords/>
  <dc:description/>
  <cp:lastModifiedBy>K N</cp:lastModifiedBy>
  <cp:revision>12</cp:revision>
  <dcterms:created xsi:type="dcterms:W3CDTF">2023-06-05T22:29:00Z</dcterms:created>
  <dcterms:modified xsi:type="dcterms:W3CDTF">2023-06-17T14:27:00Z</dcterms:modified>
</cp:coreProperties>
</file>