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F0A58" w14:textId="6CEC1127" w:rsidR="008D6E72" w:rsidRPr="004C447E" w:rsidRDefault="00264B6F" w:rsidP="008D6E72">
      <w:pPr>
        <w:rPr>
          <w:b/>
          <w:bCs/>
          <w:sz w:val="28"/>
          <w:szCs w:val="24"/>
          <w:u w:val="single"/>
        </w:rPr>
      </w:pPr>
      <w:r w:rsidRPr="004C447E">
        <w:rPr>
          <w:b/>
          <w:bCs/>
          <w:sz w:val="28"/>
          <w:szCs w:val="24"/>
          <w:u w:val="single"/>
        </w:rPr>
        <w:t>Planteamiento</w:t>
      </w:r>
    </w:p>
    <w:p w14:paraId="0FD4BFDA" w14:textId="1811970B" w:rsidR="00264B6F" w:rsidRDefault="00264B6F" w:rsidP="008D6E72">
      <w:r>
        <w:t>El objetivo de este proyecto es determinar el nivel de riqueza intra nacional</w:t>
      </w:r>
      <w:r w:rsidR="00A512B8">
        <w:t xml:space="preserve"> europeo</w:t>
      </w:r>
      <w:r w:rsidR="00EF5EBC">
        <w:t>, así como su evolución,</w:t>
      </w:r>
      <w:r>
        <w:t xml:space="preserve"> </w:t>
      </w:r>
      <w:r w:rsidR="00EF5EBC">
        <w:t>de los diferentes países de la unión europea</w:t>
      </w:r>
      <w:r w:rsidR="00000B36">
        <w:t xml:space="preserve"> desde 2014 hasta 2022</w:t>
      </w:r>
      <w:r w:rsidR="00EF5EBC">
        <w:t xml:space="preserve">. </w:t>
      </w:r>
      <w:r w:rsidR="00327D7F">
        <w:t>Más adelante</w:t>
      </w:r>
      <w:r w:rsidR="00EF5EBC">
        <w:t xml:space="preserve">, se realizará un estudio para determinar cuáles son los factores que influyen en este. </w:t>
      </w:r>
    </w:p>
    <w:p w14:paraId="55044EF2" w14:textId="2EE91CCF" w:rsidR="00C60B3A" w:rsidRDefault="00327D7F" w:rsidP="008D6E72">
      <w:r>
        <w:t>Para ello,</w:t>
      </w:r>
      <w:r w:rsidR="00A512B8">
        <w:t xml:space="preserve"> </w:t>
      </w:r>
      <w:r>
        <w:t xml:space="preserve">crearemos </w:t>
      </w:r>
      <w:r w:rsidR="00A512B8">
        <w:t xml:space="preserve">un nuevo índice que ajusta los ingresos netos del trabajador promedio con la diferencia de precios de artículos básicos entre los diferentes países de la unión europea. </w:t>
      </w:r>
      <w:r>
        <w:t>Este índice se denominará Índice de Ingresos Europeo (IIE).</w:t>
      </w:r>
    </w:p>
    <w:p w14:paraId="4ED5BA3C" w14:textId="5980C8E2" w:rsidR="00FA4DAF" w:rsidRPr="004C447E" w:rsidRDefault="00264B6F" w:rsidP="008D6E72">
      <w:pPr>
        <w:rPr>
          <w:b/>
          <w:bCs/>
          <w:sz w:val="28"/>
          <w:szCs w:val="24"/>
          <w:u w:val="single"/>
        </w:rPr>
      </w:pPr>
      <w:r w:rsidRPr="004C447E">
        <w:rPr>
          <w:b/>
          <w:bCs/>
          <w:sz w:val="28"/>
          <w:szCs w:val="24"/>
          <w:u w:val="single"/>
        </w:rPr>
        <w:t>Recolección de datos</w:t>
      </w:r>
    </w:p>
    <w:p w14:paraId="15CCD77E" w14:textId="3988F453" w:rsidR="00000B36" w:rsidRDefault="00A512B8" w:rsidP="00000B36">
      <w:r>
        <w:t xml:space="preserve">Obtendremos los datos a </w:t>
      </w:r>
      <w:r w:rsidR="00000B36">
        <w:t xml:space="preserve">partir de dos indicadores que nos ofrece Eurostat. </w:t>
      </w:r>
    </w:p>
    <w:p w14:paraId="06A11A86" w14:textId="3897207D" w:rsidR="00A512B8" w:rsidRDefault="004C447E" w:rsidP="004C447E">
      <w:r>
        <w:rPr>
          <w:b/>
          <w:bCs/>
        </w:rPr>
        <w:t xml:space="preserve">- </w:t>
      </w:r>
      <w:r w:rsidR="00000B36" w:rsidRPr="004C447E">
        <w:rPr>
          <w:b/>
          <w:bCs/>
        </w:rPr>
        <w:t>Beneficios netos</w:t>
      </w:r>
      <w:r w:rsidR="00000B36">
        <w:t>: Determina el beneficio neto del trabajador promedio restando el importe en bruto con</w:t>
      </w:r>
      <w:r w:rsidR="00000B36" w:rsidRPr="00000B36">
        <w:t xml:space="preserve"> los impuestos sobre la renta</w:t>
      </w:r>
      <w:r w:rsidR="00000B36">
        <w:t>, las</w:t>
      </w:r>
      <w:r w:rsidR="00000B36" w:rsidRPr="00000B36">
        <w:t xml:space="preserve"> cotizaciones a la seguridad social del </w:t>
      </w:r>
      <w:r w:rsidR="00000B36">
        <w:t>y sumando</w:t>
      </w:r>
      <w:r w:rsidR="00000B36" w:rsidRPr="00000B36">
        <w:t xml:space="preserve"> </w:t>
      </w:r>
      <w:r w:rsidR="00000B36">
        <w:t>los diferentes subsidios familiares</w:t>
      </w:r>
      <w:r w:rsidR="003F3F50">
        <w:t>.</w:t>
      </w:r>
    </w:p>
    <w:p w14:paraId="7E0600D7" w14:textId="1E96FBB4" w:rsidR="00EF5EBC" w:rsidRPr="00D070F6" w:rsidRDefault="004C447E" w:rsidP="006C2FEF">
      <w:r>
        <w:rPr>
          <w:b/>
          <w:bCs/>
        </w:rPr>
        <w:t xml:space="preserve">- </w:t>
      </w:r>
      <w:r w:rsidR="00000B36" w:rsidRPr="004C447E">
        <w:rPr>
          <w:b/>
          <w:bCs/>
        </w:rPr>
        <w:t>Índice de nivel de precios</w:t>
      </w:r>
      <w:r w:rsidR="00327D7F">
        <w:rPr>
          <w:b/>
          <w:bCs/>
        </w:rPr>
        <w:t xml:space="preserve"> (INP)</w:t>
      </w:r>
      <w:r w:rsidR="00000B36">
        <w:t>: Determina el nivel de precios de un país con respecto a otro.</w:t>
      </w:r>
    </w:p>
    <w:p w14:paraId="1E244CD5" w14:textId="79D7A8F9" w:rsidR="00264B6F" w:rsidRDefault="00264B6F" w:rsidP="008D6E72">
      <w:pPr>
        <w:rPr>
          <w:b/>
          <w:bCs/>
          <w:sz w:val="28"/>
          <w:szCs w:val="24"/>
          <w:u w:val="single"/>
        </w:rPr>
      </w:pPr>
      <w:r w:rsidRPr="004C447E">
        <w:rPr>
          <w:b/>
          <w:bCs/>
          <w:sz w:val="28"/>
          <w:szCs w:val="24"/>
          <w:u w:val="single"/>
        </w:rPr>
        <w:t>Limpieza de datos</w:t>
      </w:r>
    </w:p>
    <w:p w14:paraId="04ABDE78" w14:textId="53EE1406" w:rsidR="001D1CE0" w:rsidRDefault="001D1CE0" w:rsidP="008D6E72">
      <w:r w:rsidRPr="001D1CE0">
        <w:t>Ambas tablas presentan un forma</w:t>
      </w:r>
      <w:r>
        <w:t>to parecido y se tratarán de la siguiente manera:</w:t>
      </w:r>
    </w:p>
    <w:p w14:paraId="1797FA23" w14:textId="77777777" w:rsidR="001D1CE0" w:rsidRDefault="001D1CE0" w:rsidP="008D6E72">
      <w:r>
        <w:t xml:space="preserve">1. Eliminamos todas las filas que no tengan nada que ver con los datos a estudiar. </w:t>
      </w:r>
    </w:p>
    <w:p w14:paraId="3E099914" w14:textId="55E0860A" w:rsidR="001D1CE0" w:rsidRDefault="001D1CE0" w:rsidP="008D6E72">
      <w:r>
        <w:t>2. Convertimos los años de nombre a columna a datos.</w:t>
      </w:r>
    </w:p>
    <w:p w14:paraId="1209134D" w14:textId="18124B12" w:rsidR="001D1CE0" w:rsidRDefault="001D1CE0" w:rsidP="008D6E72">
      <w:r>
        <w:t>3. Se cambia el nombre de todas aquellas celdas para mejorar la presentación.</w:t>
      </w:r>
    </w:p>
    <w:p w14:paraId="0719139F" w14:textId="72326643" w:rsidR="008B1065" w:rsidRDefault="008B1065" w:rsidP="008D6E72">
      <w:r>
        <w:t>A continuación, procedemos a tratar las celdas vacías.</w:t>
      </w:r>
    </w:p>
    <w:p w14:paraId="57385A1A" w14:textId="7ACEDA71" w:rsidR="008B1065" w:rsidRDefault="008B1065" w:rsidP="008D6E72">
      <w:r>
        <w:t>1. En el caso de Chipre en la tabla de los beneficios netos, rellenamos los datos de 2015 y 2016 distribuyendo el crecimiento que sufre de 2014 a 2017 pero conservando el total.</w:t>
      </w:r>
    </w:p>
    <w:p w14:paraId="624771FC" w14:textId="69ECAA02" w:rsidR="00107FA3" w:rsidRDefault="008B1065" w:rsidP="008D6E72">
      <w:r>
        <w:t>2. En el caso de los datos del 2022 de la tabla de índice de nivel de precios, se estima aplicando la media móvil simple con respecto a los anteriores 3 años.</w:t>
      </w:r>
    </w:p>
    <w:p w14:paraId="5AF01E97" w14:textId="77777777" w:rsidR="00C60B3A" w:rsidRDefault="00C60B3A" w:rsidP="00C60B3A">
      <w:pPr>
        <w:rPr>
          <w:b/>
          <w:bCs/>
          <w:sz w:val="28"/>
          <w:szCs w:val="24"/>
          <w:u w:val="single"/>
        </w:rPr>
      </w:pPr>
      <w:r w:rsidRPr="004C447E">
        <w:rPr>
          <w:b/>
          <w:bCs/>
          <w:sz w:val="28"/>
          <w:szCs w:val="24"/>
          <w:u w:val="single"/>
        </w:rPr>
        <w:t>Construcción del modelo</w:t>
      </w:r>
    </w:p>
    <w:p w14:paraId="48D26B2F" w14:textId="77777777" w:rsidR="00C60B3A" w:rsidRDefault="00C60B3A" w:rsidP="00C60B3A">
      <w:r>
        <w:t xml:space="preserve">Para comprender mejor la información, añadiremos nuevas características. </w:t>
      </w:r>
    </w:p>
    <w:p w14:paraId="71120253" w14:textId="41B5CB53" w:rsidR="00C60B3A" w:rsidRDefault="00C60B3A" w:rsidP="008D6E72">
      <w:r>
        <w:t xml:space="preserve">Estudiaremos los datos en base a si la nación pertenece o no a la eurozona, la fecha de incorporación a la unión europea y la región a la que pertenece (según </w:t>
      </w:r>
      <w:proofErr w:type="spellStart"/>
      <w:r w:rsidRPr="001547CD">
        <w:t>EuroVoc</w:t>
      </w:r>
      <w:proofErr w:type="spellEnd"/>
      <w:r>
        <w:t xml:space="preserve">). </w:t>
      </w:r>
    </w:p>
    <w:p w14:paraId="1561FB52" w14:textId="77777777" w:rsidR="00C60B3A" w:rsidRDefault="00C60B3A" w:rsidP="00C60B3A">
      <w:r>
        <w:lastRenderedPageBreak/>
        <w:t>Después, combinamos todas las tablas en una sola y calculamos el índice de ingresos europeo mediante la siguiente formula:</w:t>
      </w:r>
    </w:p>
    <w:p w14:paraId="6AF33747" w14:textId="77777777" w:rsidR="00C60B3A" w:rsidRPr="00107FA3" w:rsidRDefault="00C60B3A" w:rsidP="00C60B3A">
      <m:oMathPara>
        <m:oMath>
          <m:r>
            <w:rPr>
              <w:rFonts w:ascii="Cambria Math" w:hAnsi="Cambria Math"/>
            </w:rPr>
            <m:t>IIE=Benficios netos*(1+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100-INP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358A4ABD" w14:textId="79AFFFD3" w:rsidR="00C60B3A" w:rsidRPr="00327D7F" w:rsidRDefault="00C60B3A" w:rsidP="008D6E72">
      <w:r>
        <w:t xml:space="preserve">Luego, se calcularemos la varianza anual del IIE y lo añadiremos a la tabla. </w:t>
      </w:r>
    </w:p>
    <w:p w14:paraId="4F550098" w14:textId="321F0C58" w:rsidR="009F357B" w:rsidRDefault="00C13CBE" w:rsidP="00327D7F">
      <w:pPr>
        <w:rPr>
          <w:b/>
          <w:bCs/>
          <w:sz w:val="28"/>
          <w:szCs w:val="24"/>
          <w:u w:val="single"/>
        </w:rPr>
      </w:pPr>
      <w:r>
        <w:rPr>
          <w:b/>
          <w:bCs/>
          <w:sz w:val="28"/>
          <w:szCs w:val="24"/>
          <w:u w:val="single"/>
        </w:rPr>
        <w:t>Análisi</w:t>
      </w:r>
      <w:r w:rsidR="006A0C7D">
        <w:rPr>
          <w:b/>
          <w:bCs/>
          <w:sz w:val="28"/>
          <w:szCs w:val="24"/>
          <w:u w:val="single"/>
        </w:rPr>
        <w:t xml:space="preserve">s </w:t>
      </w:r>
      <w:r w:rsidR="001547CD">
        <w:rPr>
          <w:b/>
          <w:bCs/>
          <w:sz w:val="28"/>
          <w:szCs w:val="24"/>
          <w:u w:val="single"/>
        </w:rPr>
        <w:t>de datos</w:t>
      </w:r>
    </w:p>
    <w:p w14:paraId="3154A6B0" w14:textId="07712550" w:rsidR="006A0C7D" w:rsidRPr="00BA0A89" w:rsidRDefault="006A0C7D" w:rsidP="006A0C7D">
      <w:pPr>
        <w:rPr>
          <w:b/>
          <w:bCs/>
        </w:rPr>
      </w:pPr>
      <w:r>
        <w:rPr>
          <w:b/>
          <w:bCs/>
        </w:rPr>
        <w:t xml:space="preserve">1. </w:t>
      </w:r>
      <w:r w:rsidRPr="00BA0A89">
        <w:rPr>
          <w:b/>
          <w:bCs/>
        </w:rPr>
        <w:t>UE</w:t>
      </w:r>
    </w:p>
    <w:p w14:paraId="69F9DB08" w14:textId="5608C7AE" w:rsidR="006A0C7D" w:rsidRPr="003F3F50" w:rsidRDefault="006A0C7D" w:rsidP="00327D7F">
      <w:r>
        <w:t>A nivel europeo, la media de ingresos actualmente es de 22284,40 PPS y el crecimiento medio total desde 2014 es del 24%.</w:t>
      </w:r>
    </w:p>
    <w:p w14:paraId="2B3E9AFD" w14:textId="019FE5E4" w:rsidR="006A0C7D" w:rsidRDefault="006A0C7D" w:rsidP="006A0C7D">
      <w:pPr>
        <w:rPr>
          <w:b/>
          <w:bCs/>
        </w:rPr>
      </w:pPr>
      <w:r>
        <w:rPr>
          <w:b/>
          <w:bCs/>
        </w:rPr>
        <w:t>2</w:t>
      </w:r>
      <w:r w:rsidRPr="009F357B">
        <w:rPr>
          <w:b/>
          <w:bCs/>
        </w:rPr>
        <w:t>. Crecimiento</w:t>
      </w:r>
    </w:p>
    <w:p w14:paraId="1BCCB6F3" w14:textId="77777777" w:rsidR="006A0C7D" w:rsidRDefault="006A0C7D" w:rsidP="006A0C7D">
      <w:r>
        <w:t>Observamos que las naciones que más han crecido pertenecen a Europa del Este y Norte, están fuera de la eurozona y se han unido en el siglo 21.</w:t>
      </w:r>
    </w:p>
    <w:p w14:paraId="1793565B" w14:textId="77777777" w:rsidR="006A0C7D" w:rsidRDefault="006A0C7D" w:rsidP="006A0C7D">
      <w:r w:rsidRPr="009F357B">
        <w:t>Por otro lado, las que menos han crecido pertenece a Europa Occidental y Sur</w:t>
      </w:r>
      <w:r>
        <w:t>, están dentro de la eurozona y se unieron en la década de los 70 y 80.</w:t>
      </w:r>
    </w:p>
    <w:p w14:paraId="0A649EE1" w14:textId="2E4633EA" w:rsidR="006A0C7D" w:rsidRDefault="006A0C7D" w:rsidP="006A0C7D">
      <w:pPr>
        <w:rPr>
          <w:b/>
          <w:bCs/>
        </w:rPr>
      </w:pPr>
      <w:r>
        <w:rPr>
          <w:b/>
          <w:bCs/>
        </w:rPr>
        <w:t>3</w:t>
      </w:r>
      <w:r w:rsidRPr="009F357B">
        <w:rPr>
          <w:b/>
          <w:bCs/>
        </w:rPr>
        <w:t xml:space="preserve">. </w:t>
      </w:r>
      <w:r>
        <w:rPr>
          <w:b/>
          <w:bCs/>
        </w:rPr>
        <w:t>Riqueza</w:t>
      </w:r>
    </w:p>
    <w:p w14:paraId="512FCB98" w14:textId="40A1BBC7" w:rsidR="006A0C7D" w:rsidRDefault="006A0C7D" w:rsidP="006A0C7D">
      <w:r>
        <w:t>Observamos que, de media, las naciones más ricas son las Occidentales y Sureñas (aunque las últimas tienen un valor muy parecido a las del este), son miembros fundadores o se unieron a principios del 2000. El hecho de que estén dentro de la Eurozona o no es un factor que no influye, pues ambos presentan de media el mismo valor.</w:t>
      </w:r>
    </w:p>
    <w:p w14:paraId="2D4B20F6" w14:textId="0F87D560" w:rsidR="006A0C7D" w:rsidRDefault="006A0C7D" w:rsidP="00C13CBE">
      <w:r>
        <w:t xml:space="preserve">Por otro lado, las que menor riqueza tienen son los países </w:t>
      </w:r>
      <w:r w:rsidR="00977989">
        <w:t xml:space="preserve">del este y </w:t>
      </w:r>
      <w:r>
        <w:t>del norte</w:t>
      </w:r>
      <w:r w:rsidR="00977989">
        <w:t xml:space="preserve"> </w:t>
      </w:r>
      <w:r>
        <w:t xml:space="preserve">que se unieron en los 70 y en los 80. </w:t>
      </w:r>
    </w:p>
    <w:p w14:paraId="33D2B0CA" w14:textId="283D7A15" w:rsidR="006A0C7D" w:rsidRDefault="006A0C7D" w:rsidP="004C447E">
      <w:pPr>
        <w:rPr>
          <w:b/>
          <w:bCs/>
          <w:sz w:val="28"/>
          <w:szCs w:val="24"/>
          <w:u w:val="single"/>
        </w:rPr>
      </w:pPr>
      <w:r>
        <w:rPr>
          <w:b/>
          <w:bCs/>
          <w:sz w:val="28"/>
          <w:szCs w:val="24"/>
          <w:u w:val="single"/>
        </w:rPr>
        <w:t>Conclusiones</w:t>
      </w:r>
    </w:p>
    <w:p w14:paraId="47FF2E86" w14:textId="4E1656DC" w:rsidR="00977989" w:rsidRDefault="006A0C7D" w:rsidP="004C447E">
      <w:r>
        <w:t xml:space="preserve">1. </w:t>
      </w:r>
      <w:r w:rsidR="00977989">
        <w:t xml:space="preserve">A nivel de naciones, podemos ver que, salvo Grecia, Luxemburgo e Irlanda, los países experimentan crecimiento económico.  </w:t>
      </w:r>
    </w:p>
    <w:p w14:paraId="4B012A2B" w14:textId="77777777" w:rsidR="001547CD" w:rsidRDefault="001547CD" w:rsidP="004C447E">
      <w:r>
        <w:t xml:space="preserve">2. Las naciones con más éxito en general en promedio son aquellas naciones del este y del norte, unidas en el siglo 21 que no pertenecen a la eurozona. </w:t>
      </w:r>
    </w:p>
    <w:p w14:paraId="303E102D" w14:textId="4BD97B06" w:rsidR="001547CD" w:rsidRDefault="001547CD" w:rsidP="004C447E">
      <w:r>
        <w:t xml:space="preserve">Sus niveles de riqueza son equiparables a las naciones sureñas y las naciones fundadoras y en el futuro próximo llegarán a superarlas debido a su crecimiento económico tan acelerado  </w:t>
      </w:r>
    </w:p>
    <w:p w14:paraId="5EA44E11" w14:textId="37C1BDDC" w:rsidR="00A512B8" w:rsidRPr="003F3F50" w:rsidRDefault="001547CD" w:rsidP="003F3F50">
      <w:pPr>
        <w:rPr>
          <w:b/>
          <w:bCs/>
        </w:rPr>
      </w:pPr>
      <w:r>
        <w:t>3</w:t>
      </w:r>
      <w:r w:rsidR="00977989">
        <w:t>. Las naciones unidas en la década de los 70 y 80 son las peores paradas</w:t>
      </w:r>
      <w:r>
        <w:t xml:space="preserve"> en promedio</w:t>
      </w:r>
      <w:r w:rsidR="00977989">
        <w:t xml:space="preserve"> tanto en crecimiento como en riqueza.</w:t>
      </w:r>
    </w:p>
    <w:sectPr w:rsidR="00A512B8" w:rsidRPr="003F3F50" w:rsidSect="003F3F50"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622530" w14:textId="77777777" w:rsidR="00197487" w:rsidRDefault="00197487" w:rsidP="001547CD">
      <w:pPr>
        <w:spacing w:after="0"/>
      </w:pPr>
      <w:r>
        <w:separator/>
      </w:r>
    </w:p>
  </w:endnote>
  <w:endnote w:type="continuationSeparator" w:id="0">
    <w:p w14:paraId="0997F380" w14:textId="77777777" w:rsidR="00197487" w:rsidRDefault="00197487" w:rsidP="001547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ll MT">
    <w:altName w:val="Bell MT"/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DECA9" w14:textId="77777777" w:rsidR="001547CD" w:rsidRDefault="001547CD">
    <w:pPr>
      <w:pStyle w:val="Footer"/>
      <w:tabs>
        <w:tab w:val="clear" w:pos="4680"/>
        <w:tab w:val="clear" w:pos="9360"/>
      </w:tabs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162E5EE0" w14:textId="77777777" w:rsidR="001547CD" w:rsidRDefault="001547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0F00E4" w14:textId="77777777" w:rsidR="00197487" w:rsidRDefault="00197487" w:rsidP="001547CD">
      <w:pPr>
        <w:spacing w:after="0"/>
      </w:pPr>
      <w:r>
        <w:separator/>
      </w:r>
    </w:p>
  </w:footnote>
  <w:footnote w:type="continuationSeparator" w:id="0">
    <w:p w14:paraId="1BBD1249" w14:textId="77777777" w:rsidR="00197487" w:rsidRDefault="00197487" w:rsidP="001547C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A25C0"/>
    <w:multiLevelType w:val="hybridMultilevel"/>
    <w:tmpl w:val="5E6A6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67807"/>
    <w:multiLevelType w:val="hybridMultilevel"/>
    <w:tmpl w:val="C83EAF7C"/>
    <w:lvl w:ilvl="0" w:tplc="040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2" w15:restartNumberingAfterBreak="0">
    <w:nsid w:val="4030444E"/>
    <w:multiLevelType w:val="hybridMultilevel"/>
    <w:tmpl w:val="5CAA72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151EF4"/>
    <w:multiLevelType w:val="multilevel"/>
    <w:tmpl w:val="7E9CAA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64E03A73"/>
    <w:multiLevelType w:val="hybridMultilevel"/>
    <w:tmpl w:val="45C06A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DA6E3F"/>
    <w:multiLevelType w:val="hybridMultilevel"/>
    <w:tmpl w:val="849A8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3523634">
    <w:abstractNumId w:val="3"/>
  </w:num>
  <w:num w:numId="2" w16cid:durableId="322661217">
    <w:abstractNumId w:val="0"/>
  </w:num>
  <w:num w:numId="3" w16cid:durableId="682975125">
    <w:abstractNumId w:val="1"/>
  </w:num>
  <w:num w:numId="4" w16cid:durableId="1401826080">
    <w:abstractNumId w:val="4"/>
  </w:num>
  <w:num w:numId="5" w16cid:durableId="289282888">
    <w:abstractNumId w:val="2"/>
  </w:num>
  <w:num w:numId="6" w16cid:durableId="20819798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65A"/>
    <w:rsid w:val="00000B36"/>
    <w:rsid w:val="0002727F"/>
    <w:rsid w:val="00032C1B"/>
    <w:rsid w:val="000C265A"/>
    <w:rsid w:val="000D6A68"/>
    <w:rsid w:val="00107FA3"/>
    <w:rsid w:val="001547CD"/>
    <w:rsid w:val="00197487"/>
    <w:rsid w:val="001D1CE0"/>
    <w:rsid w:val="001D57CC"/>
    <w:rsid w:val="001E4677"/>
    <w:rsid w:val="00264B6F"/>
    <w:rsid w:val="00327D7F"/>
    <w:rsid w:val="0034655E"/>
    <w:rsid w:val="003C7965"/>
    <w:rsid w:val="003F3F50"/>
    <w:rsid w:val="004C447E"/>
    <w:rsid w:val="005B00B7"/>
    <w:rsid w:val="005D055F"/>
    <w:rsid w:val="006A0C7D"/>
    <w:rsid w:val="006C2FEF"/>
    <w:rsid w:val="006C4FFB"/>
    <w:rsid w:val="00790B12"/>
    <w:rsid w:val="008B1065"/>
    <w:rsid w:val="008D6E72"/>
    <w:rsid w:val="008F0C08"/>
    <w:rsid w:val="00963C4D"/>
    <w:rsid w:val="00977989"/>
    <w:rsid w:val="009F357B"/>
    <w:rsid w:val="00A30E23"/>
    <w:rsid w:val="00A512B8"/>
    <w:rsid w:val="00B07E85"/>
    <w:rsid w:val="00BA0A89"/>
    <w:rsid w:val="00C13CBE"/>
    <w:rsid w:val="00C15AA8"/>
    <w:rsid w:val="00C21C7B"/>
    <w:rsid w:val="00C60B3A"/>
    <w:rsid w:val="00C94322"/>
    <w:rsid w:val="00CD718A"/>
    <w:rsid w:val="00CF440D"/>
    <w:rsid w:val="00D070F6"/>
    <w:rsid w:val="00D246DF"/>
    <w:rsid w:val="00D36AC5"/>
    <w:rsid w:val="00D905DB"/>
    <w:rsid w:val="00E82141"/>
    <w:rsid w:val="00EF44C8"/>
    <w:rsid w:val="00EF5EBC"/>
    <w:rsid w:val="00F97300"/>
    <w:rsid w:val="00FA4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BFD63"/>
  <w15:chartTrackingRefBased/>
  <w15:docId w15:val="{9C2429DB-98F8-454F-8F54-E0B9B9F4A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0E23"/>
    <w:pPr>
      <w:spacing w:after="280" w:line="240" w:lineRule="auto"/>
      <w:jc w:val="both"/>
    </w:pPr>
    <w:rPr>
      <w:rFonts w:ascii="Bell MT" w:hAnsi="Bell MT"/>
      <w:kern w:val="0"/>
      <w:sz w:val="24"/>
      <w:lang w:val="es-ES"/>
      <w14:ligatures w14:val="none"/>
    </w:rPr>
  </w:style>
  <w:style w:type="paragraph" w:styleId="Heading1">
    <w:name w:val="heading 1"/>
    <w:aliases w:val="HK4"/>
    <w:basedOn w:val="Normal"/>
    <w:next w:val="Normal"/>
    <w:link w:val="Heading1Char"/>
    <w:qFormat/>
    <w:rsid w:val="00C21C7B"/>
    <w:pPr>
      <w:outlineLvl w:val="0"/>
      <w15:collapsed/>
    </w:pPr>
    <w:rPr>
      <w:rFonts w:eastAsiaTheme="majorEastAsia" w:cstheme="majorBidi"/>
      <w:b/>
      <w:color w:val="7030A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K1">
    <w:name w:val="HK1"/>
    <w:basedOn w:val="Normal"/>
    <w:next w:val="Normal"/>
    <w:qFormat/>
    <w:rsid w:val="006C4FFB"/>
    <w:pPr>
      <w:spacing w:before="240" w:after="320"/>
      <w:outlineLvl w:val="0"/>
    </w:pPr>
    <w:rPr>
      <w:b/>
      <w:sz w:val="36"/>
    </w:rPr>
  </w:style>
  <w:style w:type="paragraph" w:customStyle="1" w:styleId="HK2">
    <w:name w:val="HK2"/>
    <w:basedOn w:val="Normal"/>
    <w:next w:val="Normal"/>
    <w:qFormat/>
    <w:rsid w:val="006C4FFB"/>
    <w:pPr>
      <w:spacing w:after="320"/>
      <w:outlineLvl w:val="1"/>
      <w15:collapsed/>
    </w:pPr>
    <w:rPr>
      <w:b/>
      <w:color w:val="C00000"/>
      <w:sz w:val="32"/>
      <w:u w:val="single"/>
    </w:rPr>
  </w:style>
  <w:style w:type="paragraph" w:customStyle="1" w:styleId="HK3">
    <w:name w:val="HK3"/>
    <w:basedOn w:val="Normal"/>
    <w:next w:val="Normal"/>
    <w:autoRedefine/>
    <w:qFormat/>
    <w:rsid w:val="00C21C7B"/>
    <w:pPr>
      <w:spacing w:after="320"/>
      <w:outlineLvl w:val="2"/>
      <w15:collapsed/>
    </w:pPr>
    <w:rPr>
      <w:b/>
      <w:color w:val="0070C0"/>
      <w:sz w:val="28"/>
    </w:rPr>
  </w:style>
  <w:style w:type="character" w:customStyle="1" w:styleId="Heading1Char">
    <w:name w:val="Heading 1 Char"/>
    <w:aliases w:val="HK4 Char"/>
    <w:basedOn w:val="DefaultParagraphFont"/>
    <w:link w:val="Heading1"/>
    <w:rsid w:val="00C21C7B"/>
    <w:rPr>
      <w:rFonts w:ascii="Bell MT" w:eastAsiaTheme="majorEastAsia" w:hAnsi="Bell MT" w:cstheme="majorBidi"/>
      <w:b/>
      <w:color w:val="7030A0"/>
      <w:sz w:val="24"/>
      <w:szCs w:val="32"/>
    </w:rPr>
  </w:style>
  <w:style w:type="paragraph" w:styleId="ListParagraph">
    <w:name w:val="List Paragraph"/>
    <w:basedOn w:val="Normal"/>
    <w:uiPriority w:val="34"/>
    <w:qFormat/>
    <w:rsid w:val="00F97300"/>
    <w:pPr>
      <w:ind w:left="720"/>
      <w:contextualSpacing/>
    </w:pPr>
  </w:style>
  <w:style w:type="table" w:styleId="TableGrid">
    <w:name w:val="Table Grid"/>
    <w:basedOn w:val="TableNormal"/>
    <w:uiPriority w:val="39"/>
    <w:rsid w:val="00F973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D6E7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6E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070F6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327D7F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547C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547CD"/>
    <w:rPr>
      <w:rFonts w:ascii="Bell MT" w:hAnsi="Bell MT"/>
      <w:kern w:val="0"/>
      <w:sz w:val="24"/>
      <w:lang w:val="es-E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547C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547CD"/>
    <w:rPr>
      <w:rFonts w:ascii="Bell MT" w:hAnsi="Bell MT"/>
      <w:kern w:val="0"/>
      <w:sz w:val="24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303DE6-700A-4411-A27D-2941A04877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553</Words>
  <Characters>3155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N</dc:creator>
  <cp:keywords/>
  <dc:description/>
  <cp:lastModifiedBy>K N</cp:lastModifiedBy>
  <cp:revision>14</cp:revision>
  <dcterms:created xsi:type="dcterms:W3CDTF">2023-06-05T22:29:00Z</dcterms:created>
  <dcterms:modified xsi:type="dcterms:W3CDTF">2023-06-18T10:04:00Z</dcterms:modified>
</cp:coreProperties>
</file>