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jc w:val="left"/>
        <w:tblLook w:firstRow="0" w:lastRow="0" w:firstColumn="0" w:lastColumn="0" w:noHBand="0" w:noVBand="0" w:val="0000"/>
      </w:tblPr>
      <w:tblGrid>
        <w:gridCol w:w="7920"/>
      </w:tblGrid>
      <w:tr>
        <w:tc>
          <w:tcPr/>
          <w:p>
            <w:pPr>
              <w:pStyle w:val="Compact"/>
              <w:jc w:val="left"/>
            </w:pPr>
            <w:r>
              <w:t xml:space="preserve">Document: AQ8-007</w:t>
            </w:r>
          </w:p>
        </w:tc>
      </w:tr>
      <w:tr>
        <w:tc>
          <w:tcPr/>
          <w:p>
            <w:pPr>
              <w:pStyle w:val="Compact"/>
              <w:jc w:val="left"/>
            </w:pPr>
            <w:r>
              <w:t xml:space="preserve">Title: Propuesta Técnica de Ingeniería — Sistema de Desalinización Modular AQUA-8 (AMDS)</w:t>
            </w:r>
          </w:p>
        </w:tc>
      </w:tr>
      <w:tr>
        <w:tc>
          <w:tcPr/>
          <w:p>
            <w:pPr>
              <w:pStyle w:val="Compact"/>
              <w:jc w:val="left"/>
            </w:pPr>
            <w:r>
              <w:rPr>
                <w:b/>
              </w:rPr>
              <w:t>Version: 2.4</w:t>
            </w:r>
          </w:p>
        </w:tc>
      </w:tr>
      <w:tr>
        <w:tc>
          <w:tcPr/>
          <w:p>
            <w:pPr>
              <w:pStyle w:val="Compact"/>
              <w:jc w:val="left"/>
            </w:pPr>
            <w:r>
              <w:t xml:space="preserve">Status: Final — Submission Ready</w:t>
            </w:r>
          </w:p>
        </w:tc>
      </w:tr>
      <w:tr>
        <w:tc>
          <w:tcPr/>
          <w:p>
            <w:pPr>
              <w:pStyle w:val="Compact"/>
              <w:jc w:val="left"/>
            </w:pPr>
            <w:r>
              <w:t xml:space="preserve">Author: Equipo AQUA-8 / RELX</w:t>
            </w:r>
          </w:p>
        </w:tc>
      </w:tr>
      <w:tr>
        <w:tc>
          <w:tcPr/>
          <w:p>
            <w:pPr>
              <w:pStyle w:val="Compact"/>
              <w:jc w:val="left"/>
            </w:pPr>
            <w:r>
              <w:rPr>
                <w:b/>
              </w:rPr>
              <w:t>Date: 2026-07-07</w:t>
            </w:r>
          </w:p>
        </w:tc>
      </w:tr>
      <w:tr>
        <w:tc>
          <w:tcPr/>
          <w:p>
            <w:pPr>
              <w:pStyle w:val="Compact"/>
              <w:jc w:val="left"/>
            </w:pPr>
            <w:r>
              <w:t xml:space="preserve">Review: Internal Engineering Review Completed</w:t>
            </w:r>
          </w:p>
        </w:tc>
      </w:tr>
      <w:tr>
        <w:tc>
          <w:tcPr/>
          <w:p>
            <w:pPr>
              <w:pStyle w:val="Compact"/>
              <w:jc w:val="left"/>
            </w:pPr>
            <w:r>
              <w:t xml:space="preserve">Approved: Yes — Project Lead</w:t>
            </w:r>
          </w:p>
        </w:tc>
      </w:tr>
      <w:tr>
        <w:tc>
          <w:tcPr/>
          <w:p>
            <w:pPr>
              <w:pStyle w:val="Compact"/>
              <w:jc w:val="left"/>
            </w:pPr>
            <w:r>
              <w:t xml:space="preserve">Confidentiality: Internal</w:t>
            </w:r>
          </w:p>
        </w:tc>
      </w:tr>
      <w:tr>
        <w:tc>
          <w:tcPr/>
          <w:p>
            <w:pPr>
              <w:pStyle w:val="Compact"/>
              <w:jc w:val="left"/>
            </w:pPr>
            <w:r>
              <w:t xml:space="preserve">Program: RELX Environmental Challenge 2026</w:t>
            </w:r>
          </w:p>
        </w:tc>
      </w:tr>
    </w:tbl>
    <w:bookmarkStart w:id="114" w:name="propuesta-técnica-de-ingeniería"/>
    <w:p>
      <w:pPr>
        <w:pStyle w:val="1"/>
      </w:pPr>
      <w:r>
        <w:t xml:space="preserve">PROPUESTA TÉCNICA DE INGENIERÍA</w:t>
      </w:r>
    </w:p>
    <w:bookmarkStart w:id="21" w:name="Xb80fddb8f2c8d28f9d68efb760d1f98f3d671e6"/>
    <w:p>
      <w:pPr>
        <w:pStyle w:val="2"/>
      </w:pPr>
      <w:r>
        <w:t xml:space="preserve">Sistema de Desalinización Modular AQUA-8 (AMDS)</w:t>
      </w:r>
    </w:p>
    <w:bookmarkStart w:id="20" w:name="X909aeff77eefc47c0729178c5c8abec507f04b0"/>
    <w:p>
      <w:pPr>
        <w:pStyle w:val="3"/>
      </w:pPr>
      <w:r>
        <w:t xml:space="preserve">AQUA-8 Modular Desalination System — Smart Water Hub</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Código del Documento</w:t>
            </w:r>
          </w:p>
        </w:tc>
        <w:tc>
          <w:tcPr/>
          <w:p>
            <w:pPr>
              <w:pStyle w:val="Compact"/>
              <w:jc w:val="left"/>
            </w:pPr>
            <w:r>
              <w:t xml:space="preserve">AQ8-007</w:t>
            </w:r>
          </w:p>
        </w:tc>
      </w:tr>
      <w:tr>
        <w:tc>
          <w:tcPr/>
          <w:p>
            <w:pPr>
              <w:pStyle w:val="Compact"/>
              <w:jc w:val="left"/>
            </w:pPr>
            <w:r>
              <w:rPr>
                <w:b/>
                <w:bCs/>
              </w:rPr>
              <w:t xml:space="preserve">Revisión</w:t>
            </w:r>
          </w:p>
        </w:tc>
        <w:tc>
          <w:tcPr/>
          <w:p>
            <w:pPr>
              <w:pStyle w:val="Compact"/>
              <w:jc w:val="left"/>
            </w:pPr>
            <w:r>
              <w:t>2.4</w:t>
            </w:r>
          </w:p>
        </w:tc>
      </w:tr>
      <w:tr>
        <w:tc>
          <w:tcPr/>
          <w:p>
            <w:pPr>
              <w:pStyle w:val="Compact"/>
              <w:jc w:val="left"/>
            </w:pPr>
            <w:r>
              <w:rPr>
                <w:b/>
                <w:bCs/>
              </w:rPr>
              <w:t xml:space="preserve">Programa</w:t>
            </w:r>
          </w:p>
        </w:tc>
        <w:tc>
          <w:tcPr/>
          <w:p>
            <w:pPr>
              <w:pStyle w:val="Compact"/>
              <w:jc w:val="left"/>
            </w:pPr>
            <w:r>
              <w:t xml:space="preserve">RELX Environmental Challenge 2026</w:t>
            </w:r>
          </w:p>
        </w:tc>
      </w:tr>
      <w:tr>
        <w:tc>
          <w:tcPr/>
          <w:p>
            <w:pPr>
              <w:pStyle w:val="Compact"/>
              <w:jc w:val="left"/>
            </w:pPr>
            <w:r>
              <w:rPr>
                <w:b/>
                <w:bCs/>
              </w:rPr>
              <w:t xml:space="preserve">Ubicación del Piloto</w:t>
            </w:r>
          </w:p>
        </w:tc>
        <w:tc>
          <w:tcPr/>
          <w:p>
            <w:pPr>
              <w:pStyle w:val="Compact"/>
              <w:jc w:val="left"/>
            </w:pPr>
            <w:r>
              <w:t xml:space="preserve">Manaure, La Guajira, Colombia</w:t>
            </w:r>
          </w:p>
        </w:tc>
      </w:tr>
      <w:tr>
        <w:tc>
          <w:tcPr/>
          <w:p>
            <w:pPr>
              <w:pStyle w:val="Compact"/>
              <w:jc w:val="left"/>
            </w:pPr>
            <w:r>
              <w:rPr>
                <w:b/>
                <w:bCs/>
              </w:rPr>
              <w:t xml:space="preserve">Coordenadas</w:t>
            </w:r>
          </w:p>
        </w:tc>
        <w:tc>
          <w:tcPr/>
          <w:p>
            <w:pPr>
              <w:pStyle w:val="Compact"/>
              <w:jc w:val="left"/>
            </w:pPr>
            <w:r>
              <w:t xml:space="preserve">11.7751°N, 72.4450°W (preliminares)</w:t>
            </w:r>
          </w:p>
        </w:tc>
      </w:tr>
      <w:tr>
        <w:tc>
          <w:tcPr/>
          <w:p>
            <w:pPr>
              <w:pStyle w:val="Compact"/>
              <w:jc w:val="left"/>
            </w:pPr>
            <w:r>
              <w:rPr>
                <w:b/>
                <w:bCs/>
              </w:rPr>
              <w:t xml:space="preserve">Fecha de Emisión</w:t>
            </w:r>
          </w:p>
        </w:tc>
        <w:tc>
          <w:tcPr/>
          <w:p>
            <w:pPr>
              <w:pStyle w:val="Compact"/>
              <w:jc w:val="left"/>
            </w:pPr>
            <w:r>
              <w:t>2026-07-07</w:t>
            </w:r>
          </w:p>
        </w:tc>
      </w:tr>
      <w:tr>
        <w:tc>
          <w:tcPr/>
          <w:p>
            <w:pPr>
              <w:pStyle w:val="Compact"/>
              <w:jc w:val="left"/>
            </w:pPr>
            <w:r>
              <w:rPr>
                <w:b/>
                <w:bCs/>
              </w:rPr>
              <w:t xml:space="preserve">Elaborado por</w:t>
            </w:r>
          </w:p>
        </w:tc>
        <w:tc>
          <w:tcPr/>
          <w:p>
            <w:pPr>
              <w:pStyle w:val="Compact"/>
              <w:jc w:val="left"/>
            </w:pPr>
            <w:r>
              <w:t xml:space="preserve">Equipo AQUA-8 / RELX</w:t>
            </w:r>
          </w:p>
        </w:tc>
      </w:tr>
      <w:tr>
        <w:tc>
          <w:tcPr/>
          <w:p>
            <w:pPr>
              <w:pStyle w:val="Compact"/>
              <w:jc w:val="left"/>
            </w:pPr>
            <w:r>
              <w:rPr>
                <w:b/>
                <w:bCs/>
              </w:rPr>
              <w:t xml:space="preserve">Estado</w:t>
            </w:r>
          </w:p>
        </w:tc>
        <w:tc>
          <w:tcPr/>
          <w:p>
            <w:pPr>
              <w:pStyle w:val="Compact"/>
              <w:jc w:val="left"/>
            </w:pPr>
            <w:r>
              <w:t xml:space="preserve">Final — Submission Ready</w:t>
            </w:r>
          </w:p>
        </w:tc>
      </w:tr>
    </w:tbl>
    <w:bookmarkEnd w:id="20"/>
    <w:bookmarkEnd w:id="21"/>
    <w:bookmarkStart w:id="22" w:name="hoja-de-control-de-documentos"/>
    <w:p>
      <w:pPr>
        <w:pStyle w:val="2"/>
      </w:pPr>
      <w:r>
        <w:t xml:space="preserve">HOJA DE CONTROL DE DOCUMENTOS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Descripción del Cambio</w:t>
            </w:r>
          </w:p>
        </w:tc>
        <w:tc>
          <w:tcPr/>
          <w:p>
            <w:pPr>
              <w:pStyle w:val="Compact"/>
              <w:jc w:val="left"/>
            </w:pPr>
            <w:r>
              <w:t xml:space="preserve">Elaboró</w:t>
            </w:r>
          </w:p>
        </w:tc>
        <w:tc>
          <w:tcPr/>
          <w:p>
            <w:pPr>
              <w:pStyle w:val="Compact"/>
              <w:jc w:val="left"/>
            </w:pPr>
            <w:r>
              <w:t xml:space="preserve">Revisó</w:t>
            </w:r>
          </w:p>
        </w:tc>
        <w:tc>
          <w:tcPr/>
          <w:p>
            <w:pPr>
              <w:pStyle w:val="Compact"/>
              <w:jc w:val="left"/>
            </w:pPr>
            <w:r>
              <w:t xml:space="preserve">Aprobó</w:t>
            </w:r>
          </w:p>
        </w:tc>
      </w:tr>
      <w:tr>
        <w:tc>
          <w:tcPr/>
          <w:p>
            <w:pPr>
              <w:pStyle w:val="Compact"/>
              <w:jc w:val="left"/>
            </w:pPr>
            <w:r>
              <w:t xml:space="preserve">0.1</w:t>
            </w:r>
          </w:p>
        </w:tc>
        <w:tc>
          <w:tcPr/>
          <w:p>
            <w:pPr>
              <w:pStyle w:val="Compact"/>
              <w:jc w:val="left"/>
            </w:pPr>
            <w:r>
              <w:t xml:space="preserve">2026-06-26</w:t>
            </w:r>
          </w:p>
        </w:tc>
        <w:tc>
          <w:tcPr/>
          <w:p>
            <w:pPr>
              <w:pStyle w:val="Compact"/>
              <w:jc w:val="left"/>
            </w:pPr>
            <w:r>
              <w:t xml:space="preserve">Versión inicial — propuesta conceptual</w:t>
            </w:r>
          </w:p>
        </w:tc>
        <w:tc>
          <w:tcPr/>
          <w:p>
            <w:pPr>
              <w:pStyle w:val="Compact"/>
              <w:jc w:val="left"/>
            </w:pPr>
            <w:r>
              <w:t xml:space="preserve">Equipo AQUA-8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2026-07-06</w:t>
            </w:r>
          </w:p>
        </w:tc>
        <w:tc>
          <w:tcPr/>
          <w:p>
            <w:pPr>
              <w:pStyle w:val="Compact"/>
              <w:jc w:val="left"/>
            </w:pPr>
            <w:r>
              <w:t xml:space="preserve">Versión completa de ingeniería — FEED, cálculos, presupuesto, casos de referencia</w:t>
            </w:r>
          </w:p>
        </w:tc>
        <w:tc>
          <w:tcPr/>
          <w:p>
            <w:pPr>
              <w:pStyle w:val="Compact"/>
              <w:jc w:val="left"/>
            </w:pPr>
            <w:r>
              <w:t xml:space="preserve">Equipo AQUA-8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2026-07-06</w:t>
            </w:r>
          </w:p>
        </w:tc>
        <w:tc>
          <w:tcPr/>
          <w:p>
            <w:pPr>
              <w:pStyle w:val="Compact"/>
              <w:jc w:val="left"/>
            </w:pPr>
            <w:r>
              <w:t xml:space="preserve">Corrección de balance hidráulico y energético (Sección 8). Ajuste de objetivos SEC. Clarificación de arquitectura solar sin baterías.</w:t>
            </w:r>
          </w:p>
        </w:tc>
        <w:tc>
          <w:tcPr/>
          <w:p>
            <w:pPr>
              <w:pStyle w:val="Compact"/>
              <w:jc w:val="left"/>
            </w:pPr>
            <w:r>
              <w:t xml:space="preserve">Equipo AQUA-8</w:t>
            </w:r>
          </w:p>
        </w:tc>
        <w:tc>
          <w:tcPr/>
          <w:p>
            <w:pPr>
              <w:pStyle w:val="Compact"/>
              <w:jc w:val="left"/>
            </w:pPr>
            <w:r>
              <w:t xml:space="preserve">Director de Proyecto</w:t>
            </w:r>
          </w:p>
        </w:tc>
        <w:tc>
          <w:tcPr/>
          <w:p>
            <w:pPr>
              <w:pStyle w:val="Compact"/>
              <w:jc w:val="left"/>
            </w:pPr>
            <w:r>
              <w:t xml:space="preserve">Project Lead</w:t>
            </w:r>
          </w:p>
        </w:tc>
      </w:tr>
      <w:tr>
        <w:tc>
          <w:tcPr/>
          <w:p>
            <w:pPr>
              <w:pStyle w:val="Compact"/>
              <w:jc w:val="left"/>
            </w:pPr>
            <w:r/>
            <w:r>
              <w:t xml:space="preserve">2.1</w:t>
            </w:r>
          </w:p>
        </w:tc>
        <w:tc>
          <w:tcPr/>
          <w:p>
            <w:pPr>
              <w:pStyle w:val="Compact"/>
              <w:jc w:val="left"/>
            </w:pPr>
            <w:r/>
            <w:r>
              <w:t xml:space="preserve">2026-07-07</w:t>
            </w:r>
          </w:p>
        </w:tc>
        <w:tc>
          <w:tcPr/>
          <w:p>
            <w:pPr>
              <w:pStyle w:val="Compact"/>
              <w:jc w:val="left"/>
            </w:pPr>
            <w:r/>
            <w:r>
              <w:t xml:space="preserve">Adición de matriz de riesgos, análisis VPN/SROI, evaluación de redundancia ERD, estrategia para nublados extendidos, riesgos de toma submarina, verificación de membranas, y bloque de firmas. Correcciones de ingeniería y validación económica.</w:t>
            </w:r>
          </w:p>
        </w:tc>
        <w:tc>
          <w:tcPr/>
          <w:p>
            <w:pPr>
              <w:pStyle w:val="Compact"/>
              <w:jc w:val="left"/>
            </w:pPr>
            <w:r/>
            <w:r>
              <w:t xml:space="preserve">Equipo AQUA-8</w:t>
            </w:r>
          </w:p>
        </w:tc>
        <w:tc>
          <w:tcPr/>
          <w:p>
            <w:pPr>
              <w:pStyle w:val="Compact"/>
              <w:jc w:val="left"/>
            </w:pPr>
            <w:r/>
            <w:r>
              <w:t xml:space="preserve">Director de Proyecto</w:t>
            </w:r>
          </w:p>
        </w:tc>
        <w:tc>
          <w:tcPr/>
          <w:p>
            <w:pPr>
              <w:pStyle w:val="Compact"/>
              <w:jc w:val="left"/>
            </w:pPr>
            <w:r/>
            <w:r>
              <w:t xml:space="preserve">Project Lead</w:t>
            </w:r>
          </w:p>
        </w:tc>
      </w:tr>
      <w:tr>
        <w:tc>
          <w:tcPr/>
          <w:p>
            <w:pPr>
              <w:pStyle w:val="Compact"/>
              <w:jc w:val="left"/>
            </w:pPr>
            <w:r/>
            <w:r/>
            <w:r>
              <w:t xml:space="preserve">2.2</w:t>
            </w:r>
          </w:p>
        </w:tc>
        <w:tc>
          <w:tcPr/>
          <w:p>
            <w:pPr>
              <w:pStyle w:val="Compact"/>
              <w:jc w:val="left"/>
            </w:pPr>
            <w:r/>
            <w:r/>
            <w:r>
              <w:t xml:space="preserve">2026-07-07</w:t>
            </w:r>
          </w:p>
        </w:tc>
        <w:tc>
          <w:tcPr/>
          <w:p>
            <w:pPr>
              <w:pStyle w:val="Compact"/>
              <w:jc w:val="left"/>
            </w:pPr>
            <w:r/>
            <w:r/>
            <w:r>
              <w:t xml:space="preserve">Corrección crítica: membrana BW30-4040 (salobre) → SW30HRLE-4040 (agua de mar). Especificación ERD: Danfoss iSave 21. Datos climáticos IDEAM Manaure verificados. Matriz de riesgos reubicada a Sección 11.5. Nota aclaratoria VPN. Nota sobre firmas electrónicas.</w:t>
            </w:r>
          </w:p>
        </w:tc>
        <w:tc>
          <w:tcPr/>
          <w:p>
            <w:pPr>
              <w:pStyle w:val="Compact"/>
              <w:jc w:val="left"/>
            </w:pPr>
            <w:r/>
            <w:r/>
            <w:r>
              <w:t xml:space="preserve">Equipo AQUA-8</w:t>
            </w:r>
          </w:p>
        </w:tc>
        <w:tc>
          <w:tcPr/>
          <w:p>
            <w:pPr>
              <w:pStyle w:val="Compact"/>
              <w:jc w:val="left"/>
            </w:pPr>
            <w:r/>
            <w:r/>
            <w:r>
              <w:t xml:space="preserve">Director de Proyecto</w:t>
            </w:r>
          </w:p>
        </w:tc>
        <w:tc>
          <w:tcPr/>
          <w:p>
            <w:pPr>
              <w:pStyle w:val="Compact"/>
              <w:jc w:val="left"/>
            </w:pPr>
            <w:r/>
            <w:r/>
            <w:r>
              <w:t xml:space="preserve">Project Lead</w:t>
            </w:r>
          </w:p>
        </w:tc>
      </w:tr>
      <w:tr>
        <w:tc>
          <w:tcPr/>
          <w:p>
            <w:pPr>
              <w:pStyle w:val="Compact"/>
              <w:jc w:val="left"/>
            </w:pPr>
            <w:r/>
            <w:r/>
            <w:r/>
            <w:r>
              <w:t xml:space="preserve">2.3</w:t>
            </w:r>
          </w:p>
        </w:tc>
        <w:tc>
          <w:tcPr/>
          <w:p>
            <w:pPr>
              <w:pStyle w:val="Compact"/>
              <w:jc w:val="left"/>
            </w:pPr>
            <w:r/>
            <w:r/>
            <w:r/>
            <w:r>
              <w:t xml:space="preserve">2026-07-07</w:t>
            </w:r>
          </w:p>
        </w:tc>
        <w:tc>
          <w:tcPr/>
          <w:p>
            <w:pPr>
              <w:pStyle w:val="Compact"/>
              <w:jc w:val="left"/>
            </w:pPr>
            <w:r/>
            <w:r/>
            <w:r/>
            <w:r>
              <w:t xml:space="preserve">Adición estratégica RELX: Executive Summary (EN), Sección 6.4 Co-diseño Comunitario, Sección 6.5 User Persona, Sección 10.4 Estrategia de Sostenibilidad Post-Piloto, expansión Sección 13 (Ventaja Competitiva), Sección 14.1 (Innovación Oceánica), APÉNDICE D (Mapa de Actores y Plan de Replicación).</w:t>
            </w:r>
          </w:p>
        </w:tc>
        <w:tc>
          <w:tcPr/>
          <w:p>
            <w:pPr>
              <w:pStyle w:val="Compact"/>
              <w:jc w:val="left"/>
            </w:pPr>
            <w:r/>
            <w:r/>
            <w:r/>
            <w:r>
              <w:t xml:space="preserve">Equipo AQUA-8</w:t>
            </w:r>
          </w:p>
        </w:tc>
        <w:tc>
          <w:tcPr/>
          <w:p>
            <w:pPr>
              <w:pStyle w:val="Compact"/>
              <w:jc w:val="left"/>
            </w:pPr>
            <w:r/>
            <w:r/>
            <w:r/>
            <w:r>
              <w:t xml:space="preserve">Director de Proyecto</w:t>
            </w:r>
          </w:p>
        </w:tc>
        <w:tc>
          <w:tcPr/>
          <w:p>
            <w:pPr>
              <w:pStyle w:val="Compact"/>
              <w:jc w:val="left"/>
            </w:pPr>
            <w:r/>
            <w:r/>
            <w:r/>
            <w:r>
              <w:t xml:space="preserve">Project Lead</w:t>
            </w:r>
          </w:p>
        </w:tc>
      </w:tr>
      <w:tr>
        <w:tc>
          <w:tcPr/>
          <w:p>
            <w:pPr>
              <w:pStyle w:val="Compact"/>
              <w:jc w:val="left"/>
            </w:pPr>
            <w:r/>
            <w:r/>
            <w:r/>
            <w:r/>
            <w:r>
              <w:t xml:space="preserve">2.4</w:t>
            </w:r>
          </w:p>
        </w:tc>
        <w:tc>
          <w:tcPr/>
          <w:p>
            <w:pPr>
              <w:pStyle w:val="Compact"/>
              <w:jc w:val="left"/>
            </w:pPr>
            <w:r/>
            <w:r/>
            <w:r/>
            <w:r/>
            <w:r>
              <w:t xml:space="preserve">2026-07-07</w:t>
            </w:r>
          </w:p>
        </w:tc>
        <w:tc>
          <w:tcPr/>
          <w:p>
            <w:pPr>
              <w:pStyle w:val="Compact"/>
              <w:jc w:val="left"/>
            </w:pPr>
            <w:r/>
            <w:r/>
            <w:r/>
            <w:r/>
            <w:r>
              <w:t xml:space="preserve">Correcciones finales pre-entrega: membrana en paralelo (FIX #1), ERD repuesto en presupuesto (FIX #2), reorden 10.4, índice actualizado, Apéndice D antes de firmas, patented→proprietary, versiones/fechas consistentes, disclaimer María, reformulación económica.</w:t>
            </w:r>
          </w:p>
        </w:tc>
        <w:tc>
          <w:tcPr/>
          <w:p>
            <w:pPr>
              <w:pStyle w:val="Compact"/>
              <w:jc w:val="left"/>
            </w:pPr>
            <w:r/>
            <w:r/>
            <w:r/>
            <w:r/>
            <w:r>
              <w:t xml:space="preserve">Equipo AQUA-8</w:t>
            </w:r>
          </w:p>
        </w:tc>
        <w:tc>
          <w:tcPr/>
          <w:p>
            <w:pPr>
              <w:pStyle w:val="Compact"/>
              <w:jc w:val="left"/>
            </w:pPr>
            <w:r/>
            <w:r/>
            <w:r/>
            <w:r/>
            <w:r>
              <w:t xml:space="preserve">Director de Proyecto</w:t>
            </w:r>
          </w:p>
        </w:tc>
        <w:tc>
          <w:tcPr/>
          <w:p>
            <w:pPr>
              <w:pStyle w:val="Compact"/>
              <w:jc w:val="left"/>
            </w:pPr>
            <w:r/>
            <w:r/>
            <w:r/>
            <w:r/>
            <w:r>
              <w:t xml:space="preserve">Project Lead</w:t>
            </w:r>
          </w:p>
        </w:tc>
      </w:tr>
    </w:tbl>
    <w:p>
      <w:pPr>
        <w:pStyle w:val="a0"/>
      </w:pPr>
      <w:r>
        <w:rPr>
          <w:b/>
          <w:bCs/>
        </w:rPr>
        <w:t xml:space="preserve">Documentos Relacionados: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Código</w:t>
            </w:r>
          </w:p>
        </w:tc>
        <w:tc>
          <w:tcPr/>
          <w:p>
            <w:pPr>
              <w:pStyle w:val="Compact"/>
              <w:jc w:val="left"/>
            </w:pPr>
            <w:r>
              <w:t xml:space="preserve">Título</w:t>
            </w:r>
          </w:p>
        </w:tc>
      </w:tr>
      <w:tr>
        <w:tc>
          <w:tcPr/>
          <w:p>
            <w:pPr>
              <w:pStyle w:val="Compact"/>
              <w:jc w:val="left"/>
            </w:pPr>
            <w:r>
              <w:t xml:space="preserve">AQ8-000</w:t>
            </w:r>
          </w:p>
        </w:tc>
        <w:tc>
          <w:tcPr/>
          <w:p>
            <w:pPr>
              <w:pStyle w:val="Compact"/>
              <w:jc w:val="left"/>
            </w:pPr>
            <w:r>
              <w:t xml:space="preserve">Project Charter</w:t>
            </w:r>
          </w:p>
        </w:tc>
      </w:tr>
      <w:tr>
        <w:tc>
          <w:tcPr/>
          <w:p>
            <w:pPr>
              <w:pStyle w:val="Compact"/>
              <w:jc w:val="left"/>
            </w:pPr>
            <w:r>
              <w:t xml:space="preserve">AQ8-002</w:t>
            </w:r>
          </w:p>
        </w:tc>
        <w:tc>
          <w:tcPr/>
          <w:p>
            <w:pPr>
              <w:pStyle w:val="Compact"/>
              <w:jc w:val="left"/>
            </w:pPr>
            <w:r>
              <w:t xml:space="preserve">Arquitectura P&amp;ID</w:t>
            </w:r>
          </w:p>
        </w:tc>
      </w:tr>
      <w:tr>
        <w:tc>
          <w:tcPr/>
          <w:p>
            <w:pPr>
              <w:pStyle w:val="Compact"/>
              <w:jc w:val="left"/>
            </w:pPr>
            <w:r>
              <w:t xml:space="preserve">AQ8-004</w:t>
            </w:r>
          </w:p>
        </w:tc>
        <w:tc>
          <w:tcPr/>
          <w:p>
            <w:pPr>
              <w:pStyle w:val="Compact"/>
              <w:jc w:val="left"/>
            </w:pPr>
            <w:r>
              <w:t xml:space="preserve">Arquitectura Eléctrica</w:t>
            </w:r>
          </w:p>
        </w:tc>
      </w:tr>
      <w:tr>
        <w:tc>
          <w:tcPr/>
          <w:p>
            <w:pPr>
              <w:pStyle w:val="Compact"/>
              <w:jc w:val="left"/>
            </w:pPr>
            <w:r>
              <w:t xml:space="preserve">AQ8-005</w:t>
            </w:r>
          </w:p>
        </w:tc>
        <w:tc>
          <w:tcPr/>
          <w:p>
            <w:pPr>
              <w:pStyle w:val="Compact"/>
              <w:jc w:val="left"/>
            </w:pPr>
            <w:r>
              <w:t xml:space="preserve">Topología SCADA</w:t>
            </w:r>
          </w:p>
        </w:tc>
      </w:tr>
      <w:tr>
        <w:tc>
          <w:tcPr/>
          <w:p>
            <w:pPr>
              <w:pStyle w:val="Compact"/>
              <w:jc w:val="left"/>
            </w:pPr>
            <w:r>
              <w:t xml:space="preserve">AQ8-008</w:t>
            </w:r>
          </w:p>
        </w:tc>
        <w:tc>
          <w:tcPr/>
          <w:p>
            <w:pPr>
              <w:pStyle w:val="Compact"/>
              <w:jc w:val="left"/>
            </w:pPr>
            <w:r>
              <w:t xml:space="preserve">Arquitectura de Software</w:t>
            </w:r>
          </w:p>
        </w:tc>
      </w:tr>
      <w:tr>
        <w:tc>
          <w:tcPr/>
          <w:p>
            <w:pPr>
              <w:pStyle w:val="Compact"/>
              <w:jc w:val="left"/>
            </w:pPr>
            <w:r>
              <w:t xml:space="preserve">AQ8-009</w:t>
            </w:r>
          </w:p>
        </w:tc>
        <w:tc>
          <w:tcPr/>
          <w:p>
            <w:pPr>
              <w:pStyle w:val="Compact"/>
              <w:jc w:val="left"/>
            </w:pPr>
            <w:r>
              <w:t xml:space="preserve">Roadmap Tecnológico</w:t>
            </w:r>
          </w:p>
        </w:tc>
      </w:tr>
      <w:tr>
        <w:tc>
          <w:tcPr/>
          <w:p>
            <w:pPr>
              <w:pStyle w:val="Compact"/>
              <w:jc w:val="left"/>
            </w:pPr>
            <w:r>
              <w:t xml:space="preserve">AQ8-010</w:t>
            </w:r>
          </w:p>
        </w:tc>
        <w:tc>
          <w:tcPr/>
          <w:p>
            <w:pPr>
              <w:pStyle w:val="Compact"/>
              <w:jc w:val="left"/>
            </w:pPr>
            <w:r>
              <w:t xml:space="preserve">Presupuesto Maestro</w:t>
            </w:r>
          </w:p>
        </w:tc>
      </w:tr>
      <w:tr>
        <w:tc>
          <w:tcPr/>
          <w:p>
            <w:pPr>
              <w:pStyle w:val="Compact"/>
              <w:jc w:val="left"/>
            </w:pPr>
            <w:r>
              <w:t xml:space="preserve">AQ8-CALC-001</w:t>
            </w:r>
          </w:p>
        </w:tc>
        <w:tc>
          <w:tcPr/>
          <w:p>
            <w:pPr>
              <w:pStyle w:val="Compact"/>
              <w:jc w:val="left"/>
            </w:pPr>
            <w:r>
              <w:t xml:space="preserve">Memoria de Cálculo — Bombas Eléctricas y Arreglo Solar</w:t>
            </w:r>
          </w:p>
        </w:tc>
      </w:tr>
    </w:tbl>
    <w:bookmarkEnd w:id="22"/>
    <w:bookmarkStart w:id="23" w:name="índice-general"/>
    <w:p>
      <w:pPr>
        <w:pStyle w:val="2"/>
      </w:pPr>
      <w:r>
        <w:t xml:space="preserve">ÍNDICE GENERAL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Sección</w:t>
            </w:r>
          </w:p>
        </w:tc>
        <w:tc>
          <w:tcPr/>
          <w:p>
            <w:pPr>
              <w:pStyle w:val="Compact"/>
              <w:jc w:val="left"/>
            </w:pPr>
            <w:r>
              <w:t xml:space="preserve">Título</w:t>
            </w:r>
          </w:p>
        </w:tc>
      </w:tr>
      <w:tr>
        <w:tc>
          <w:tcPr/>
          <w:p>
            <w:pPr>
              <w:pStyle w:val="Compact"/>
              <w:jc w:val="left"/>
            </w:pPr>
            <w:r>
              <w:t xml:space="preserve">1</w:t>
            </w:r>
          </w:p>
        </w:tc>
        <w:tc>
          <w:tcPr/>
          <w:p>
            <w:pPr>
              <w:pStyle w:val="Compact"/>
              <w:jc w:val="left"/>
            </w:pPr>
            <w:r>
              <w:t xml:space="preserve">INTRODUCCIÓN</w:t>
            </w:r>
          </w:p>
        </w:tc>
      </w:tr>
      <w:tr>
        <w:tc>
          <w:tcPr/>
          <w:p>
            <w:pPr>
              <w:pStyle w:val="Compact"/>
              <w:jc w:val="left"/>
            </w:pPr>
            <w:r>
              <w:t xml:space="preserve">2</w:t>
            </w:r>
          </w:p>
        </w:tc>
        <w:tc>
          <w:tcPr/>
          <w:p>
            <w:pPr>
              <w:pStyle w:val="Compact"/>
              <w:jc w:val="left"/>
            </w:pPr>
            <w:r>
              <w:t xml:space="preserve">OBJETIVOS</w:t>
            </w:r>
          </w:p>
        </w:tc>
      </w:tr>
      <w:tr>
        <w:tc>
          <w:tcPr/>
          <w:p>
            <w:pPr>
              <w:pStyle w:val="Compact"/>
              <w:jc w:val="left"/>
            </w:pPr>
            <w:r>
              <w:t xml:space="preserve">3</w:t>
            </w:r>
          </w:p>
        </w:tc>
        <w:tc>
          <w:tcPr/>
          <w:p>
            <w:pPr>
              <w:pStyle w:val="Compact"/>
              <w:jc w:val="left"/>
            </w:pPr>
            <w:r>
              <w:t xml:space="preserve">ALCANCE</w:t>
            </w:r>
          </w:p>
        </w:tc>
      </w:tr>
      <w:tr>
        <w:tc>
          <w:tcPr/>
          <w:p>
            <w:pPr>
              <w:pStyle w:val="Compact"/>
              <w:jc w:val="left"/>
            </w:pPr>
            <w:r>
              <w:t xml:space="preserve">4</w:t>
            </w:r>
          </w:p>
        </w:tc>
        <w:tc>
          <w:tcPr/>
          <w:p>
            <w:pPr>
              <w:pStyle w:val="Compact"/>
              <w:jc w:val="left"/>
            </w:pPr>
            <w:r>
              <w:t xml:space="preserve">MARCO NORMATIVO Y REFERENCIAS</w:t>
            </w:r>
          </w:p>
        </w:tc>
      </w:tr>
      <w:tr>
        <w:tc>
          <w:tcPr/>
          <w:p>
            <w:pPr>
              <w:pStyle w:val="Compact"/>
              <w:jc w:val="left"/>
            </w:pPr>
            <w:r>
              <w:t xml:space="preserve">5</w:t>
            </w:r>
          </w:p>
        </w:tc>
        <w:tc>
          <w:tcPr/>
          <w:p>
            <w:pPr>
              <w:pStyle w:val="Compact"/>
              <w:jc w:val="left"/>
            </w:pPr>
            <w:r>
              <w:t xml:space="preserve">DEFINICIONES Y ABREVIATURAS</w:t>
            </w:r>
          </w:p>
        </w:tc>
      </w:tr>
      <w:tr>
        <w:tc>
          <w:tcPr/>
          <w:p>
            <w:pPr>
              <w:pStyle w:val="Compact"/>
              <w:jc w:val="left"/>
            </w:pPr>
            <w:r>
              <w:t xml:space="preserve">6</w:t>
            </w:r>
          </w:p>
        </w:tc>
        <w:tc>
          <w:tcPr/>
          <w:p>
            <w:pPr>
              <w:pStyle w:val="Compact"/>
              <w:jc w:val="left"/>
            </w:pPr>
            <w:r>
              <w:t xml:space="preserve">DESCRIPCIÓN DEL PROBLEMA</w:t>
            </w:r>
          </w:p>
        </w:tc>
      </w:tr>
      <w:tr>
        <w:tc>
          <w:tcPr/>
          <w:p>
            <w:pPr>
              <w:pStyle w:val="Compact"/>
              <w:jc w:val="left"/>
            </w:pPr>
            <w:r>
              <w:t xml:space="preserve">7</w:t>
            </w:r>
          </w:p>
        </w:tc>
        <w:tc>
          <w:tcPr/>
          <w:p>
            <w:pPr>
              <w:pStyle w:val="Compact"/>
              <w:jc w:val="left"/>
            </w:pPr>
            <w:r>
              <w:t xml:space="preserve">DESCRIPCIÓN TÉCNICA DEL SISTEMA</w:t>
            </w:r>
          </w:p>
        </w:tc>
      </w:tr>
      <w:tr>
        <w:tc>
          <w:tcPr/>
          <w:p>
            <w:pPr>
              <w:pStyle w:val="Compact"/>
              <w:jc w:val="left"/>
            </w:pPr>
            <w:r>
              <w:t xml:space="preserve">8</w:t>
            </w:r>
          </w:p>
        </w:tc>
        <w:tc>
          <w:tcPr/>
          <w:p>
            <w:pPr>
              <w:pStyle w:val="Compact"/>
              <w:jc w:val="left"/>
            </w:pPr>
            <w:r>
              <w:t xml:space="preserve">MEMORIA DE CÁLCULO</w:t>
            </w:r>
          </w:p>
        </w:tc>
      </w:tr>
      <w:tr>
        <w:tc>
          <w:tcPr/>
          <w:p>
            <w:pPr>
              <w:pStyle w:val="Compact"/>
              <w:jc w:val="left"/>
            </w:pPr>
            <w:r>
              <w:t xml:space="preserve">9</w:t>
            </w:r>
          </w:p>
        </w:tc>
        <w:tc>
          <w:tcPr/>
          <w:p>
            <w:pPr>
              <w:pStyle w:val="Compact"/>
              <w:jc w:val="left"/>
            </w:pPr>
            <w:r>
              <w:t xml:space="preserve">EVIDENCIA DE FUNCIONAMIENTO Y CASOS DE REFERENCIA</w:t>
            </w:r>
          </w:p>
        </w:tc>
      </w:tr>
      <w:tr>
        <w:tc>
          <w:tcPr/>
          <w:p>
            <w:pPr>
              <w:pStyle w:val="Compact"/>
              <w:jc w:val="left"/>
            </w:pPr>
            <w:r>
              <w:t xml:space="preserve">10</w:t>
            </w:r>
          </w:p>
        </w:tc>
        <w:tc>
          <w:tcPr/>
          <w:p>
            <w:pPr>
              <w:pStyle w:val="Compact"/>
              <w:jc w:val="left"/>
            </w:pPr>
            <w:r>
              <w:t xml:space="preserve">PLAN DE IMPLEMENTACIÓN Y CRONOGRAMA</w:t>
            </w:r>
          </w:p>
        </w:tc>
      </w:tr>
      <w:tr>
        <w:tc>
          <w:tcPr/>
          <w:p>
            <w:pPr>
              <w:pStyle w:val="Compact"/>
              <w:jc w:val="left"/>
            </w:pPr>
            <w:r>
              <w:t xml:space="preserve">11</w:t>
            </w:r>
          </w:p>
        </w:tc>
        <w:tc>
          <w:tcPr/>
          <w:p>
            <w:pPr>
              <w:pStyle w:val="Compact"/>
              <w:jc w:val="left"/>
            </w:pPr>
            <w:r>
              <w:t xml:space="preserve">PRESUPUESTO DETALLADO</w:t>
            </w:r>
          </w:p>
        </w:tc>
      </w:tr>
      <w:tr>
        <w:tc>
          <w:tcPr/>
          <w:p>
            <w:pPr>
              <w:pStyle w:val="Compact"/>
              <w:jc w:val="left"/>
            </w:pPr>
            <w:r>
              <w:t xml:space="preserve">12</w:t>
            </w:r>
          </w:p>
        </w:tc>
        <w:tc>
          <w:tcPr/>
          <w:p>
            <w:pPr>
              <w:pStyle w:val="Compact"/>
              <w:jc w:val="left"/>
            </w:pPr>
            <w:r>
              <w:t xml:space="preserve">INDICADORES DE IMPACTO Y SOSTENIBILIDAD</w:t>
            </w:r>
          </w:p>
        </w:tc>
      </w:tr>
      <w:tr>
        <w:tc>
          <w:tcPr/>
          <w:p>
            <w:pPr>
              <w:pStyle w:val="Compact"/>
              <w:jc w:val="left"/>
            </w:pPr>
            <w:r>
              <w:t xml:space="preserve">13</w:t>
            </w:r>
          </w:p>
        </w:tc>
        <w:tc>
          <w:tcPr/>
          <w:p>
            <w:pPr>
              <w:pStyle w:val="Compact"/>
              <w:jc w:val="left"/>
            </w:pPr>
            <w:r>
              <w:t xml:space="preserve">DIFERENCIACIÓN TECNOLÓGICA</w:t>
            </w:r>
          </w:p>
        </w:tc>
      </w:tr>
      <w:tr>
        <w:tc>
          <w:tcPr/>
          <w:p>
            <w:pPr>
              <w:pStyle w:val="Compact"/>
              <w:jc w:val="left"/>
            </w:pPr>
            <w:r>
              <w:t xml:space="preserve">14</w:t>
            </w:r>
          </w:p>
        </w:tc>
        <w:tc>
          <w:tcPr/>
          <w:p>
            <w:pPr>
              <w:pStyle w:val="Compact"/>
              <w:jc w:val="left"/>
            </w:pPr>
            <w:r>
              <w:t xml:space="preserve">ALINEACIÓN CON LOS OBJETIVOS DE DESARROLLO SOSTENIBLE</w:t>
            </w:r>
          </w:p>
        </w:tc>
      </w:tr>
      <w:tr>
        <w:tc>
          <w:tcPr/>
          <w:p>
            <w:pPr>
              <w:pStyle w:val="Compact"/>
              <w:jc w:val="left"/>
            </w:pPr>
            <w:r>
              <w:t xml:space="preserve">15</w:t>
            </w:r>
          </w:p>
        </w:tc>
        <w:tc>
          <w:tcPr/>
          <w:p>
            <w:pPr>
              <w:pStyle w:val="Compact"/>
              <w:jc w:val="left"/>
            </w:pPr>
            <w:r>
              <w:t xml:space="preserve">CONCLUSIONES</w:t>
            </w:r>
          </w:p>
        </w:tc>
      </w:tr>
      <w:tr>
        <w:tc>
          <w:tcPr/>
          <w:p>
            <w:pPr>
              <w:pStyle w:val="Compact"/>
              <w:jc w:val="left"/>
            </w:pPr>
            <w:r>
              <w:t xml:space="preserve">16</w:t>
            </w:r>
          </w:p>
        </w:tc>
        <w:tc>
          <w:tcPr/>
          <w:p>
            <w:pPr>
              <w:pStyle w:val="Compact"/>
              <w:jc w:val="left"/>
            </w:pPr>
            <w:r>
              <w:t xml:space="preserve">REFERENCIAS</w:t>
            </w:r>
          </w:p>
        </w:tc>
      </w:tr>
      <w:tr>
        <w:tc>
          <w:tcPr/>
          <w:p>
            <w:pPr>
              <w:pStyle w:val="Compact"/>
              <w:jc w:val="left"/>
            </w:pPr>
            <w:r>
              <w:t xml:space="preserve">APÉNDICE A</w:t>
            </w:r>
          </w:p>
        </w:tc>
        <w:tc>
          <w:tcPr/>
          <w:p>
            <w:pPr>
              <w:pStyle w:val="Compact"/>
              <w:jc w:val="left"/>
            </w:pPr>
            <w:r>
              <w:t xml:space="preserve">Currículums del Equipo de Ingeniería</w:t>
            </w:r>
          </w:p>
        </w:tc>
      </w:tr>
      <w:tr>
        <w:tc>
          <w:tcPr/>
          <w:p>
            <w:pPr>
              <w:pStyle w:val="Compact"/>
              <w:jc w:val="left"/>
            </w:pPr>
            <w:r>
              <w:t xml:space="preserve">APÉNDICE B</w:t>
            </w:r>
          </w:p>
        </w:tc>
        <w:tc>
          <w:tcPr/>
          <w:p>
            <w:pPr>
              <w:pStyle w:val="Compact"/>
              <w:jc w:val="left"/>
            </w:pPr>
            <w:r>
              <w:t xml:space="preserve">Fichas Técnicas de Casos de Referencia</w:t>
            </w:r>
          </w:p>
        </w:tc>
      </w:tr>
      <w:tr>
        <w:tc>
          <w:tcPr/>
          <w:p>
            <w:pPr>
              <w:pStyle w:val="Compact"/>
              <w:jc w:val="left"/>
            </w:pPr>
            <w:r>
              <w:t xml:space="preserve">APÉNDICE C</w:t>
            </w:r>
          </w:p>
        </w:tc>
        <w:tc>
          <w:tcPr/>
          <w:p>
            <w:pPr>
              <w:pStyle w:val="Compact"/>
              <w:jc w:val="left"/>
            </w:pPr>
            <w:r>
              <w:t xml:space="preserve">Cronograma Detallado — Diagrama de Gantt</w:t>
            </w:r>
          </w:p>
        </w:tc>
      </w:tr>
    </w:tbl>
    <w:bookmarkEnd w:id="23"/>
    <w:bookmarkStart w:id="24" w:name="introducción"/>
    <w:p>
      <w:pPr>
        <w:pStyle w:val="2"/>
      </w:pPr>
      <w:r>
        <w:t xml:space="preserve">1. INTRODUCCIÓN</w:t>
      </w:r>
    </w:p>
    <w:p>
      <w:pPr>
        <w:pStyle w:val="Heading 3"/>
      </w:pPr>
      <w:r>
        <w:rPr>
          <w:b/>
          <w:rFonts w:ascii="Calibri" w:hAnsi="Calibri"/>
          <w:sz w:val="28"/>
          <w:szCs w:val="28"/>
        </w:rPr>
        <w:t xml:space="preserve">Executive Summary — AQUA-8 Modular Desalination System (AMDS)</w:t>
      </w:r>
    </w:p>
    <w:p>
      <w:pPr/>
      <w:r>
        <w:rPr>
          <w:rFonts w:ascii="Calibri" w:hAnsi="Calibri"/>
          <w:sz w:val="22"/>
          <w:szCs w:val="22"/>
        </w:rPr>
        <w:t xml:space="preserve">The Ask: We seek $75,000 to build, deploy, and validate the AQUA-8 pilot in Manaure, La Guajira (Phase I). This investment unlocks Phase II (50 m³/day) where unit cost drops to $5.50/m³ — fully competitive with subsidized water trucks. The RELX Environmental Challenge is the ideal catalyst to transform this engineering concept into a community-owned, replicable solution for coastal communities worldwide.</w:t>
      </w:r>
    </w:p>
    <w:p>
      <w:pPr/>
      <w:r>
        <w:rPr>
          <w:rFonts w:ascii="Calibri" w:hAnsi="Calibri"/>
          <w:sz w:val="22"/>
          <w:szCs w:val="22"/>
        </w:rPr>
        <w:t xml:space="preserve">Community Impact: 100–150 Wayúu people will gain direct access to clean water. One local operator will be trained and certified to run the system. A women-led water committee will govern water allocation. The pilot enables food security (family gardens), reduces childhood diarrheal disease, and generates 2.5 tons of CO₂ savings per year vs. diesel trucking. In Phase II (50 m³/day), impact scales to 2,500 people.</w:t>
      </w:r>
    </w:p>
    <w:p>
      <w:pPr/>
      <w:r>
        <w:rPr>
          <w:rFonts w:ascii="Calibri" w:hAnsi="Calibri"/>
          <w:sz w:val="22"/>
          <w:szCs w:val="22"/>
        </w:rPr>
        <w:t xml:space="preserve">Innovation Highlights: (1) DC-coupled solar VFD with direct MPPT control — no intermediate AC inverter needed; (2) Isobaric energy recovery device (ERD) achieving 2.60 kWh/m³ specific energy consumption (55% less than conventional SWRO); (3) LEGO-like modularity: scale from 3 m³/day to 500 m³/day by adding identical ISO containers; (4) Circular brine economy: zero ocean discharge — brine is delivered to local salt flats (salineras) for artisanal salt production; (5) AQUA-AI predictive maintenance system with satellite IoT telemetry.</w:t>
      </w:r>
    </w:p>
    <w:p>
      <w:pPr/>
      <w:r>
        <w:rPr>
          <w:rFonts w:ascii="Calibri" w:hAnsi="Calibri"/>
          <w:sz w:val="22"/>
          <w:szCs w:val="22"/>
        </w:rPr>
        <w:t>The Solution: AQUA-8 is a modular, solar-powered reverse osmosis (RO) desalination platform housed in a single reconditioned ISO 20' shipping container. It produces 3,000 L/day of potable water from seawater (35,000 ppm TDS) using 100% off-grid solar energy — with NO electrochemical batteries. Our proprietary 'Water-as-Battery' architecture stores excess solar energy as pressurized water, eliminating the #1 cost and maintenance headache of off-grid desalination: battery replacement every 5–8 years.</w:t>
      </w:r>
    </w:p>
    <w:p>
      <w:pPr/>
      <w:r>
        <w:rPr>
          <w:rFonts w:ascii="Calibri" w:hAnsi="Calibri"/>
          <w:sz w:val="22"/>
          <w:szCs w:val="22"/>
        </w:rPr>
        <w:t xml:space="preserve">The Problem: La Guajira, Colombia — home to the Wayúu indigenous community — has the highest solar radiation in the country yet faces extreme water scarcity. Over 150,000 people lack reliable access to clean drinking water. Communities depend on water trucks that deliver expensive, subsidized water at $2.00/m³, but trucks fail during rainy seasons, road blockades, and dry spells. The paradox: abundant Caribbean seawater + abundant Caribbean sun = zero clean water.</w:t>
      </w:r>
    </w:p>
    <w:p>
      <w:pPr>
        <w:pStyle w:val="FirstParagraph"/>
      </w:pPr>
      <w:r>
        <w:t xml:space="preserve">El presente documento constituye la</w:t>
      </w:r>
      <w:r>
        <w:t xml:space="preserve"> </w:t>
      </w:r>
      <w:r>
        <w:rPr>
          <w:b/>
          <w:bCs/>
        </w:rPr>
        <w:t xml:space="preserve">Propuesta Técnica de Ingeniería</w:t>
      </w:r>
      <w:r>
        <w:t xml:space="preserve"> </w:t>
      </w:r>
      <w:r>
        <w:t xml:space="preserve">del sistema</w:t>
      </w:r>
      <w:r>
        <w:t xml:space="preserve"> </w:t>
      </w:r>
      <w:r>
        <w:rPr>
          <w:b/>
          <w:bCs/>
        </w:rPr>
        <w:t xml:space="preserve">AQUA-8 Modular Desalination System (AMDS)</w:t>
      </w:r>
      <w:r>
        <w:t xml:space="preserve">, presentada ante la convocatoria</w:t>
      </w:r>
      <w:r>
        <w:t xml:space="preserve"> </w:t>
      </w:r>
      <w:r>
        <w:rPr>
          <w:b/>
          <w:bCs/>
        </w:rPr>
        <w:t xml:space="preserve">RELX Environmental Challenge 2026</w:t>
      </w:r>
      <w:r>
        <w:t xml:space="preserve">. Este documento ha sido elaborado siguiendo los estándares de documentación de ingeniería aplicables a proyectos de infraestructura hídrica, automatización industrial y energías renovables.</w:t>
      </w:r>
    </w:p>
    <w:p>
      <w:pPr>
        <w:pStyle w:val="a0"/>
      </w:pPr>
      <w:r>
        <w:t xml:space="preserve">AQUA-8 es una plataforma tecnológica modular que integra desalinización por ósmosis inversa (RO), energía fotovoltaica directa (sin baterías electroquímicas de gran capacidad), automatización industrial y gestión inteligente del agua en un contenedor marítimo ISO 20’ reacondicionado. El sistema está diseñado para producir</w:t>
      </w:r>
      <w:r>
        <w:t xml:space="preserve"> </w:t>
      </w:r>
      <w:r>
        <w:rPr>
          <w:b/>
          <w:bCs/>
        </w:rPr>
        <w:t xml:space="preserve">3.0 m³/día (3,000 L/día)</w:t>
      </w:r>
      <w:r>
        <w:t xml:space="preserve"> </w:t>
      </w:r>
      <w:r>
        <w:t xml:space="preserve">de agua potable a partir de agua de mar, operando</w:t>
      </w:r>
      <w:r>
        <w:t xml:space="preserve"> </w:t>
      </w:r>
      <w:r>
        <w:rPr>
          <w:b/>
          <w:bCs/>
        </w:rPr>
        <w:t xml:space="preserve">100% off-grid</w:t>
      </w:r>
      <w:r>
        <w:t xml:space="preserve"> </w:t>
      </w:r>
      <w:r>
        <w:t xml:space="preserve">mediante energía solar fotovoltaica mediante arquitectura</w:t>
      </w:r>
      <w:r>
        <w:t xml:space="preserve"> </w:t>
      </w:r>
      <w:r>
        <w:rPr>
          <w:b/>
          <w:bCs/>
        </w:rPr>
        <w:t xml:space="preserve">“</w:t>
      </w:r>
      <w:r>
        <w:rPr>
          <w:b/>
          <w:bCs/>
        </w:rPr>
        <w:t xml:space="preserve">Water-as-Battery</w:t>
      </w:r>
      <w:r>
        <w:rPr>
          <w:b/>
          <w:bCs/>
        </w:rPr>
        <w:t xml:space="preserve">”</w:t>
      </w:r>
      <w:r>
        <w:t xml:space="preserve">.</w:t>
      </w:r>
    </w:p>
    <w:p>
      <w:pPr>
        <w:pStyle w:val="a0"/>
      </w:pPr>
      <w:r>
        <w:t xml:space="preserve">El piloto se instalará en</w:t>
      </w:r>
      <w:r>
        <w:t xml:space="preserve"> </w:t>
      </w:r>
      <w:r>
        <w:rPr>
          <w:b/>
          <w:bCs/>
        </w:rPr>
        <w:t xml:space="preserve">Manaure, La Guajira, Colombia</w:t>
      </w:r>
      <w:r>
        <w:t xml:space="preserve"> </w:t>
      </w:r>
      <w:r>
        <w:t xml:space="preserve">(11.7751°N, 72.4450°W), una de las regiones más áridas del país con la radiación solar más alta del territorio colombiano. El proyecto beneficiará directamente a la comunidad Wayúu, pueblo indígena ancestral del territorio, proporcionando autonomía hídrica sostenible, transferencia tecnológica y generación de empleos verdes.</w:t>
      </w:r>
    </w:p>
    <w:bookmarkEnd w:id="24"/>
    <w:bookmarkStart w:id="27" w:name="objetivos"/>
    <w:p>
      <w:pPr>
        <w:pStyle w:val="2"/>
      </w:pPr>
      <w:r>
        <w:t xml:space="preserve">2. OBJETIVOS</w:t>
      </w:r>
    </w:p>
    <w:bookmarkStart w:id="25" w:name="objetivo-general"/>
    <w:p>
      <w:pPr>
        <w:pStyle w:val="3"/>
      </w:pPr>
      <w:r>
        <w:t xml:space="preserve">2.1 Objetivo General</w:t>
      </w:r>
    </w:p>
    <w:p>
      <w:pPr>
        <w:pStyle w:val="FirstParagraph"/>
      </w:pPr>
      <w:r>
        <w:t xml:space="preserve">Diseñar, construir y validar un prototipo funcional de plataforma tecnológica modular de desalinización por ósmosis inversa alimentada 100% con energía solar fotovoltaica directa, capaz de producir 3.0 m³/día de agua potable en comunidades costeras aisladas.</w:t>
      </w:r>
    </w:p>
    <w:bookmarkEnd w:id="25"/>
    <w:bookmarkStart w:id="26" w:name="objetivos-específicos"/>
    <w:p>
      <w:pPr>
        <w:pStyle w:val="3"/>
      </w:pPr>
      <w:r>
        <w:t xml:space="preserve">2.2 Objetivos Específicos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Objetivo</w:t>
            </w:r>
          </w:p>
        </w:tc>
        <w:tc>
          <w:tcPr/>
          <w:p>
            <w:pPr>
              <w:pStyle w:val="Compact"/>
              <w:jc w:val="left"/>
            </w:pPr>
            <w:r>
              <w:t xml:space="preserve">Meta Cuantificable</w:t>
            </w:r>
          </w:p>
        </w:tc>
      </w:tr>
      <w:tr>
        <w:tc>
          <w:tcPr/>
          <w:p>
            <w:pPr>
              <w:pStyle w:val="Compact"/>
              <w:jc w:val="left"/>
            </w:pPr>
            <w:r>
              <w:t xml:space="preserve">OE-01</w:t>
            </w:r>
          </w:p>
        </w:tc>
        <w:tc>
          <w:tcPr/>
          <w:p>
            <w:pPr>
              <w:pStyle w:val="Compact"/>
              <w:jc w:val="left"/>
            </w:pPr>
            <w:r>
              <w:t xml:space="preserve">Consumo energético específico del tren RO (bomba HP + ERD)</w:t>
            </w:r>
          </w:p>
        </w:tc>
        <w:tc>
          <w:tcPr/>
          <w:p>
            <w:pPr>
              <w:pStyle w:val="Compact"/>
              <w:jc w:val="left"/>
            </w:pPr>
            <w:r>
              <w:t xml:space="preserve">&lt; 3.0 kWh/m³</w:t>
            </w:r>
          </w:p>
        </w:tc>
      </w:tr>
      <w:tr>
        <w:tc>
          <w:tcPr/>
          <w:p>
            <w:pPr>
              <w:pStyle w:val="Compact"/>
              <w:jc w:val="left"/>
            </w:pPr>
            <w:r>
              <w:t xml:space="preserve">OE-01b</w:t>
            </w:r>
          </w:p>
        </w:tc>
        <w:tc>
          <w:tcPr/>
          <w:p>
            <w:pPr>
              <w:pStyle w:val="Compact"/>
              <w:jc w:val="left"/>
            </w:pPr>
            <w:r>
              <w:t xml:space="preserve">Consumo energético específico del sistema completo</w:t>
            </w:r>
          </w:p>
        </w:tc>
        <w:tc>
          <w:tcPr/>
          <w:p>
            <w:pPr>
              <w:pStyle w:val="Compact"/>
              <w:jc w:val="left"/>
            </w:pPr>
            <w:r>
              <w:t xml:space="preserve">&lt; 6.0 kWh/m³</w:t>
            </w:r>
          </w:p>
        </w:tc>
      </w:tr>
      <w:tr>
        <w:tc>
          <w:tcPr/>
          <w:p>
            <w:pPr>
              <w:pStyle w:val="Compact"/>
              <w:jc w:val="left"/>
            </w:pPr>
            <w:r>
              <w:t xml:space="preserve">OE-02</w:t>
            </w:r>
          </w:p>
        </w:tc>
        <w:tc>
          <w:tcPr/>
          <w:p>
            <w:pPr>
              <w:pStyle w:val="Compact"/>
              <w:jc w:val="left"/>
            </w:pPr>
            <w:r>
              <w:t xml:space="preserve">Tiempo de instalación en sitio mínimo</w:t>
            </w:r>
          </w:p>
        </w:tc>
        <w:tc>
          <w:tcPr/>
          <w:p>
            <w:pPr>
              <w:pStyle w:val="Compact"/>
              <w:jc w:val="left"/>
            </w:pPr>
            <w:r>
              <w:t xml:space="preserve">&lt; 8 horas</w:t>
            </w:r>
          </w:p>
        </w:tc>
      </w:tr>
      <w:tr>
        <w:tc>
          <w:tcPr/>
          <w:p>
            <w:pPr>
              <w:pStyle w:val="Compact"/>
              <w:jc w:val="left"/>
            </w:pPr>
            <w:r>
              <w:t xml:space="preserve">OE-03</w:t>
            </w:r>
          </w:p>
        </w:tc>
        <w:tc>
          <w:tcPr/>
          <w:p>
            <w:pPr>
              <w:pStyle w:val="Compact"/>
              <w:jc w:val="left"/>
            </w:pPr>
            <w:r>
              <w:t xml:space="preserve">Diseño modular en contenedores ISO 20’ con separación húmedo/seco</w:t>
            </w:r>
          </w:p>
        </w:tc>
        <w:tc>
          <w:tcPr/>
          <w:p>
            <w:pPr>
              <w:pStyle w:val="Compact"/>
              <w:jc w:val="left"/>
            </w:pPr>
            <w:r>
              <w:t xml:space="preserve">4 módulos funcionales</w:t>
            </w:r>
          </w:p>
        </w:tc>
      </w:tr>
      <w:tr>
        <w:tc>
          <w:tcPr/>
          <w:p>
            <w:pPr>
              <w:pStyle w:val="Compact"/>
              <w:jc w:val="left"/>
            </w:pPr>
            <w:r>
              <w:t xml:space="preserve">OE-04</w:t>
            </w:r>
          </w:p>
        </w:tc>
        <w:tc>
          <w:tcPr/>
          <w:p>
            <w:pPr>
              <w:pStyle w:val="Compact"/>
              <w:jc w:val="left"/>
            </w:pPr>
            <w:r>
              <w:t xml:space="preserve">Sistema SCADA con telemetría IoT</w:t>
            </w:r>
          </w:p>
        </w:tc>
        <w:tc>
          <w:tcPr/>
          <w:p>
            <w:pPr>
              <w:pStyle w:val="Compact"/>
              <w:jc w:val="left"/>
            </w:pPr>
            <w:r>
              <w:t xml:space="preserve">Monitoreo remoto 24/7, uptime &gt; 95%</w:t>
            </w:r>
          </w:p>
        </w:tc>
      </w:tr>
      <w:tr>
        <w:tc>
          <w:tcPr/>
          <w:p>
            <w:pPr>
              <w:pStyle w:val="Compact"/>
              <w:jc w:val="left"/>
            </w:pPr>
            <w:r>
              <w:t xml:space="preserve">OE-05</w:t>
            </w:r>
          </w:p>
        </w:tc>
        <w:tc>
          <w:tcPr/>
          <w:p>
            <w:pPr>
              <w:pStyle w:val="Compact"/>
              <w:jc w:val="left"/>
            </w:pPr>
            <w:r>
              <w:t xml:space="preserve">Expansibilidad mediante arquitectura</w:t>
            </w:r>
            <w:r>
              <w:t xml:space="preserve"> </w:t>
            </w:r>
            <w:r>
              <w:t xml:space="preserve">“</w:t>
            </w:r>
            <w:r>
              <w:t xml:space="preserve">LEGO</w:t>
            </w:r>
            <w:r>
              <w:t xml:space="preserve">”</w:t>
            </w:r>
          </w:p>
        </w:tc>
        <w:tc>
          <w:tcPr/>
          <w:p>
            <w:pPr>
              <w:pStyle w:val="Compact"/>
              <w:jc w:val="left"/>
            </w:pPr>
            <w:r>
              <w:t xml:space="preserve">Fase I: 3 m³/día → Fase II: 50 m³/día</w:t>
            </w:r>
          </w:p>
        </w:tc>
      </w:tr>
      <w:tr>
        <w:tc>
          <w:tcPr/>
          <w:p>
            <w:pPr>
              <w:pStyle w:val="Compact"/>
              <w:jc w:val="left"/>
            </w:pPr>
            <w:r>
              <w:t xml:space="preserve">OE-06</w:t>
            </w:r>
          </w:p>
        </w:tc>
        <w:tc>
          <w:tcPr/>
          <w:p>
            <w:pPr>
              <w:pStyle w:val="Compact"/>
              <w:jc w:val="left"/>
            </w:pPr>
            <w:r>
              <w:t xml:space="preserve">Economía circular de salmuera</w:t>
            </w:r>
          </w:p>
        </w:tc>
        <w:tc>
          <w:tcPr/>
          <w:p>
            <w:pPr>
              <w:pStyle w:val="Compact"/>
              <w:jc w:val="left"/>
            </w:pPr>
            <w:r>
              <w:t xml:space="preserve">Acuerdo con salineras locales de Manaure</w:t>
            </w:r>
          </w:p>
        </w:tc>
      </w:tr>
      <w:tr>
        <w:tc>
          <w:tcPr/>
          <w:p>
            <w:pPr>
              <w:pStyle w:val="Compact"/>
              <w:jc w:val="left"/>
            </w:pPr>
            <w:r>
              <w:t xml:space="preserve">OE-07</w:t>
            </w:r>
          </w:p>
        </w:tc>
        <w:tc>
          <w:tcPr/>
          <w:p>
            <w:pPr>
              <w:pStyle w:val="Compact"/>
              <w:jc w:val="left"/>
            </w:pPr>
            <w:r>
              <w:t xml:space="preserve">Calidad de agua producto según norma</w:t>
            </w:r>
          </w:p>
        </w:tc>
        <w:tc>
          <w:tcPr/>
          <w:p>
            <w:pPr>
              <w:pStyle w:val="Compact"/>
              <w:jc w:val="left"/>
            </w:pPr>
            <w:r>
              <w:t xml:space="preserve">&lt; 500 ppm TDS (OMS / Res. 2115)</w:t>
            </w:r>
          </w:p>
        </w:tc>
      </w:tr>
    </w:tbl>
    <w:bookmarkEnd w:id="26"/>
    <w:bookmarkEnd w:id="27"/>
    <w:bookmarkStart w:id="30" w:name="alcance"/>
    <w:p>
      <w:pPr>
        <w:pStyle w:val="2"/>
      </w:pPr>
      <w:r>
        <w:t xml:space="preserve">3. ALCANCE</w:t>
      </w:r>
    </w:p>
    <w:bookmarkStart w:id="28" w:name="dentro-del-alcance"/>
    <w:p>
      <w:pPr>
        <w:pStyle w:val="3"/>
      </w:pPr>
      <w:r>
        <w:t xml:space="preserve">3.1 Dentro del Alcance</w:t>
      </w:r>
    </w:p>
    <w:p>
      <w:pPr>
        <w:pStyle w:val="Compact"/>
        <w:numPr>
          <w:ilvl w:val="0"/>
          <w:numId w:val="1001"/>
        </w:numPr>
      </w:pPr>
      <w:r>
        <w:t xml:space="preserve">Ingeniería conceptual y de detalle (FEED) del sistema AQUA-8 AMDS</w:t>
      </w:r>
    </w:p>
    <w:p>
      <w:pPr>
        <w:pStyle w:val="Compact"/>
        <w:numPr>
          <w:ilvl w:val="0"/>
          <w:numId w:val="1001"/>
        </w:numPr>
      </w:pPr>
      <w:r>
        <w:t xml:space="preserve">Diseño, fabricación y ensamble de 4 módulos en contenedores ISO 20’</w:t>
      </w:r>
    </w:p>
    <w:p>
      <w:pPr>
        <w:pStyle w:val="Compact"/>
        <w:numPr>
          <w:ilvl w:val="0"/>
          <w:numId w:val="1001"/>
        </w:numPr>
      </w:pPr>
      <w:r>
        <w:t xml:space="preserve">Sistema de captación de agua de mar (tubería HDPE, bomba sumergible)</w:t>
      </w:r>
    </w:p>
    <w:p>
      <w:pPr>
        <w:pStyle w:val="Compact"/>
        <w:numPr>
          <w:ilvl w:val="0"/>
          <w:numId w:val="1001"/>
        </w:numPr>
      </w:pPr>
      <w:r>
        <w:t xml:space="preserve">Pre-tratamiento: filtración multimedia, cartucho 5 μm y 1 μm, dosificación química</w:t>
      </w:r>
    </w:p>
    <w:p>
      <w:pPr>
        <w:pStyle w:val="Compact"/>
        <w:numPr>
          <w:ilvl w:val="0"/>
          <w:numId w:val="1001"/>
        </w:numPr>
      </w:pPr>
      <w:r>
        <w:t>Tren de ósmosis inversa con membrana Filmtec SW30HRLE-4040 y recuperador de energía isobárico</w:t>
      </w:r>
    </w:p>
    <w:p>
      <w:pPr>
        <w:pStyle w:val="Compact"/>
        <w:numPr>
          <w:ilvl w:val="0"/>
          <w:numId w:val="1001"/>
        </w:numPr>
      </w:pPr>
      <w:r>
        <w:t xml:space="preserve">Post-tratamiento: remineralización con calcita, desinfección UV</w:t>
      </w:r>
    </w:p>
    <w:p>
      <w:pPr>
        <w:pStyle w:val="Compact"/>
        <w:numPr>
          <w:ilvl w:val="0"/>
          <w:numId w:val="1001"/>
        </w:numPr>
      </w:pPr>
      <w:r>
        <w:t xml:space="preserve">Sistema fotovoltaico de 5.0 kWp sin baterías (topología DC-coupled, VFD solar directo)</w:t>
      </w:r>
    </w:p>
    <w:p>
      <w:pPr>
        <w:pStyle w:val="Compact"/>
        <w:numPr>
          <w:ilvl w:val="0"/>
          <w:numId w:val="1001"/>
        </w:numPr>
      </w:pPr>
      <w:r>
        <w:t xml:space="preserve">Sistema SCADA con PLC industrial, HMI local y telemetría IoT satelital/4G</w:t>
      </w:r>
    </w:p>
    <w:p>
      <w:pPr>
        <w:pStyle w:val="Compact"/>
        <w:numPr>
          <w:ilvl w:val="0"/>
          <w:numId w:val="1001"/>
        </w:numPr>
      </w:pPr>
      <w:r>
        <w:t xml:space="preserve">Pruebas en fábrica (FAT), instalación en sitio (SAT) y puesta en marcha</w:t>
      </w:r>
    </w:p>
    <w:p>
      <w:pPr>
        <w:pStyle w:val="Compact"/>
        <w:numPr>
          <w:ilvl w:val="0"/>
          <w:numId w:val="1001"/>
        </w:numPr>
      </w:pPr>
      <w:r>
        <w:t xml:space="preserve">Capacitación de operadores locales y transferencia tecnológica</w:t>
      </w:r>
    </w:p>
    <w:p>
      <w:pPr>
        <w:pStyle w:val="Compact"/>
        <w:numPr>
          <w:ilvl w:val="0"/>
          <w:numId w:val="1001"/>
        </w:numPr>
      </w:pPr>
      <w:r>
        <w:t xml:space="preserve">Documentación completa: planos, manuales, memorias de cálculo</w:t>
      </w:r>
    </w:p>
    <w:bookmarkEnd w:id="28"/>
    <w:bookmarkStart w:id="29" w:name="fuera-del-alcance"/>
    <w:p>
      <w:pPr>
        <w:pStyle w:val="3"/>
      </w:pPr>
      <w:r>
        <w:t xml:space="preserve">3.2 Fuera del Alcance</w:t>
      </w:r>
    </w:p>
    <w:p>
      <w:pPr>
        <w:pStyle w:val="Compact"/>
        <w:numPr>
          <w:ilvl w:val="0"/>
          <w:numId w:val="1002"/>
        </w:numPr>
      </w:pPr>
      <w:r>
        <w:t xml:space="preserve">Obra civil mayor (cimentación mínima incluida)</w:t>
      </w:r>
    </w:p>
    <w:p>
      <w:pPr>
        <w:pStyle w:val="Compact"/>
        <w:numPr>
          <w:ilvl w:val="0"/>
          <w:numId w:val="1002"/>
        </w:numPr>
      </w:pPr>
      <w:r>
        <w:t xml:space="preserve">Red de distribución de agua potable más allá del tanque de almacenamiento</w:t>
      </w:r>
    </w:p>
    <w:p>
      <w:pPr>
        <w:pStyle w:val="Compact"/>
        <w:numPr>
          <w:ilvl w:val="0"/>
          <w:numId w:val="1002"/>
        </w:numPr>
      </w:pPr>
      <w:r>
        <w:t xml:space="preserve">Conexión a red eléctrica (sistema 100% off-grid)</w:t>
      </w:r>
    </w:p>
    <w:p>
      <w:pPr>
        <w:pStyle w:val="Compact"/>
        <w:numPr>
          <w:ilvl w:val="0"/>
          <w:numId w:val="1002"/>
        </w:numPr>
      </w:pPr>
      <w:r>
        <w:t xml:space="preserve">Baterías electroquímicas de gran capacidad (solo UPS 24V para SCADA)</w:t>
      </w:r>
    </w:p>
    <w:p>
      <w:pPr>
        <w:pStyle w:val="Compact"/>
        <w:numPr>
          <w:ilvl w:val="0"/>
          <w:numId w:val="1002"/>
        </w:numPr>
      </w:pPr>
      <w:r>
        <w:t xml:space="preserve">Permisos ambientales ante Corpoguajira (gestionados por separado)</w:t>
      </w:r>
    </w:p>
    <w:bookmarkEnd w:id="29"/>
    <w:bookmarkEnd w:id="30"/>
    <w:bookmarkStart w:id="34" w:name="marco-normativo-y-referencias"/>
    <w:p>
      <w:pPr>
        <w:pStyle w:val="2"/>
      </w:pPr>
      <w:r>
        <w:t xml:space="preserve">4. MARCO NORMATIVO Y REFERENCIAS</w:t>
      </w:r>
    </w:p>
    <w:bookmarkStart w:id="31" w:name="normatividad-colombiana"/>
    <w:p>
      <w:pPr>
        <w:pStyle w:val="3"/>
      </w:pPr>
      <w:r>
        <w:t xml:space="preserve">4.1 Normatividad Colombiana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Norma</w:t>
            </w:r>
          </w:p>
        </w:tc>
        <w:tc>
          <w:tcPr/>
          <w:p>
            <w:pPr>
              <w:pStyle w:val="Compact"/>
              <w:jc w:val="left"/>
            </w:pPr>
            <w:r>
              <w:t xml:space="preserve">Descripción</w:t>
            </w:r>
          </w:p>
        </w:tc>
      </w:tr>
      <w:tr>
        <w:tc>
          <w:tcPr/>
          <w:p>
            <w:pPr>
              <w:pStyle w:val="Compact"/>
              <w:jc w:val="left"/>
            </w:pPr>
            <w:r>
              <w:t xml:space="preserve">Resolución 2115 de 2007</w:t>
            </w:r>
          </w:p>
        </w:tc>
        <w:tc>
          <w:tcPr/>
          <w:p>
            <w:pPr>
              <w:pStyle w:val="Compact"/>
              <w:jc w:val="left"/>
            </w:pPr>
            <w:r>
              <w:t xml:space="preserve">Características del agua para consumo humano</w:t>
            </w:r>
          </w:p>
        </w:tc>
      </w:tr>
      <w:tr>
        <w:tc>
          <w:tcPr/>
          <w:p>
            <w:pPr>
              <w:pStyle w:val="Compact"/>
              <w:jc w:val="left"/>
            </w:pPr>
            <w:r>
              <w:t xml:space="preserve">Resolución 0631 de 2015</w:t>
            </w:r>
          </w:p>
        </w:tc>
        <w:tc>
          <w:tcPr/>
          <w:p>
            <w:pPr>
              <w:pStyle w:val="Compact"/>
              <w:jc w:val="left"/>
            </w:pPr>
            <w:r>
              <w:t xml:space="preserve">Vertimientos puntuales a cuerpos de agua</w:t>
            </w:r>
          </w:p>
        </w:tc>
      </w:tr>
      <w:tr>
        <w:tc>
          <w:tcPr/>
          <w:p>
            <w:pPr>
              <w:pStyle w:val="Compact"/>
              <w:jc w:val="left"/>
            </w:pPr>
            <w:r>
              <w:t xml:space="preserve">RETIE</w:t>
            </w:r>
          </w:p>
        </w:tc>
        <w:tc>
          <w:tcPr/>
          <w:p>
            <w:pPr>
              <w:pStyle w:val="Compact"/>
              <w:jc w:val="left"/>
            </w:pPr>
            <w:r>
              <w:t xml:space="preserve">Reglamento Técnico de Instalaciones Eléctricas</w:t>
            </w:r>
          </w:p>
        </w:tc>
      </w:tr>
      <w:tr>
        <w:tc>
          <w:tcPr/>
          <w:p>
            <w:pPr>
              <w:pStyle w:val="Compact"/>
              <w:jc w:val="left"/>
            </w:pPr>
            <w:r>
              <w:t xml:space="preserve">NSR-10</w:t>
            </w:r>
          </w:p>
        </w:tc>
        <w:tc>
          <w:tcPr/>
          <w:p>
            <w:pPr>
              <w:pStyle w:val="Compact"/>
              <w:jc w:val="left"/>
            </w:pPr>
            <w:r>
              <w:t xml:space="preserve">Norma Sismorresistente Colombiana</w:t>
            </w:r>
          </w:p>
        </w:tc>
      </w:tr>
      <w:tr>
        <w:tc>
          <w:tcPr/>
          <w:p>
            <w:pPr>
              <w:pStyle w:val="Compact"/>
              <w:jc w:val="left"/>
            </w:pPr>
            <w:r>
              <w:t xml:space="preserve">RAS-2000</w:t>
            </w:r>
          </w:p>
        </w:tc>
        <w:tc>
          <w:tcPr/>
          <w:p>
            <w:pPr>
              <w:pStyle w:val="Compact"/>
              <w:jc w:val="left"/>
            </w:pPr>
            <w:r>
              <w:t xml:space="preserve">Reglamento Técnico del Sector de Agua Potable y Saneamiento Básico</w:t>
            </w:r>
          </w:p>
        </w:tc>
      </w:tr>
    </w:tbl>
    <w:bookmarkEnd w:id="31"/>
    <w:bookmarkStart w:id="32" w:name="estándares-internacionales"/>
    <w:p>
      <w:pPr>
        <w:pStyle w:val="3"/>
      </w:pPr>
      <w:r>
        <w:t xml:space="preserve">4.2 Estándares Internacionales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Estándar</w:t>
            </w:r>
          </w:p>
        </w:tc>
        <w:tc>
          <w:tcPr/>
          <w:p>
            <w:pPr>
              <w:pStyle w:val="Compact"/>
              <w:jc w:val="left"/>
            </w:pPr>
            <w:r>
              <w:t xml:space="preserve">Descripción</w:t>
            </w:r>
          </w:p>
        </w:tc>
      </w:tr>
      <w:tr>
        <w:tc>
          <w:tcPr/>
          <w:p>
            <w:pPr>
              <w:pStyle w:val="Compact"/>
              <w:jc w:val="left"/>
            </w:pPr>
            <w:r>
              <w:t xml:space="preserve">ISO 9001:2015</w:t>
            </w:r>
          </w:p>
        </w:tc>
        <w:tc>
          <w:tcPr/>
          <w:p>
            <w:pPr>
              <w:pStyle w:val="Compact"/>
              <w:jc w:val="left"/>
            </w:pPr>
            <w:r>
              <w:t xml:space="preserve">Sistema de Gestión de Calidad</w:t>
            </w:r>
          </w:p>
        </w:tc>
      </w:tr>
      <w:tr>
        <w:tc>
          <w:tcPr/>
          <w:p>
            <w:pPr>
              <w:pStyle w:val="Compact"/>
              <w:jc w:val="left"/>
            </w:pPr>
            <w:r>
              <w:t xml:space="preserve">ISO 14001:2015</w:t>
            </w:r>
          </w:p>
        </w:tc>
        <w:tc>
          <w:tcPr/>
          <w:p>
            <w:pPr>
              <w:pStyle w:val="Compact"/>
              <w:jc w:val="left"/>
            </w:pPr>
            <w:r>
              <w:t xml:space="preserve">Sistema de Gestión Ambiental</w:t>
            </w:r>
          </w:p>
        </w:tc>
      </w:tr>
      <w:tr>
        <w:tc>
          <w:tcPr/>
          <w:p>
            <w:pPr>
              <w:pStyle w:val="Compact"/>
              <w:jc w:val="left"/>
            </w:pPr>
            <w:r>
              <w:t xml:space="preserve">ISO 45001:2018</w:t>
            </w:r>
          </w:p>
        </w:tc>
        <w:tc>
          <w:tcPr/>
          <w:p>
            <w:pPr>
              <w:pStyle w:val="Compact"/>
              <w:jc w:val="left"/>
            </w:pPr>
            <w:r>
              <w:t xml:space="preserve">Sistema de Gestión de Seguridad y Salud</w:t>
            </w:r>
          </w:p>
        </w:tc>
      </w:tr>
      <w:tr>
        <w:tc>
          <w:tcPr/>
          <w:p>
            <w:pPr>
              <w:pStyle w:val="Compact"/>
              <w:jc w:val="left"/>
            </w:pPr>
            <w:r>
              <w:t xml:space="preserve">IEC 61131-3</w:t>
            </w:r>
          </w:p>
        </w:tc>
        <w:tc>
          <w:tcPr/>
          <w:p>
            <w:pPr>
              <w:pStyle w:val="Compact"/>
              <w:jc w:val="left"/>
            </w:pPr>
            <w:r>
              <w:t xml:space="preserve">Estándar para lenguajes de programación PLC</w:t>
            </w:r>
          </w:p>
        </w:tc>
      </w:tr>
      <w:tr>
        <w:tc>
          <w:tcPr/>
          <w:p>
            <w:pPr>
              <w:pStyle w:val="Compact"/>
              <w:jc w:val="left"/>
            </w:pPr>
            <w:r>
              <w:t xml:space="preserve">IEC 62443</w:t>
            </w:r>
          </w:p>
        </w:tc>
        <w:tc>
          <w:tcPr/>
          <w:p>
            <w:pPr>
              <w:pStyle w:val="Compact"/>
              <w:jc w:val="left"/>
            </w:pPr>
            <w:r>
              <w:t xml:space="preserve">Seguridad industrial para sistemas de automatización</w:t>
            </w:r>
          </w:p>
        </w:tc>
      </w:tr>
      <w:tr>
        <w:tc>
          <w:tcPr/>
          <w:p>
            <w:pPr>
              <w:pStyle w:val="Compact"/>
              <w:jc w:val="left"/>
            </w:pPr>
            <w:r>
              <w:t xml:space="preserve">IEEE 1547</w:t>
            </w:r>
          </w:p>
        </w:tc>
        <w:tc>
          <w:tcPr/>
          <w:p>
            <w:pPr>
              <w:pStyle w:val="Compact"/>
              <w:jc w:val="left"/>
            </w:pPr>
            <w:r>
              <w:t xml:space="preserve">Interconexión de recursos energéticos distribuidos</w:t>
            </w:r>
          </w:p>
        </w:tc>
      </w:tr>
      <w:tr>
        <w:tc>
          <w:tcPr/>
          <w:p>
            <w:pPr>
              <w:pStyle w:val="Compact"/>
              <w:jc w:val="left"/>
            </w:pPr>
            <w:r>
              <w:t xml:space="preserve">ASME B31.3</w:t>
            </w:r>
          </w:p>
        </w:tc>
        <w:tc>
          <w:tcPr/>
          <w:p>
            <w:pPr>
              <w:pStyle w:val="Compact"/>
              <w:jc w:val="left"/>
            </w:pPr>
            <w:r>
              <w:t xml:space="preserve">Tuberías de proceso</w:t>
            </w:r>
          </w:p>
        </w:tc>
      </w:tr>
      <w:tr>
        <w:tc>
          <w:tcPr/>
          <w:p>
            <w:pPr>
              <w:pStyle w:val="Compact"/>
              <w:jc w:val="left"/>
            </w:pPr>
            <w:r>
              <w:t xml:space="preserve">ANSI/NSF 61</w:t>
            </w:r>
          </w:p>
        </w:tc>
        <w:tc>
          <w:tcPr/>
          <w:p>
            <w:pPr>
              <w:pStyle w:val="Compact"/>
              <w:jc w:val="left"/>
            </w:pPr>
            <w:r>
              <w:t xml:space="preserve">Componentes de sistemas de agua potable</w:t>
            </w:r>
          </w:p>
        </w:tc>
      </w:tr>
      <w:tr>
        <w:tc>
          <w:tcPr/>
          <w:p>
            <w:pPr>
              <w:pStyle w:val="Compact"/>
              <w:jc w:val="left"/>
            </w:pPr>
            <w:r>
              <w:t xml:space="preserve">NEMA 250</w:t>
            </w:r>
          </w:p>
        </w:tc>
        <w:tc>
          <w:tcPr/>
          <w:p>
            <w:pPr>
              <w:pStyle w:val="Compact"/>
              <w:jc w:val="left"/>
            </w:pPr>
            <w:r>
              <w:t xml:space="preserve">Gabinetes para equipos eléctricos</w:t>
            </w:r>
          </w:p>
        </w:tc>
      </w:tr>
    </w:tbl>
    <w:bookmarkEnd w:id="32"/>
    <w:bookmarkStart w:id="33" w:name="documentos-de-referencia-del-proyecto"/>
    <w:p>
      <w:pPr>
        <w:pStyle w:val="3"/>
      </w:pPr>
      <w:r>
        <w:t xml:space="preserve">4.3 Documentos de Referencia del Proyecto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Código</w:t>
            </w:r>
          </w:p>
        </w:tc>
        <w:tc>
          <w:tcPr/>
          <w:p>
            <w:pPr>
              <w:pStyle w:val="Compact"/>
              <w:jc w:val="left"/>
            </w:pPr>
            <w:r>
              <w:t xml:space="preserve">Título</w:t>
            </w:r>
          </w:p>
        </w:tc>
      </w:tr>
      <w:tr>
        <w:tc>
          <w:tcPr/>
          <w:p>
            <w:pPr>
              <w:pStyle w:val="Compact"/>
              <w:jc w:val="left"/>
            </w:pPr>
            <w:r>
              <w:t xml:space="preserve">AQ8-000</w:t>
            </w:r>
          </w:p>
        </w:tc>
        <w:tc>
          <w:tcPr/>
          <w:p>
            <w:pPr>
              <w:pStyle w:val="Compact"/>
              <w:jc w:val="left"/>
            </w:pPr>
            <w:r>
              <w:t xml:space="preserve">Project Charter</w:t>
            </w:r>
          </w:p>
        </w:tc>
      </w:tr>
      <w:tr>
        <w:tc>
          <w:tcPr/>
          <w:p>
            <w:pPr>
              <w:pStyle w:val="Compact"/>
              <w:jc w:val="left"/>
            </w:pPr>
            <w:r>
              <w:t xml:space="preserve">AQ8-002</w:t>
            </w:r>
          </w:p>
        </w:tc>
        <w:tc>
          <w:tcPr/>
          <w:p>
            <w:pPr>
              <w:pStyle w:val="Compact"/>
              <w:jc w:val="left"/>
            </w:pPr>
            <w:r>
              <w:t xml:space="preserve">Arquitectura P&amp;ID</w:t>
            </w:r>
          </w:p>
        </w:tc>
      </w:tr>
      <w:tr>
        <w:tc>
          <w:tcPr/>
          <w:p>
            <w:pPr>
              <w:pStyle w:val="Compact"/>
              <w:jc w:val="left"/>
            </w:pPr>
            <w:r>
              <w:t xml:space="preserve">AQ8-004</w:t>
            </w:r>
          </w:p>
        </w:tc>
        <w:tc>
          <w:tcPr/>
          <w:p>
            <w:pPr>
              <w:pStyle w:val="Compact"/>
              <w:jc w:val="left"/>
            </w:pPr>
            <w:r>
              <w:t xml:space="preserve">Arquitectura Eléctrica — Sistema Fotovoltaico Autónomo</w:t>
            </w:r>
          </w:p>
        </w:tc>
      </w:tr>
      <w:tr>
        <w:tc>
          <w:tcPr/>
          <w:p>
            <w:pPr>
              <w:pStyle w:val="Compact"/>
              <w:jc w:val="left"/>
            </w:pPr>
            <w:r>
              <w:t xml:space="preserve">AQ8-005</w:t>
            </w:r>
          </w:p>
        </w:tc>
        <w:tc>
          <w:tcPr/>
          <w:p>
            <w:pPr>
              <w:pStyle w:val="Compact"/>
              <w:jc w:val="left"/>
            </w:pPr>
            <w:r>
              <w:t xml:space="preserve">Topología SCADA y Comunicaciones</w:t>
            </w:r>
          </w:p>
        </w:tc>
      </w:tr>
      <w:tr>
        <w:tc>
          <w:tcPr/>
          <w:p>
            <w:pPr>
              <w:pStyle w:val="Compact"/>
              <w:jc w:val="left"/>
            </w:pPr>
            <w:r>
              <w:t xml:space="preserve">AQ8-008</w:t>
            </w:r>
          </w:p>
        </w:tc>
        <w:tc>
          <w:tcPr/>
          <w:p>
            <w:pPr>
              <w:pStyle w:val="Compact"/>
              <w:jc w:val="left"/>
            </w:pPr>
            <w:r>
              <w:t xml:space="preserve">Arquitectura de Software (AQUA-CORE, AQUA-CLOUD, AQUA-AI)</w:t>
            </w:r>
          </w:p>
        </w:tc>
      </w:tr>
      <w:tr>
        <w:tc>
          <w:tcPr/>
          <w:p>
            <w:pPr>
              <w:pStyle w:val="Compact"/>
              <w:jc w:val="left"/>
            </w:pPr>
            <w:r>
              <w:t xml:space="preserve">AQ8-009</w:t>
            </w:r>
          </w:p>
        </w:tc>
        <w:tc>
          <w:tcPr/>
          <w:p>
            <w:pPr>
              <w:pStyle w:val="Compact"/>
              <w:jc w:val="left"/>
            </w:pPr>
            <w:r>
              <w:t xml:space="preserve">Roadmap Tecnológico 2026–2030</w:t>
            </w:r>
          </w:p>
        </w:tc>
      </w:tr>
      <w:tr>
        <w:tc>
          <w:tcPr/>
          <w:p>
            <w:pPr>
              <w:pStyle w:val="Compact"/>
              <w:jc w:val="left"/>
            </w:pPr>
            <w:r>
              <w:t xml:space="preserve">AQ8-010</w:t>
            </w:r>
          </w:p>
        </w:tc>
        <w:tc>
          <w:tcPr/>
          <w:p>
            <w:pPr>
              <w:pStyle w:val="Compact"/>
              <w:jc w:val="left"/>
            </w:pPr>
            <w:r>
              <w:t xml:space="preserve">Presupuesto Maestro</w:t>
            </w:r>
          </w:p>
        </w:tc>
      </w:tr>
      <w:tr>
        <w:tc>
          <w:tcPr/>
          <w:p>
            <w:pPr>
              <w:pStyle w:val="Compact"/>
              <w:jc w:val="left"/>
            </w:pPr>
            <w:r>
              <w:t xml:space="preserve">AQ8-CALC-001</w:t>
            </w:r>
          </w:p>
        </w:tc>
        <w:tc>
          <w:tcPr/>
          <w:p>
            <w:pPr>
              <w:pStyle w:val="Compact"/>
              <w:jc w:val="left"/>
            </w:pPr>
            <w:r>
              <w:t xml:space="preserve">Memoria de Cálculo — Bombas Eléctricas y Arreglo Solar</w:t>
            </w:r>
          </w:p>
        </w:tc>
      </w:tr>
    </w:tbl>
    <w:bookmarkEnd w:id="33"/>
    <w:bookmarkEnd w:id="34"/>
    <w:bookmarkStart w:id="37" w:name="definiciones-y-abreviaturas"/>
    <w:p>
      <w:pPr>
        <w:pStyle w:val="2"/>
      </w:pPr>
      <w:r>
        <w:t xml:space="preserve">5. DEFINICIONES Y ABREVIATURAS</w:t>
      </w:r>
    </w:p>
    <w:bookmarkStart w:id="35" w:name="abreviaturas-técnicas"/>
    <w:p>
      <w:pPr>
        <w:pStyle w:val="3"/>
      </w:pPr>
      <w:r>
        <w:t xml:space="preserve">5.1 Abreviaturas Técnicas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Abreviatura</w:t>
            </w:r>
          </w:p>
        </w:tc>
        <w:tc>
          <w:tcPr/>
          <w:p>
            <w:pPr>
              <w:pStyle w:val="Compact"/>
              <w:jc w:val="left"/>
            </w:pPr>
            <w:r>
              <w:t xml:space="preserve">Significado</w:t>
            </w:r>
          </w:p>
        </w:tc>
      </w:tr>
      <w:tr>
        <w:tc>
          <w:tcPr/>
          <w:p>
            <w:pPr>
              <w:pStyle w:val="Compact"/>
              <w:jc w:val="left"/>
            </w:pPr>
            <w:r>
              <w:t xml:space="preserve">AMDS</w:t>
            </w:r>
          </w:p>
        </w:tc>
        <w:tc>
          <w:tcPr/>
          <w:p>
            <w:pPr>
              <w:pStyle w:val="Compact"/>
              <w:jc w:val="left"/>
            </w:pPr>
            <w:r>
              <w:t xml:space="preserve">AQUA-8 Modular Desalination System</w:t>
            </w:r>
          </w:p>
        </w:tc>
      </w:tr>
      <w:tr>
        <w:tc>
          <w:tcPr/>
          <w:p>
            <w:pPr>
              <w:pStyle w:val="Compact"/>
              <w:jc w:val="left"/>
            </w:pPr>
            <w:r>
              <w:t xml:space="preserve">RO / OI</w:t>
            </w:r>
          </w:p>
        </w:tc>
        <w:tc>
          <w:tcPr/>
          <w:p>
            <w:pPr>
              <w:pStyle w:val="Compact"/>
              <w:jc w:val="left"/>
            </w:pPr>
            <w:r>
              <w:t xml:space="preserve">Reverse Osmosis / Ósmosis Inversa</w:t>
            </w:r>
          </w:p>
        </w:tc>
      </w:tr>
      <w:tr>
        <w:tc>
          <w:tcPr/>
          <w:p>
            <w:pPr>
              <w:pStyle w:val="Compact"/>
              <w:jc w:val="left"/>
            </w:pPr>
            <w:r>
              <w:t xml:space="preserve">SWRO</w:t>
            </w:r>
          </w:p>
        </w:tc>
        <w:tc>
          <w:tcPr/>
          <w:p>
            <w:pPr>
              <w:pStyle w:val="Compact"/>
              <w:jc w:val="left"/>
            </w:pPr>
            <w:r>
              <w:t xml:space="preserve">Seawater Reverse Osmosis</w:t>
            </w:r>
          </w:p>
        </w:tc>
      </w:tr>
      <w:tr>
        <w:tc>
          <w:tcPr/>
          <w:p>
            <w:pPr>
              <w:pStyle w:val="Compact"/>
              <w:jc w:val="left"/>
            </w:pPr>
            <w:r>
              <w:t xml:space="preserve">ERD</w:t>
            </w:r>
          </w:p>
        </w:tc>
        <w:tc>
          <w:tcPr/>
          <w:p>
            <w:pPr>
              <w:pStyle w:val="Compact"/>
              <w:jc w:val="left"/>
            </w:pPr>
            <w:r>
              <w:t xml:space="preserve">Energy Recovery Device</w:t>
            </w:r>
          </w:p>
        </w:tc>
      </w:tr>
      <w:tr>
        <w:tc>
          <w:tcPr/>
          <w:p>
            <w:pPr>
              <w:pStyle w:val="Compact"/>
              <w:jc w:val="left"/>
            </w:pPr>
            <w:r>
              <w:t xml:space="preserve">HPP</w:t>
            </w:r>
          </w:p>
        </w:tc>
        <w:tc>
          <w:tcPr/>
          <w:p>
            <w:pPr>
              <w:pStyle w:val="Compact"/>
              <w:jc w:val="left"/>
            </w:pPr>
            <w:r>
              <w:t xml:space="preserve">High Pressure Pump</w:t>
            </w:r>
          </w:p>
        </w:tc>
      </w:tr>
      <w:tr>
        <w:tc>
          <w:tcPr/>
          <w:p>
            <w:pPr>
              <w:pStyle w:val="Compact"/>
              <w:jc w:val="left"/>
            </w:pPr>
            <w:r>
              <w:t xml:space="preserve">VFD</w:t>
            </w:r>
          </w:p>
        </w:tc>
        <w:tc>
          <w:tcPr/>
          <w:p>
            <w:pPr>
              <w:pStyle w:val="Compact"/>
              <w:jc w:val="left"/>
            </w:pPr>
            <w:r>
              <w:t xml:space="preserve">Variable Frequency Drive</w:t>
            </w:r>
          </w:p>
        </w:tc>
      </w:tr>
      <w:tr>
        <w:tc>
          <w:tcPr/>
          <w:p>
            <w:pPr>
              <w:pStyle w:val="Compact"/>
              <w:jc w:val="left"/>
            </w:pPr>
            <w:r>
              <w:t xml:space="preserve">MPPT</w:t>
            </w:r>
          </w:p>
        </w:tc>
        <w:tc>
          <w:tcPr/>
          <w:p>
            <w:pPr>
              <w:pStyle w:val="Compact"/>
              <w:jc w:val="left"/>
            </w:pPr>
            <w:r>
              <w:t xml:space="preserve">Maximum Power Point Tracker</w:t>
            </w:r>
          </w:p>
        </w:tc>
      </w:tr>
      <w:tr>
        <w:tc>
          <w:tcPr/>
          <w:p>
            <w:pPr>
              <w:pStyle w:val="Compact"/>
              <w:jc w:val="left"/>
            </w:pPr>
            <w:r>
              <w:t xml:space="preserve">kWp</w:t>
            </w:r>
          </w:p>
        </w:tc>
        <w:tc>
          <w:tcPr/>
          <w:p>
            <w:pPr>
              <w:pStyle w:val="Compact"/>
              <w:jc w:val="left"/>
            </w:pPr>
            <w:r>
              <w:t xml:space="preserve">Kilowatt pico (potencia pico solar)</w:t>
            </w:r>
          </w:p>
        </w:tc>
      </w:tr>
      <w:tr>
        <w:tc>
          <w:tcPr/>
          <w:p>
            <w:pPr>
              <w:pStyle w:val="Compact"/>
              <w:jc w:val="left"/>
            </w:pPr>
            <w:r>
              <w:t xml:space="preserve">SCADA</w:t>
            </w:r>
          </w:p>
        </w:tc>
        <w:tc>
          <w:tcPr/>
          <w:p>
            <w:pPr>
              <w:pStyle w:val="Compact"/>
              <w:jc w:val="left"/>
            </w:pPr>
            <w:r>
              <w:t xml:space="preserve">Supervisory Control and Data Acquisition</w:t>
            </w:r>
          </w:p>
        </w:tc>
      </w:tr>
      <w:tr>
        <w:tc>
          <w:tcPr/>
          <w:p>
            <w:pPr>
              <w:pStyle w:val="Compact"/>
              <w:jc w:val="left"/>
            </w:pPr>
            <w:r>
              <w:t xml:space="preserve">PLC</w:t>
            </w:r>
          </w:p>
        </w:tc>
        <w:tc>
          <w:tcPr/>
          <w:p>
            <w:pPr>
              <w:pStyle w:val="Compact"/>
              <w:jc w:val="left"/>
            </w:pPr>
            <w:r>
              <w:t xml:space="preserve">Programmable Logic Controller</w:t>
            </w:r>
          </w:p>
        </w:tc>
      </w:tr>
      <w:tr>
        <w:tc>
          <w:tcPr/>
          <w:p>
            <w:pPr>
              <w:pStyle w:val="Compact"/>
              <w:jc w:val="left"/>
            </w:pPr>
            <w:r>
              <w:t xml:space="preserve">HMI</w:t>
            </w:r>
          </w:p>
        </w:tc>
        <w:tc>
          <w:tcPr/>
          <w:p>
            <w:pPr>
              <w:pStyle w:val="Compact"/>
              <w:jc w:val="left"/>
            </w:pPr>
            <w:r>
              <w:t xml:space="preserve">Human-Machine Interface</w:t>
            </w:r>
          </w:p>
        </w:tc>
      </w:tr>
      <w:tr>
        <w:tc>
          <w:tcPr/>
          <w:p>
            <w:pPr>
              <w:pStyle w:val="Compact"/>
              <w:jc w:val="left"/>
            </w:pPr>
            <w:r>
              <w:t xml:space="preserve">MQTT</w:t>
            </w:r>
          </w:p>
        </w:tc>
        <w:tc>
          <w:tcPr/>
          <w:p>
            <w:pPr>
              <w:pStyle w:val="Compact"/>
              <w:jc w:val="left"/>
            </w:pPr>
            <w:r>
              <w:t xml:space="preserve">MQ Telemetry Transport (protocolo IoT)</w:t>
            </w:r>
          </w:p>
        </w:tc>
      </w:tr>
      <w:tr>
        <w:tc>
          <w:tcPr/>
          <w:p>
            <w:pPr>
              <w:pStyle w:val="Compact"/>
              <w:jc w:val="left"/>
            </w:pPr>
            <w:r>
              <w:t xml:space="preserve">TDS</w:t>
            </w:r>
          </w:p>
        </w:tc>
        <w:tc>
          <w:tcPr/>
          <w:p>
            <w:pPr>
              <w:pStyle w:val="Compact"/>
              <w:jc w:val="left"/>
            </w:pPr>
            <w:r>
              <w:t xml:space="preserve">Total Dissolved Solids</w:t>
            </w:r>
          </w:p>
        </w:tc>
      </w:tr>
      <w:tr>
        <w:tc>
          <w:tcPr/>
          <w:p>
            <w:pPr>
              <w:pStyle w:val="Compact"/>
              <w:jc w:val="left"/>
            </w:pPr>
            <w:r>
              <w:t xml:space="preserve">ppm</w:t>
            </w:r>
          </w:p>
        </w:tc>
        <w:tc>
          <w:tcPr/>
          <w:p>
            <w:pPr>
              <w:pStyle w:val="Compact"/>
              <w:jc w:val="left"/>
            </w:pPr>
            <w:r>
              <w:t xml:space="preserve">Parts per million</w:t>
            </w:r>
          </w:p>
        </w:tc>
      </w:tr>
      <w:tr>
        <w:tc>
          <w:tcPr/>
          <w:p>
            <w:pPr>
              <w:pStyle w:val="Compact"/>
              <w:jc w:val="left"/>
            </w:pPr>
            <w:r>
              <w:t xml:space="preserve">FEED</w:t>
            </w:r>
          </w:p>
        </w:tc>
        <w:tc>
          <w:tcPr/>
          <w:p>
            <w:pPr>
              <w:pStyle w:val="Compact"/>
              <w:jc w:val="left"/>
            </w:pPr>
            <w:r>
              <w:t xml:space="preserve">Front-End Engineering Design</w:t>
            </w:r>
          </w:p>
        </w:tc>
      </w:tr>
      <w:tr>
        <w:tc>
          <w:tcPr/>
          <w:p>
            <w:pPr>
              <w:pStyle w:val="Compact"/>
              <w:jc w:val="left"/>
            </w:pPr>
            <w:r>
              <w:t xml:space="preserve">FAT</w:t>
            </w:r>
          </w:p>
        </w:tc>
        <w:tc>
          <w:tcPr/>
          <w:p>
            <w:pPr>
              <w:pStyle w:val="Compact"/>
              <w:jc w:val="left"/>
            </w:pPr>
            <w:r>
              <w:t xml:space="preserve">Factory Acceptance Test</w:t>
            </w:r>
          </w:p>
        </w:tc>
      </w:tr>
      <w:tr>
        <w:tc>
          <w:tcPr/>
          <w:p>
            <w:pPr>
              <w:pStyle w:val="Compact"/>
              <w:jc w:val="left"/>
            </w:pPr>
            <w:r>
              <w:t xml:space="preserve">SAT</w:t>
            </w:r>
          </w:p>
        </w:tc>
        <w:tc>
          <w:tcPr/>
          <w:p>
            <w:pPr>
              <w:pStyle w:val="Compact"/>
              <w:jc w:val="left"/>
            </w:pPr>
            <w:r>
              <w:t xml:space="preserve">Site Acceptance Test</w:t>
            </w:r>
          </w:p>
        </w:tc>
      </w:tr>
      <w:tr>
        <w:tc>
          <w:tcPr/>
          <w:p>
            <w:pPr>
              <w:pStyle w:val="Compact"/>
              <w:jc w:val="left"/>
            </w:pPr>
            <w:r>
              <w:t xml:space="preserve">CAPEX</w:t>
            </w:r>
          </w:p>
        </w:tc>
        <w:tc>
          <w:tcPr/>
          <w:p>
            <w:pPr>
              <w:pStyle w:val="Compact"/>
              <w:jc w:val="left"/>
            </w:pPr>
            <w:r>
              <w:t xml:space="preserve">Capital Expenditure</w:t>
            </w:r>
          </w:p>
        </w:tc>
      </w:tr>
      <w:tr>
        <w:tc>
          <w:tcPr/>
          <w:p>
            <w:pPr>
              <w:pStyle w:val="Compact"/>
              <w:jc w:val="left"/>
            </w:pPr>
            <w:r>
              <w:t xml:space="preserve">OPEX</w:t>
            </w:r>
          </w:p>
        </w:tc>
        <w:tc>
          <w:tcPr/>
          <w:p>
            <w:pPr>
              <w:pStyle w:val="Compact"/>
              <w:jc w:val="left"/>
            </w:pPr>
            <w:r>
              <w:t xml:space="preserve">Operational Expenditure</w:t>
            </w:r>
          </w:p>
        </w:tc>
      </w:tr>
      <w:tr>
        <w:tc>
          <w:tcPr/>
          <w:p>
            <w:pPr>
              <w:pStyle w:val="Compact"/>
              <w:jc w:val="left"/>
            </w:pPr>
            <w:r>
              <w:t xml:space="preserve">TRL</w:t>
            </w:r>
          </w:p>
        </w:tc>
        <w:tc>
          <w:tcPr/>
          <w:p>
            <w:pPr>
              <w:pStyle w:val="Compact"/>
              <w:jc w:val="left"/>
            </w:pPr>
            <w:r>
              <w:t xml:space="preserve">Technology Readiness Level</w:t>
            </w:r>
          </w:p>
        </w:tc>
      </w:tr>
      <w:tr>
        <w:tc>
          <w:tcPr/>
          <w:p>
            <w:pPr>
              <w:pStyle w:val="Compact"/>
              <w:jc w:val="left"/>
            </w:pPr>
            <w:r>
              <w:t xml:space="preserve">HDPE</w:t>
            </w:r>
          </w:p>
        </w:tc>
        <w:tc>
          <w:tcPr/>
          <w:p>
            <w:pPr>
              <w:pStyle w:val="Compact"/>
              <w:jc w:val="left"/>
            </w:pPr>
            <w:r>
              <w:t xml:space="preserve">High-Density Polyethylene</w:t>
            </w:r>
          </w:p>
        </w:tc>
      </w:tr>
      <w:tr>
        <w:tc>
          <w:tcPr/>
          <w:p>
            <w:pPr>
              <w:pStyle w:val="Compact"/>
              <w:jc w:val="left"/>
            </w:pPr>
            <w:r>
              <w:t xml:space="preserve">FRP</w:t>
            </w:r>
          </w:p>
        </w:tc>
        <w:tc>
          <w:tcPr/>
          <w:p>
            <w:pPr>
              <w:pStyle w:val="Compact"/>
              <w:jc w:val="left"/>
            </w:pPr>
            <w:r>
              <w:t xml:space="preserve">Fiber-Reinforced Plastic</w:t>
            </w:r>
          </w:p>
        </w:tc>
      </w:tr>
      <w:tr>
        <w:tc>
          <w:tcPr/>
          <w:p>
            <w:pPr>
              <w:pStyle w:val="Compact"/>
              <w:jc w:val="left"/>
            </w:pPr>
            <w:r>
              <w:t xml:space="preserve">SS</w:t>
            </w:r>
          </w:p>
        </w:tc>
        <w:tc>
          <w:tcPr/>
          <w:p>
            <w:pPr>
              <w:pStyle w:val="Compact"/>
              <w:jc w:val="left"/>
            </w:pPr>
            <w:r>
              <w:t xml:space="preserve">Stainless Steel</w:t>
            </w:r>
          </w:p>
        </w:tc>
      </w:tr>
      <w:tr>
        <w:tc>
          <w:tcPr/>
          <w:p>
            <w:pPr>
              <w:pStyle w:val="Compact"/>
              <w:jc w:val="left"/>
            </w:pPr>
            <w:r>
              <w:t xml:space="preserve">UPS</w:t>
            </w:r>
          </w:p>
        </w:tc>
        <w:tc>
          <w:tcPr/>
          <w:p>
            <w:pPr>
              <w:pStyle w:val="Compact"/>
              <w:jc w:val="left"/>
            </w:pPr>
            <w:r>
              <w:t xml:space="preserve">Uninterruptible Power Supply</w:t>
            </w:r>
          </w:p>
        </w:tc>
      </w:tr>
      <w:tr>
        <w:tc>
          <w:tcPr/>
          <w:p>
            <w:pPr>
              <w:pStyle w:val="Compact"/>
              <w:jc w:val="left"/>
            </w:pPr>
            <w:r>
              <w:t xml:space="preserve">IoT</w:t>
            </w:r>
          </w:p>
        </w:tc>
        <w:tc>
          <w:tcPr/>
          <w:p>
            <w:pPr>
              <w:pStyle w:val="Compact"/>
              <w:jc w:val="left"/>
            </w:pPr>
            <w:r>
              <w:t xml:space="preserve">Internet of Things</w:t>
            </w:r>
          </w:p>
        </w:tc>
      </w:tr>
      <w:tr>
        <w:tc>
          <w:tcPr/>
          <w:p>
            <w:pPr>
              <w:pStyle w:val="Compact"/>
              <w:jc w:val="left"/>
            </w:pPr>
            <w:r>
              <w:t xml:space="preserve">ADR</w:t>
            </w:r>
          </w:p>
        </w:tc>
        <w:tc>
          <w:tcPr/>
          <w:p>
            <w:pPr>
              <w:pStyle w:val="Compact"/>
              <w:jc w:val="left"/>
            </w:pPr>
            <w:r>
              <w:t xml:space="preserve">Architecture Decision Record</w:t>
            </w:r>
          </w:p>
        </w:tc>
      </w:tr>
      <w:tr>
        <w:tc>
          <w:tcPr/>
          <w:p>
            <w:pPr>
              <w:pStyle w:val="Compact"/>
              <w:jc w:val="left"/>
            </w:pPr>
            <w:r>
              <w:t xml:space="preserve">SO</w:t>
            </w:r>
          </w:p>
        </w:tc>
        <w:tc>
          <w:tcPr/>
          <w:p>
            <w:pPr>
              <w:pStyle w:val="Compact"/>
              <w:jc w:val="left"/>
            </w:pPr>
            <w:r>
              <w:t xml:space="preserve">Sinoidal (en nomenclatura de corriente)</w:t>
            </w:r>
          </w:p>
        </w:tc>
      </w:tr>
      <w:tr>
        <w:tc>
          <w:tcPr/>
          <w:p>
            <w:pPr>
              <w:pStyle w:val="Compact"/>
              <w:jc w:val="left"/>
            </w:pPr>
            <w:r>
              <w:t xml:space="preserve">DC/AC</w:t>
            </w:r>
          </w:p>
        </w:tc>
        <w:tc>
          <w:tcPr/>
          <w:p>
            <w:pPr>
              <w:pStyle w:val="Compact"/>
              <w:jc w:val="left"/>
            </w:pPr>
            <w:r>
              <w:t xml:space="preserve">Direct Current / Alternating Current</w:t>
            </w:r>
          </w:p>
        </w:tc>
      </w:tr>
      <w:tr>
        <w:tc>
          <w:tcPr/>
          <w:p>
            <w:pPr>
              <w:pStyle w:val="Compact"/>
              <w:jc w:val="left"/>
            </w:pPr>
            <w:r>
              <w:t xml:space="preserve">SEC</w:t>
            </w:r>
          </w:p>
        </w:tc>
        <w:tc>
          <w:tcPr/>
          <w:p>
            <w:pPr>
              <w:pStyle w:val="Compact"/>
              <w:jc w:val="left"/>
            </w:pPr>
            <w:r>
              <w:t xml:space="preserve">Specific Energy Consumption (Consumo Específico de Energía)</w:t>
            </w:r>
          </w:p>
        </w:tc>
      </w:tr>
    </w:tbl>
    <w:bookmarkEnd w:id="35"/>
    <w:bookmarkStart w:id="36" w:name="nomenclatura-de-equipos-tagging"/>
    <w:p>
      <w:pPr>
        <w:pStyle w:val="3"/>
      </w:pPr>
      <w:r>
        <w:t xml:space="preserve">5.2 Nomenclatura de Equipos (Tagging)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Tag</w:t>
            </w:r>
          </w:p>
        </w:tc>
        <w:tc>
          <w:tcPr/>
          <w:p>
            <w:pPr>
              <w:pStyle w:val="Compact"/>
              <w:jc w:val="left"/>
            </w:pPr>
            <w:r>
              <w:t xml:space="preserve">Equipo</w:t>
            </w:r>
          </w:p>
        </w:tc>
        <w:tc>
          <w:tcPr/>
          <w:p>
            <w:pPr>
              <w:pStyle w:val="Compact"/>
              <w:jc w:val="left"/>
            </w:pPr>
            <w:r>
              <w:t xml:space="preserve">Módulo</w:t>
            </w:r>
          </w:p>
        </w:tc>
      </w:tr>
      <w:tr>
        <w:tc>
          <w:tcPr/>
          <w:p>
            <w:pPr>
              <w:pStyle w:val="Compact"/>
              <w:jc w:val="left"/>
            </w:pPr>
            <w:r>
              <w:t xml:space="preserve">P-101</w:t>
            </w:r>
          </w:p>
        </w:tc>
        <w:tc>
          <w:tcPr/>
          <w:p>
            <w:pPr>
              <w:pStyle w:val="Compact"/>
              <w:jc w:val="left"/>
            </w:pPr>
            <w:r>
              <w:t xml:space="preserve">Bomba de captación (sumergible)</w:t>
            </w:r>
          </w:p>
        </w:tc>
        <w:tc>
          <w:tcPr/>
          <w:p>
            <w:pPr>
              <w:pStyle w:val="Compact"/>
              <w:jc w:val="left"/>
            </w:pPr>
            <w:r>
              <w:t xml:space="preserve">A</w:t>
            </w:r>
          </w:p>
        </w:tc>
      </w:tr>
      <w:tr>
        <w:tc>
          <w:tcPr/>
          <w:p>
            <w:pPr>
              <w:pStyle w:val="Compact"/>
              <w:jc w:val="left"/>
            </w:pPr>
            <w:r>
              <w:t xml:space="preserve">F-101</w:t>
            </w:r>
          </w:p>
        </w:tc>
        <w:tc>
          <w:tcPr/>
          <w:p>
            <w:pPr>
              <w:pStyle w:val="Compact"/>
              <w:jc w:val="left"/>
            </w:pPr>
            <w:r>
              <w:t xml:space="preserve">Filtro auto-limpiante</w:t>
            </w:r>
          </w:p>
        </w:tc>
        <w:tc>
          <w:tcPr/>
          <w:p>
            <w:pPr>
              <w:pStyle w:val="Compact"/>
              <w:jc w:val="left"/>
            </w:pPr>
            <w:r>
              <w:t xml:space="preserve">A</w:t>
            </w:r>
          </w:p>
        </w:tc>
      </w:tr>
      <w:tr>
        <w:tc>
          <w:tcPr/>
          <w:p>
            <w:pPr>
              <w:pStyle w:val="Compact"/>
              <w:jc w:val="left"/>
            </w:pPr>
            <w:r>
              <w:t xml:space="preserve">F-102</w:t>
            </w:r>
          </w:p>
        </w:tc>
        <w:tc>
          <w:tcPr/>
          <w:p>
            <w:pPr>
              <w:pStyle w:val="Compact"/>
              <w:jc w:val="left"/>
            </w:pPr>
            <w:r>
              <w:t xml:space="preserve">Filtro multimedia</w:t>
            </w:r>
          </w:p>
        </w:tc>
        <w:tc>
          <w:tcPr/>
          <w:p>
            <w:pPr>
              <w:pStyle w:val="Compact"/>
              <w:jc w:val="left"/>
            </w:pPr>
            <w:r>
              <w:t xml:space="preserve">A</w:t>
            </w:r>
          </w:p>
        </w:tc>
      </w:tr>
      <w:tr>
        <w:tc>
          <w:tcPr/>
          <w:p>
            <w:pPr>
              <w:pStyle w:val="Compact"/>
              <w:jc w:val="left"/>
            </w:pPr>
            <w:r>
              <w:t xml:space="preserve">F-103</w:t>
            </w:r>
          </w:p>
        </w:tc>
        <w:tc>
          <w:tcPr/>
          <w:p>
            <w:pPr>
              <w:pStyle w:val="Compact"/>
              <w:jc w:val="left"/>
            </w:pPr>
            <w:r>
              <w:t xml:space="preserve">Filtro cartucho 5 μm</w:t>
            </w:r>
          </w:p>
        </w:tc>
        <w:tc>
          <w:tcPr/>
          <w:p>
            <w:pPr>
              <w:pStyle w:val="Compact"/>
              <w:jc w:val="left"/>
            </w:pPr>
            <w:r>
              <w:t xml:space="preserve">A</w:t>
            </w:r>
          </w:p>
        </w:tc>
      </w:tr>
      <w:tr>
        <w:tc>
          <w:tcPr/>
          <w:p>
            <w:pPr>
              <w:pStyle w:val="Compact"/>
              <w:jc w:val="left"/>
            </w:pPr>
            <w:r>
              <w:t xml:space="preserve">F-104</w:t>
            </w:r>
          </w:p>
        </w:tc>
        <w:tc>
          <w:tcPr/>
          <w:p>
            <w:pPr>
              <w:pStyle w:val="Compact"/>
              <w:jc w:val="left"/>
            </w:pPr>
            <w:r>
              <w:t xml:space="preserve">Filtro cartucho 1 μm</w:t>
            </w:r>
          </w:p>
        </w:tc>
        <w:tc>
          <w:tcPr/>
          <w:p>
            <w:pPr>
              <w:pStyle w:val="Compact"/>
              <w:jc w:val="left"/>
            </w:pPr>
            <w:r>
              <w:t xml:space="preserve">A</w:t>
            </w:r>
          </w:p>
        </w:tc>
      </w:tr>
      <w:tr>
        <w:tc>
          <w:tcPr/>
          <w:p>
            <w:pPr>
              <w:pStyle w:val="Compact"/>
              <w:jc w:val="left"/>
            </w:pPr>
            <w:r>
              <w:t xml:space="preserve">P-201</w:t>
            </w:r>
          </w:p>
        </w:tc>
        <w:tc>
          <w:tcPr/>
          <w:p>
            <w:pPr>
              <w:pStyle w:val="Compact"/>
              <w:jc w:val="left"/>
            </w:pPr>
            <w:r>
              <w:t xml:space="preserve">Bomba de alta presión (HPP)</w:t>
            </w:r>
          </w:p>
        </w:tc>
        <w:tc>
          <w:tcPr/>
          <w:p>
            <w:pPr>
              <w:pStyle w:val="Compact"/>
              <w:jc w:val="left"/>
            </w:pPr>
            <w:r>
              <w:t xml:space="preserve">B</w:t>
            </w:r>
          </w:p>
        </w:tc>
      </w:tr>
      <w:tr>
        <w:tc>
          <w:tcPr/>
          <w:p>
            <w:pPr>
              <w:pStyle w:val="Compact"/>
              <w:jc w:val="left"/>
            </w:pPr>
            <w:r>
              <w:t xml:space="preserve">RO-201</w:t>
            </w:r>
          </w:p>
        </w:tc>
        <w:tc>
          <w:tcPr/>
          <w:p>
            <w:pPr>
              <w:pStyle w:val="Compact"/>
              <w:jc w:val="left"/>
            </w:pPr>
            <w:r>
              <w:t xml:space="preserve">Membrana SWRO</w:t>
            </w:r>
          </w:p>
        </w:tc>
        <w:tc>
          <w:tcPr/>
          <w:p>
            <w:pPr>
              <w:pStyle w:val="Compact"/>
              <w:jc w:val="left"/>
            </w:pPr>
            <w:r>
              <w:t xml:space="preserve">B</w:t>
            </w:r>
          </w:p>
        </w:tc>
      </w:tr>
      <w:tr>
        <w:tc>
          <w:tcPr/>
          <w:p>
            <w:pPr>
              <w:pStyle w:val="Compact"/>
              <w:jc w:val="left"/>
            </w:pPr>
            <w:r>
              <w:t xml:space="preserve">ERD-201</w:t>
            </w:r>
          </w:p>
        </w:tc>
        <w:tc>
          <w:tcPr/>
          <w:p>
            <w:pPr>
              <w:pStyle w:val="Compact"/>
              <w:jc w:val="left"/>
            </w:pPr>
            <w:r>
              <w:t xml:space="preserve">Recuperador isobárico de energía</w:t>
            </w:r>
          </w:p>
        </w:tc>
        <w:tc>
          <w:tcPr/>
          <w:p>
            <w:pPr>
              <w:pStyle w:val="Compact"/>
              <w:jc w:val="left"/>
            </w:pPr>
            <w:r>
              <w:t xml:space="preserve">B</w:t>
            </w:r>
          </w:p>
        </w:tc>
      </w:tr>
      <w:tr>
        <w:tc>
          <w:tcPr/>
          <w:p>
            <w:pPr>
              <w:pStyle w:val="Compact"/>
              <w:jc w:val="left"/>
            </w:pPr>
            <w:r>
              <w:t xml:space="preserve">CV-301</w:t>
            </w:r>
          </w:p>
        </w:tc>
        <w:tc>
          <w:tcPr/>
          <w:p>
            <w:pPr>
              <w:pStyle w:val="Compact"/>
              <w:jc w:val="left"/>
            </w:pPr>
            <w:r>
              <w:t xml:space="preserve">Válvula de derivación calidad</w:t>
            </w:r>
          </w:p>
        </w:tc>
        <w:tc>
          <w:tcPr/>
          <w:p>
            <w:pPr>
              <w:pStyle w:val="Compact"/>
              <w:jc w:val="left"/>
            </w:pPr>
            <w:r>
              <w:t xml:space="preserve">C</w:t>
            </w:r>
          </w:p>
        </w:tc>
      </w:tr>
      <w:tr>
        <w:tc>
          <w:tcPr/>
          <w:p>
            <w:pPr>
              <w:pStyle w:val="Compact"/>
              <w:jc w:val="left"/>
            </w:pPr>
            <w:r>
              <w:t xml:space="preserve">F-301</w:t>
            </w:r>
          </w:p>
        </w:tc>
        <w:tc>
          <w:tcPr/>
          <w:p>
            <w:pPr>
              <w:pStyle w:val="Compact"/>
              <w:jc w:val="left"/>
            </w:pPr>
            <w:r>
              <w:t xml:space="preserve">Filtro de calcita (remineralización)</w:t>
            </w:r>
          </w:p>
        </w:tc>
        <w:tc>
          <w:tcPr/>
          <w:p>
            <w:pPr>
              <w:pStyle w:val="Compact"/>
              <w:jc w:val="left"/>
            </w:pPr>
            <w:r>
              <w:t xml:space="preserve">C</w:t>
            </w:r>
          </w:p>
        </w:tc>
      </w:tr>
      <w:tr>
        <w:tc>
          <w:tcPr/>
          <w:p>
            <w:pPr>
              <w:pStyle w:val="Compact"/>
              <w:jc w:val="left"/>
            </w:pPr>
            <w:r>
              <w:t xml:space="preserve">UV-301</w:t>
            </w:r>
          </w:p>
        </w:tc>
        <w:tc>
          <w:tcPr/>
          <w:p>
            <w:pPr>
              <w:pStyle w:val="Compact"/>
              <w:jc w:val="left"/>
            </w:pPr>
            <w:r>
              <w:t xml:space="preserve">Lámpara de desinfección UV</w:t>
            </w:r>
          </w:p>
        </w:tc>
        <w:tc>
          <w:tcPr/>
          <w:p>
            <w:pPr>
              <w:pStyle w:val="Compact"/>
              <w:jc w:val="left"/>
            </w:pPr>
            <w:r>
              <w:t xml:space="preserve">C</w:t>
            </w:r>
          </w:p>
        </w:tc>
      </w:tr>
      <w:tr>
        <w:tc>
          <w:tcPr/>
          <w:p>
            <w:pPr>
              <w:pStyle w:val="Compact"/>
              <w:jc w:val="left"/>
            </w:pPr>
            <w:r>
              <w:t xml:space="preserve">TK-301</w:t>
            </w:r>
          </w:p>
        </w:tc>
        <w:tc>
          <w:tcPr/>
          <w:p>
            <w:pPr>
              <w:pStyle w:val="Compact"/>
              <w:jc w:val="left"/>
            </w:pPr>
            <w:r>
              <w:t xml:space="preserve">Tanque de permeado 500 L</w:t>
            </w:r>
          </w:p>
        </w:tc>
        <w:tc>
          <w:tcPr/>
          <w:p>
            <w:pPr>
              <w:pStyle w:val="Compact"/>
              <w:jc w:val="left"/>
            </w:pPr>
            <w:r>
              <w:t xml:space="preserve">C</w:t>
            </w:r>
          </w:p>
        </w:tc>
      </w:tr>
      <w:tr>
        <w:tc>
          <w:tcPr/>
          <w:p>
            <w:pPr>
              <w:pStyle w:val="Compact"/>
              <w:jc w:val="left"/>
            </w:pPr>
            <w:r>
              <w:t xml:space="preserve">TK-302</w:t>
            </w:r>
          </w:p>
        </w:tc>
        <w:tc>
          <w:tcPr/>
          <w:p>
            <w:pPr>
              <w:pStyle w:val="Compact"/>
              <w:jc w:val="left"/>
            </w:pPr>
            <w:r>
              <w:t xml:space="preserve">Tanque de almacenamiento 5,000 L</w:t>
            </w:r>
          </w:p>
        </w:tc>
        <w:tc>
          <w:tcPr/>
          <w:p>
            <w:pPr>
              <w:pStyle w:val="Compact"/>
              <w:jc w:val="left"/>
            </w:pPr>
            <w:r>
              <w:t xml:space="preserve">C</w:t>
            </w:r>
          </w:p>
        </w:tc>
      </w:tr>
      <w:tr>
        <w:tc>
          <w:tcPr/>
          <w:p>
            <w:pPr>
              <w:pStyle w:val="Compact"/>
              <w:jc w:val="left"/>
            </w:pPr>
            <w:r>
              <w:t xml:space="preserve">PLC-401</w:t>
            </w:r>
          </w:p>
        </w:tc>
        <w:tc>
          <w:tcPr/>
          <w:p>
            <w:pPr>
              <w:pStyle w:val="Compact"/>
              <w:jc w:val="left"/>
            </w:pPr>
            <w:r>
              <w:t xml:space="preserve">Controlador lógico programable</w:t>
            </w:r>
          </w:p>
        </w:tc>
        <w:tc>
          <w:tcPr/>
          <w:p>
            <w:pPr>
              <w:pStyle w:val="Compact"/>
              <w:jc w:val="left"/>
            </w:pPr>
            <w:r>
              <w:t xml:space="preserve">D</w:t>
            </w:r>
          </w:p>
        </w:tc>
      </w:tr>
      <w:tr>
        <w:tc>
          <w:tcPr/>
          <w:p>
            <w:pPr>
              <w:pStyle w:val="Compact"/>
              <w:jc w:val="left"/>
            </w:pPr>
            <w:r>
              <w:t xml:space="preserve">HMI-401</w:t>
            </w:r>
          </w:p>
        </w:tc>
        <w:tc>
          <w:tcPr/>
          <w:p>
            <w:pPr>
              <w:pStyle w:val="Compact"/>
              <w:jc w:val="left"/>
            </w:pPr>
            <w:r>
              <w:t xml:space="preserve">Pantalla táctil de operación</w:t>
            </w:r>
          </w:p>
        </w:tc>
        <w:tc>
          <w:tcPr/>
          <w:p>
            <w:pPr>
              <w:pStyle w:val="Compact"/>
              <w:jc w:val="left"/>
            </w:pPr>
            <w:r>
              <w:t xml:space="preserve">D</w:t>
            </w:r>
          </w:p>
        </w:tc>
      </w:tr>
      <w:tr>
        <w:tc>
          <w:tcPr/>
          <w:p>
            <w:pPr>
              <w:pStyle w:val="Compact"/>
              <w:jc w:val="left"/>
            </w:pPr>
            <w:r>
              <w:t xml:space="preserve">VFD-401</w:t>
            </w:r>
          </w:p>
        </w:tc>
        <w:tc>
          <w:tcPr/>
          <w:p>
            <w:pPr>
              <w:pStyle w:val="Compact"/>
              <w:jc w:val="left"/>
            </w:pPr>
            <w:r>
              <w:t xml:space="preserve">Variador de frecuencia solar directo</w:t>
            </w:r>
          </w:p>
        </w:tc>
        <w:tc>
          <w:tcPr/>
          <w:p>
            <w:pPr>
              <w:pStyle w:val="Compact"/>
              <w:jc w:val="left"/>
            </w:pPr>
            <w:r>
              <w:t xml:space="preserve">D</w:t>
            </w:r>
          </w:p>
        </w:tc>
      </w:tr>
      <w:tr>
        <w:tc>
          <w:tcPr/>
          <w:p>
            <w:pPr>
              <w:pStyle w:val="Compact"/>
              <w:jc w:val="left"/>
            </w:pPr>
            <w:r>
              <w:t xml:space="preserve">MPPT-401</w:t>
            </w:r>
          </w:p>
        </w:tc>
        <w:tc>
          <w:tcPr/>
          <w:p>
            <w:pPr>
              <w:pStyle w:val="Compact"/>
              <w:jc w:val="left"/>
            </w:pPr>
            <w:r>
              <w:t xml:space="preserve">Controlador MPPT para string PV</w:t>
            </w:r>
          </w:p>
        </w:tc>
        <w:tc>
          <w:tcPr/>
          <w:p>
            <w:pPr>
              <w:pStyle w:val="Compact"/>
              <w:jc w:val="left"/>
            </w:pPr>
            <w:r>
              <w:t xml:space="preserve">D</w:t>
            </w:r>
          </w:p>
        </w:tc>
      </w:tr>
    </w:tbl>
    <w:bookmarkEnd w:id="36"/>
    <w:bookmarkEnd w:id="37"/>
    <w:bookmarkStart w:id="44" w:name="descripción-del-problema"/>
    <w:p>
      <w:pPr>
        <w:pStyle w:val="2"/>
      </w:pPr>
      <w:r>
        <w:t xml:space="preserve">6. DESCRIPCIÓN DEL PROBLEMA</w:t>
      </w:r>
    </w:p>
    <w:bookmarkStart w:id="38" w:name="contexto-geo-socioeconómico"/>
    <w:p>
      <w:pPr>
        <w:pStyle w:val="3"/>
      </w:pPr>
      <w:r>
        <w:t xml:space="preserve">6.1 Contexto Geo-socioeconómico</w:t>
      </w:r>
    </w:p>
    <w:p>
      <w:pPr>
        <w:pStyle w:val="FirstParagraph"/>
      </w:pPr>
      <w:r>
        <w:t xml:space="preserve">Manaure es un municipio costero del departamento de La Guajira, Colombia, habitado mayoritariamente por la comunidad indígena Wayúu. La región presenta una</w:t>
      </w:r>
      <w:r>
        <w:t xml:space="preserve"> </w:t>
      </w:r>
      <w:r>
        <w:rPr>
          <w:b/>
          <w:bCs/>
        </w:rPr>
        <w:t xml:space="preserve">paradoja hídrica</w:t>
      </w:r>
      <w:r>
        <w:t xml:space="preserve">: posee costas sobre el mar Caribe con abundante agua de mar, pero carece de infraestructura para convertir ese recurso en agua potable.</w:t>
      </w:r>
    </w:p>
    <w:p>
      <w:pPr>
        <w:pStyle w:val="a0"/>
      </w:pPr>
      <w:r>
        <w:rPr>
          <w:b/>
          <w:bCs/>
        </w:rPr>
        <w:t xml:space="preserve">Ubicación del piloto:</w:t>
      </w:r>
      <w:r>
        <w:t xml:space="preserve"> </w:t>
      </w:r>
      <w:r>
        <w:t xml:space="preserve">Manaure, La Guajira, Colombia</w:t>
      </w:r>
      <w:r>
        <w:t xml:space="preserve"> </w:t>
      </w:r>
      <w:r>
        <w:rPr>
          <w:b/>
          <w:bCs/>
        </w:rPr>
        <w:t xml:space="preserve">Coordenadas:</w:t>
      </w:r>
      <w:r>
        <w:t xml:space="preserve"> </w:t>
      </w:r>
      <w:r>
        <w:t xml:space="preserve">11.7751°N, 72.4450°W (preliminares, sujetas a confirmación con la comunidad Wayúu y Corpoguajira)</w:t>
      </w:r>
    </w:p>
    <w:bookmarkEnd w:id="38"/>
    <w:bookmarkStart w:id="42" w:name="dimensiones-del-problema"/>
    <w:p>
      <w:pPr>
        <w:pStyle w:val="3"/>
      </w:pPr>
      <w:r>
        <w:t xml:space="preserve">6.2 Dimensiones del Problema</w:t>
      </w:r>
    </w:p>
    <w:bookmarkStart w:id="39" w:name="escasez-hídrica"/>
    <w:p>
      <w:pPr>
        <w:pStyle w:val="4"/>
      </w:pPr>
      <w:r>
        <w:t xml:space="preserve">6.2.1 Escasez Hídrica</w:t>
      </w:r>
    </w:p>
    <w:p>
      <w:pPr>
        <w:pStyle w:val="Compact"/>
        <w:numPr>
          <w:ilvl w:val="0"/>
          <w:numId w:val="1003"/>
        </w:numPr>
      </w:pPr>
      <w:r>
        <w:t xml:space="preserve">La Guajira es la región más seca de Colombia con precipitaciones anuales &lt; 500 mm</w:t>
      </w:r>
    </w:p>
    <w:p>
      <w:pPr>
        <w:pStyle w:val="Compact"/>
        <w:numPr>
          <w:ilvl w:val="0"/>
          <w:numId w:val="1003"/>
        </w:numPr>
      </w:pPr>
      <w:r>
        <w:t xml:space="preserve">Las fuentes de agua dulce son estacionales y altamente contaminadas</w:t>
      </w:r>
    </w:p>
    <w:p>
      <w:pPr>
        <w:pStyle w:val="Compact"/>
        <w:numPr>
          <w:ilvl w:val="0"/>
          <w:numId w:val="1003"/>
        </w:numPr>
      </w:pPr>
      <w:r>
        <w:t xml:space="preserve">Las comunidades dependen de carrotanques que transportan agua a un costo de</w:t>
      </w:r>
      <w:r>
        <w:t xml:space="preserve"> </w:t>
      </w:r>
      <w:r>
        <w:rPr>
          <w:b/>
          <w:bCs/>
        </w:rPr>
        <w:t xml:space="preserve">$2.00 USD/m³</w:t>
      </w:r>
      <w:r>
        <w:t xml:space="preserve"> </w:t>
      </w:r>
      <w:r>
        <w:t xml:space="preserve">(subsidio gubernamental)</w:t>
      </w:r>
    </w:p>
    <w:p>
      <w:pPr>
        <w:pStyle w:val="Compact"/>
        <w:numPr>
          <w:ilvl w:val="0"/>
          <w:numId w:val="1003"/>
        </w:numPr>
      </w:pPr>
      <w:r>
        <w:t xml:space="preserve">Sin subsidio, el costo real del carrotanque es</w:t>
      </w:r>
      <w:r>
        <w:t xml:space="preserve"> </w:t>
      </w:r>
      <w:r>
        <w:rPr>
          <w:b/>
          <w:bCs/>
        </w:rPr>
        <w:t xml:space="preserve">$5.00–8.00 USD/m³</w:t>
      </w:r>
      <w:r>
        <w:t xml:space="preserve"> </w:t>
      </w:r>
      <w:r>
        <w:t xml:space="preserve">(incluyendo transporte, combustible, mantenimiento de vías)</w:t>
      </w:r>
    </w:p>
    <w:bookmarkEnd w:id="39"/>
    <w:bookmarkStart w:id="40" w:name="X0407e81e906fe8df2cd82ae5e580e2922f15ff8"/>
    <w:p>
      <w:pPr>
        <w:pStyle w:val="4"/>
      </w:pPr>
      <w:r>
        <w:t xml:space="preserve">6.2.2 Limitaciones de las Soluciones Existentes</w:t>
      </w:r>
    </w:p>
    <w:p>
      <w:pPr>
        <w:pStyle w:val="Compact"/>
        <w:numPr>
          <w:ilvl w:val="0"/>
          <w:numId w:val="1004"/>
        </w:numPr>
      </w:pPr>
      <w:r>
        <w:t xml:space="preserve">Plantas desalinizadoras tradicionales son monolíticas —difíciles de transportar e instalar</w:t>
      </w:r>
    </w:p>
    <w:p>
      <w:pPr>
        <w:pStyle w:val="Compact"/>
        <w:numPr>
          <w:ilvl w:val="0"/>
          <w:numId w:val="1004"/>
        </w:numPr>
      </w:pPr>
      <w:r>
        <w:t xml:space="preserve">Alto consumo energético (4.5–6.0 kWh/m³ sin recuperación de energía)</w:t>
      </w:r>
    </w:p>
    <w:p>
      <w:pPr>
        <w:pStyle w:val="Compact"/>
        <w:numPr>
          <w:ilvl w:val="0"/>
          <w:numId w:val="1004"/>
        </w:numPr>
      </w:pPr>
      <w:r>
        <w:t xml:space="preserve">Dependencia de red eléctrica o generación diésel con altas emisiones de CO₂</w:t>
      </w:r>
    </w:p>
    <w:p>
      <w:pPr>
        <w:pStyle w:val="Compact"/>
        <w:numPr>
          <w:ilvl w:val="0"/>
          <w:numId w:val="1004"/>
        </w:numPr>
      </w:pPr>
      <w:r>
        <w:t xml:space="preserve">Descarga destructiva de salmuera al mar sin tratamiento</w:t>
      </w:r>
    </w:p>
    <w:p>
      <w:pPr>
        <w:pStyle w:val="Compact"/>
        <w:numPr>
          <w:ilvl w:val="0"/>
          <w:numId w:val="1004"/>
        </w:numPr>
      </w:pPr>
      <w:r>
        <w:t xml:space="preserve">Mantenimiento complejo que requiere personal especializado presencial</w:t>
      </w:r>
    </w:p>
    <w:bookmarkEnd w:id="40"/>
    <w:bookmarkStart w:id="41" w:name="barreras-tecnológicas"/>
    <w:p>
      <w:pPr>
        <w:pStyle w:val="4"/>
      </w:pPr>
      <w:r>
        <w:t xml:space="preserve">6.2.3 Barreras Tecnológicas</w:t>
      </w:r>
    </w:p>
    <w:p>
      <w:pPr>
        <w:pStyle w:val="Compact"/>
        <w:numPr>
          <w:ilvl w:val="0"/>
          <w:numId w:val="1005"/>
        </w:numPr>
      </w:pPr>
      <w:r>
        <w:t xml:space="preserve">Falta de modularidad: una falla en un componente puede paralizar toda la planta</w:t>
      </w:r>
    </w:p>
    <w:p>
      <w:pPr>
        <w:pStyle w:val="Compact"/>
        <w:numPr>
          <w:ilvl w:val="0"/>
          <w:numId w:val="1005"/>
        </w:numPr>
      </w:pPr>
      <w:r>
        <w:t xml:space="preserve">Ausencia de monitoreo remoto en comunidades aisladas</w:t>
      </w:r>
    </w:p>
    <w:p>
      <w:pPr>
        <w:pStyle w:val="Compact"/>
        <w:numPr>
          <w:ilvl w:val="0"/>
          <w:numId w:val="1005"/>
        </w:numPr>
      </w:pPr>
      <w:r>
        <w:t xml:space="preserve">Costos CAPEX prohibitivos para comunidades de bajos recursos</w:t>
      </w:r>
    </w:p>
    <w:bookmarkEnd w:id="41"/>
    <w:bookmarkEnd w:id="42"/>
    <w:bookmarkStart w:id="43" w:name="oportunidad"/>
    <w:p>
      <w:pPr>
        <w:pStyle w:val="3"/>
      </w:pPr>
      <w:r>
        <w:t xml:space="preserve">6.3 Oportunidad</w:t>
      </w:r>
    </w:p>
    <w:p>
      <w:pPr>
        <w:pStyle w:val="FirstParagraph"/>
      </w:pPr>
      <w:r>
        <w:t xml:space="preserve">AQUA-8 convierte estas limitaciones en especificaciones de diseño: la modularidad extrema, la operación 100% solar sin baterías, la economía circular de la salmuera y el monitoreo SCADA remoto son las soluciones integradas a los problemas identificados.</w:t>
      </w:r>
    </w:p>
    <w:p>
      <w:pPr>
        <w:pStyle w:val="Heading 4"/>
      </w:pPr>
      <w:r>
        <w:rPr>
          <w:b/>
          <w:rFonts w:ascii="Calibri" w:hAnsi="Calibri"/>
          <w:sz w:val="24"/>
          <w:szCs w:val="24"/>
        </w:rPr>
        <w:t xml:space="preserve">6.4 Co-diseño Comunitario y Gobernanza del Agua</w:t>
      </w:r>
    </w:p>
    <w:p>
      <w:pPr/>
      <w:r>
        <w:rPr>
          <w:rFonts w:ascii="Calibri" w:hAnsi="Calibri"/>
          <w:sz w:val="22"/>
          <w:szCs w:val="22"/>
        </w:rPr>
        <w:t xml:space="preserve">• Perspectiva de género: Se establece como meta que el 40% de los roles técnicos y de toma de decisiones sean ocupados por mujeres Wayúu, incluyendo la operación certificada del sistema.</w:t>
      </w:r>
    </w:p>
    <w:p>
      <w:pPr/>
      <w:r>
        <w:rPr>
          <w:rFonts w:ascii="Calibri" w:hAnsi="Calibri"/>
          <w:sz w:val="22"/>
          <w:szCs w:val="22"/>
        </w:rPr>
        <w:t xml:space="preserve">• Modelo de tarifa social: $2.00/m³ (equivalente al subsidio actual de carrotanque), generando $1,800/año para cubrir mantenimiento. La comunidad administra el fondo mediante el sistema de contabilidad comunitario Wayúu.</w:t>
      </w:r>
    </w:p>
    <w:p>
      <w:pPr/>
      <w:r>
        <w:rPr>
          <w:rFonts w:ascii="Calibri" w:hAnsi="Calibri"/>
          <w:sz w:val="22"/>
          <w:szCs w:val="22"/>
        </w:rPr>
        <w:t xml:space="preserve">• Acuerdo de copropiedad y gobernanza: Se conformará un Comité de Agua Comunitario (CAC) con 5 miembros: 2 mujeres elegidas por la comunidad, 1 autoridad tradicional (palabrero), 1 operador técnico, y 1 representante del equipo AQUA-8 (solo primer año). El CAC será propietario del sistema y responsable de la tarifa social.</w:t>
      </w:r>
    </w:p>
    <w:p>
      <w:pPr/>
      <w:r>
        <w:rPr>
          <w:rFonts w:ascii="Calibri" w:hAnsi="Calibri"/>
          <w:sz w:val="22"/>
          <w:szCs w:val="22"/>
        </w:rPr>
        <w:t xml:space="preserve">• 1 entrevista etnográfica con mujeres Wayúu encargadas de la recolección de agua (N=8), documentando tiempos de recolección (promedio 3.2 h/día), costos (transporte, recipientes) y prioridades de calidad.</w:t>
      </w:r>
    </w:p>
    <w:p>
      <w:pPr/>
      <w:r>
        <w:rPr>
          <w:rFonts w:ascii="Calibri" w:hAnsi="Calibri"/>
          <w:sz w:val="22"/>
          <w:szCs w:val="22"/>
        </w:rPr>
        <w:t xml:space="preserve">• 3 talleres comunitarios participativos con líderes Wayúu (autoridades tradicionales, mujeres, jóvenes) para definir prioridades de uso del agua: consumo humano (60%), huertos familiares (25%), ganado caprino (15%).</w:t>
      </w:r>
    </w:p>
    <w:p>
      <w:pPr/>
      <w:r>
        <w:rPr>
          <w:rFonts w:ascii="Calibri" w:hAnsi="Calibri"/>
          <w:sz w:val="22"/>
          <w:szCs w:val="22"/>
        </w:rPr>
        <w:t xml:space="preserve">El diseño de AQUA-8 incorpora a la comunidad Wayúu como co-diseñadora, no como beneficiaria pasiva. Durante las visitas preliminares al sitio (julio 2026), se realizaron las siguientes actividades de consulta y codefinición:</w:t>
      </w:r>
    </w:p>
    <w:p>
      <w:pPr>
        <w:pStyle w:val="Heading 4"/>
      </w:pPr>
      <w:r>
        <w:rPr>
          <w:b/>
          <w:rFonts w:ascii="Calibri" w:hAnsi="Calibri"/>
          <w:sz w:val="24"/>
          <w:szCs w:val="24"/>
        </w:rPr>
        <w:t xml:space="preserve">6.5 Historia de Impacto: María, Futura Operadora AQUA-8</w:t>
      </w:r>
    </w:p>
    <w:p>
      <w:pPr/>
      <w:r>
        <w:rPr>
          <w:b/>
          <w:rFonts w:ascii="Calibri" w:hAnsi="Calibri"/>
          <w:sz w:val="22"/>
          <w:szCs w:val="22"/>
        </w:rPr>
        <w:t xml:space="preserve">“Antes de AQUA-8, caminaba tres horas cada día para recoger agua. Mis hijos se enfermaban cada mes. Ahora seré la primera operadora certificada de desalinización solar de mi comunidad.”</w:t>
      </w:r>
    </w:p>
    <w:p>
      <w:pPr/>
      <w:r>
        <w:rPr>
          <w:rFonts w:ascii="Calibri" w:hAnsi="Calibri"/>
          <w:sz w:val="22"/>
          <w:szCs w:val="22"/>
        </w:rPr>
        <w:t xml:space="preserve">— María Pushaina, 34 años, madre de 3 hijos, comunidad Wayúu de Manaure, La Guajira</w:t>
      </w:r>
    </w:p>
    <w:p>
      <w:pPr/>
      <w:r>
        <w:rPr>
          <w:rFonts w:ascii="Calibri" w:hAnsi="Calibri"/>
          <w:sz w:val="22"/>
          <w:szCs w:val="22"/>
        </w:rPr>
        <w:t xml:space="preserve">María representa el impacto humano del proyecto. Antes de AQUA-8, dedicaba el 35% de su día a la recolección de agua, limitando su participación en actividades productivas y el cuidado de sus hijos. Sus hijos presentaban cuadros recurrentes de enfermedad diarreica aguda (EDA) por consumo de agua contaminada de jagüeyes (pozos estacionales). Con AQUA-8, María será capacitada como operadora técnica del sistema RO — un rol típicamente ocupado por hombres en la industria de desalinización — rompiendo barreras de género y generando un ingreso familiar de $250/mes (equivalente al salario mínimo rural colombiano).</w:t>
      </w:r>
    </w:p>
    <w:p>
      <w:pPr/>
      <w:r>
        <w:rPr>
          <w:rFonts w:ascii="Calibri" w:hAnsi="Calibri"/>
          <w:sz w:val="22"/>
          <w:szCs w:val="22"/>
        </w:rPr>
        <w:t xml:space="preserve">La historia de María no es un caso aislado: es el modelo de réplica. Cada unidad AQUA-8 capacitará a 1–2 operadores locales certificados, generando empleos verdes y transferencia tecnológica real. Este enfoque centrado en las personas — no solo en la tecnología — es lo que diferencia a AQUA-8 de una planta desalinizadora comercial.</w:t>
      </w:r>
    </w:p>
    <w:bookmarkEnd w:id="43"/>
    <w:bookmarkEnd w:id="44"/>
    <w:bookmarkStart w:id="61" w:name="descripción-técnica-del-sistema"/>
    <w:p>
      <w:pPr/>
      <w:r>
        <w:rPr>
          <w:rFonts w:ascii="Calibri" w:hAnsi="Calibri"/>
          <w:sz w:val="22"/>
          <w:szCs w:val="22"/>
        </w:rPr>
        <w:t xml:space="preserve">Nota: "María Pushaina" es un nombre compuesto representativo, basado en entrevistas etnográficas con mujeres Wayúu de Manaure (N=8, julio 2026). La historia refleja experiencias y aspiraciones compartidas por la comunidad, no un caso individual específico.</w:t>
      </w:r>
    </w:p>
    <w:p>
      <w:pPr>
        <w:pStyle w:val="2"/>
      </w:pPr>
      <w:r>
        <w:t xml:space="preserve">7. DESCRIPCIÓN TÉCNICA DEL SISTEMA</w:t>
      </w:r>
    </w:p>
    <w:bookmarkStart w:id="45" w:name="arquitectura-general"/>
    <w:p>
      <w:pPr>
        <w:pStyle w:val="3"/>
      </w:pPr>
      <w:r>
        <w:t xml:space="preserve">7.1 Arquitectura General</w:t>
      </w:r>
    </w:p>
    <w:p>
      <w:pPr>
        <w:pStyle w:val="FirstParagraph"/>
      </w:pPr>
      <w:r>
        <w:t xml:space="preserve">AQUA-8 AMDS se compone de</w:t>
      </w:r>
      <w:r>
        <w:t xml:space="preserve"> </w:t>
      </w:r>
      <w:r>
        <w:rPr>
          <w:b/>
          <w:bCs/>
        </w:rPr>
        <w:t xml:space="preserve">4 módulos funcionales</w:t>
      </w:r>
      <w:r>
        <w:t xml:space="preserve"> </w:t>
      </w:r>
      <w:r>
        <w:t xml:space="preserve">alojados en contenedores marítimos ISO 20’ (6.06 m × 2.44 m × 2.59 m). La arquitectura sigue el principio de</w:t>
      </w:r>
      <w:r>
        <w:t xml:space="preserve"> </w:t>
      </w:r>
      <w:r>
        <w:rPr>
          <w:b/>
          <w:bCs/>
        </w:rPr>
        <w:t xml:space="preserve">separación estricta de procesos húmedos y secos</w:t>
      </w:r>
      <w:r>
        <w:t xml:space="preserve">: los módulos A, B y C contienen procesos hidráulicos (tuberías, membranas, tanques), mientras que el módulo D alberga exclusivamente equipos eléctricos y electrónicos (VFD solar, PLC, UPS, comunicaciones).</w:t>
      </w:r>
    </w:p>
    <w:p>
      <w:pPr>
        <w:pStyle w:val="SourceCode"/>
      </w:pPr>
      <w:r>
        <w:rPr>
          <w:rStyle w:val="VerbatimChar"/>
        </w:rPr>
        <w:t xml:space="preserve">┌─────────────────────────────────────────────────────────────┐</w:t>
      </w:r>
      <w:r>
        <w:br/>
      </w:r>
      <w:r>
        <w:rPr>
          <w:rStyle w:val="VerbatimChar"/>
        </w:rPr>
        <w:t xml:space="preserve">│                  ARQUITECTURA AQUA-8 AMDS                     │</w:t>
      </w:r>
      <w:r>
        <w:br/>
      </w:r>
      <w:r>
        <w:rPr>
          <w:rStyle w:val="VerbatimChar"/>
        </w:rPr>
        <w:t xml:space="preserve">├───────────┬───────────┬───────────┬───────────┬───────────┤</w:t>
      </w:r>
      <w:r>
        <w:br/>
      </w:r>
      <w:r>
        <w:rPr>
          <w:rStyle w:val="VerbatimChar"/>
        </w:rPr>
        <w:t xml:space="preserve">│  MAR      │ MÓDULO A  │ MÓDULO B  │ MÓDULO C  │ MÓDULO D  │</w:t>
      </w:r>
      <w:r>
        <w:br/>
      </w:r>
      <w:r>
        <w:rPr>
          <w:rStyle w:val="VerbatimChar"/>
        </w:rPr>
        <w:t xml:space="preserve">│  CARIBE   │ Captación │  RO+ERD   │  Post-    │  Solar    │</w:t>
      </w:r>
      <w:r>
        <w:br/>
      </w:r>
      <w:r>
        <w:rPr>
          <w:rStyle w:val="VerbatimChar"/>
        </w:rPr>
        <w:t xml:space="preserve">│           │  y Pre-   │           │tratamiento│  + SCADA  │</w:t>
      </w:r>
      <w:r>
        <w:br/>
      </w:r>
      <w:r>
        <w:rPr>
          <w:rStyle w:val="VerbatimChar"/>
        </w:rPr>
        <w:t xml:space="preserve">│           │tratamiento│           │           │           │</w:t>
      </w:r>
      <w:r>
        <w:br/>
      </w:r>
      <w:r>
        <w:rPr>
          <w:rStyle w:val="VerbatimChar"/>
        </w:rPr>
        <w:t xml:space="preserve">│    ───►   │   ───►    │   ───►    │   ───►    │    ───►   │</w:t>
      </w:r>
      <w:r>
        <w:br/>
      </w:r>
      <w:r>
        <w:rPr>
          <w:rStyle w:val="VerbatimChar"/>
        </w:rPr>
        <w:t xml:space="preserve">│  Agua de  │  Filtros  │  RO + ERD │  UV +     │  PLC +    │</w:t>
      </w:r>
      <w:r>
        <w:br/>
      </w:r>
      <w:r>
        <w:rPr>
          <w:rStyle w:val="VerbatimChar"/>
        </w:rPr>
        <w:t xml:space="preserve">│  Mar      │  Multi-   │  HPP      │  Remine-  │  HMI +    │</w:t>
      </w:r>
      <w:r>
        <w:br/>
      </w:r>
      <w:r>
        <w:rPr>
          <w:rStyle w:val="VerbatimChar"/>
        </w:rPr>
        <w:t xml:space="preserve">│           │  media    │  0.975 kW │  raliz.   │  VFD      │</w:t>
      </w:r>
      <w:r>
        <w:br/>
      </w:r>
      <w:r>
        <w:rPr>
          <w:rStyle w:val="VerbatimChar"/>
        </w:rPr>
        <w:t xml:space="preserve">│           │           │           │           │  Solar    │</w:t>
      </w:r>
      <w:r>
        <w:br/>
      </w:r>
      <w:r>
        <w:rPr>
          <w:rStyle w:val="VerbatimChar"/>
        </w:rPr>
        <w:t xml:space="preserve">│           │  ──── Agua Producto ──►  3,000 L/día           │</w:t>
      </w:r>
      <w:r>
        <w:br/>
      </w:r>
      <w:r>
        <w:rPr>
          <w:rStyle w:val="VerbatimChar"/>
        </w:rPr>
        <w:t xml:space="preserve">│           │  ──── Salmuera ──► Salinas de Manaure           │</w:t>
      </w:r>
      <w:r>
        <w:br/>
      </w:r>
      <w:r>
        <w:rPr>
          <w:rStyle w:val="VerbatimChar"/>
        </w:rPr>
        <w:t xml:space="preserve">└───────────┴───────────┴───────────┴───────────┴───────────┘</w:t>
      </w:r>
    </w:p>
    <w:p>
      <w:pPr>
        <w:pStyle w:val="FirstParagraph"/>
      </w:pPr>
      <w:r>
        <w:rPr>
          <w:b/>
          <w:bCs/>
        </w:rPr>
        <w:t xml:space="preserve">Especificaciones Generales del Sistema: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Producción nominal</w:t>
            </w:r>
          </w:p>
        </w:tc>
        <w:tc>
          <w:tcPr/>
          <w:p>
            <w:pPr>
              <w:pStyle w:val="Compact"/>
              <w:jc w:val="left"/>
            </w:pPr>
            <w:r>
              <w:t xml:space="preserve">3.0 m³/día (3,000 L/día)</w:t>
            </w:r>
          </w:p>
        </w:tc>
      </w:tr>
      <w:tr>
        <w:tc>
          <w:tcPr/>
          <w:p>
            <w:pPr>
              <w:pStyle w:val="Compact"/>
              <w:jc w:val="left"/>
            </w:pPr>
            <w:r>
              <w:t xml:space="preserve">Ventana operativa solar</w:t>
            </w:r>
          </w:p>
        </w:tc>
        <w:tc>
          <w:tcPr/>
          <w:p>
            <w:pPr>
              <w:pStyle w:val="Compact"/>
              <w:jc w:val="left"/>
            </w:pPr>
            <w:r>
              <w:t xml:space="preserve">8 horas/día (08:00–16:00)</w:t>
            </w:r>
          </w:p>
        </w:tc>
      </w:tr>
      <w:tr>
        <w:tc>
          <w:tcPr/>
          <w:p>
            <w:pPr>
              <w:pStyle w:val="Compact"/>
              <w:jc w:val="left"/>
            </w:pPr>
            <w:r>
              <w:t xml:space="preserve">Caudal de permeado</w:t>
            </w:r>
          </w:p>
        </w:tc>
        <w:tc>
          <w:tcPr/>
          <w:p>
            <w:pPr>
              <w:pStyle w:val="Compact"/>
              <w:jc w:val="left"/>
            </w:pPr>
            <w:r>
              <w:t xml:space="preserve">0.375 m³/h (6.25 L/min)</w:t>
            </w:r>
          </w:p>
        </w:tc>
      </w:tr>
      <w:tr>
        <w:tc>
          <w:tcPr/>
          <w:p>
            <w:pPr>
              <w:pStyle w:val="Compact"/>
              <w:jc w:val="left"/>
            </w:pPr>
            <w:r>
              <w:t xml:space="preserve">Tasa de recuperación</w:t>
            </w:r>
          </w:p>
        </w:tc>
        <w:tc>
          <w:tcPr/>
          <w:p>
            <w:pPr>
              <w:pStyle w:val="Compact"/>
              <w:jc w:val="left"/>
            </w:pPr>
            <w:r>
              <w:t xml:space="preserve">37.5%</w:t>
            </w:r>
          </w:p>
        </w:tc>
      </w:tr>
      <w:tr>
        <w:tc>
          <w:tcPr/>
          <w:p>
            <w:pPr>
              <w:pStyle w:val="Compact"/>
              <w:jc w:val="left"/>
            </w:pPr>
            <w:r>
              <w:t xml:space="preserve">Caudal de alimentación</w:t>
            </w:r>
          </w:p>
        </w:tc>
        <w:tc>
          <w:tcPr/>
          <w:p>
            <w:pPr>
              <w:pStyle w:val="Compact"/>
              <w:jc w:val="left"/>
            </w:pPr>
            <w:r>
              <w:t xml:space="preserve">1.0 m³/h (16.7 L/min)</w:t>
            </w:r>
          </w:p>
        </w:tc>
      </w:tr>
      <w:tr>
        <w:tc>
          <w:tcPr/>
          <w:p>
            <w:pPr>
              <w:pStyle w:val="Compact"/>
              <w:jc w:val="left"/>
            </w:pPr>
            <w:r>
              <w:t xml:space="preserve">Calidad agua producto</w:t>
            </w:r>
          </w:p>
        </w:tc>
        <w:tc>
          <w:tcPr/>
          <w:p>
            <w:pPr>
              <w:pStyle w:val="Compact"/>
              <w:jc w:val="left"/>
            </w:pPr>
            <w:r>
              <w:t xml:space="preserve">&lt; 500 ppm TDS</w:t>
            </w:r>
          </w:p>
        </w:tc>
      </w:tr>
      <w:tr>
        <w:tc>
          <w:tcPr/>
          <w:p>
            <w:pPr>
              <w:pStyle w:val="Compact"/>
              <w:jc w:val="left"/>
            </w:pPr>
            <w:r>
              <w:t xml:space="preserve">Consumo energético tren RO</w:t>
            </w:r>
          </w:p>
        </w:tc>
        <w:tc>
          <w:tcPr/>
          <w:p>
            <w:pPr>
              <w:pStyle w:val="Compact"/>
              <w:jc w:val="left"/>
            </w:pPr>
            <w:r>
              <w:t xml:space="preserve">2.60 kWh/m³ (OE-01)</w:t>
            </w:r>
          </w:p>
        </w:tc>
      </w:tr>
      <w:tr>
        <w:tc>
          <w:tcPr/>
          <w:p>
            <w:pPr>
              <w:pStyle w:val="Compact"/>
              <w:jc w:val="left"/>
            </w:pPr>
            <w:r>
              <w:t xml:space="preserve">Consumo energético sistema completo</w:t>
            </w:r>
          </w:p>
        </w:tc>
        <w:tc>
          <w:tcPr/>
          <w:p>
            <w:pPr>
              <w:pStyle w:val="Compact"/>
              <w:jc w:val="left"/>
            </w:pPr>
            <w:r>
              <w:t xml:space="preserve">5.45 kWh/m³ (OE-01b)</w:t>
            </w:r>
          </w:p>
        </w:tc>
      </w:tr>
      <w:tr>
        <w:tc>
          <w:tcPr/>
          <w:p>
            <w:pPr>
              <w:pStyle w:val="Compact"/>
              <w:jc w:val="left"/>
            </w:pPr>
            <w:r>
              <w:t xml:space="preserve">Presión de operación</w:t>
            </w:r>
          </w:p>
        </w:tc>
        <w:tc>
          <w:tcPr/>
          <w:p>
            <w:pPr>
              <w:pStyle w:val="Compact"/>
              <w:jc w:val="left"/>
            </w:pPr>
            <w:r>
              <w:t xml:space="preserve">55–68 bar</w:t>
            </w:r>
          </w:p>
        </w:tc>
      </w:tr>
      <w:tr>
        <w:tc>
          <w:tcPr/>
          <w:p>
            <w:pPr>
              <w:pStyle w:val="Compact"/>
              <w:jc w:val="left"/>
            </w:pPr>
            <w:r>
              <w:t xml:space="preserve">Temperatura de diseño</w:t>
            </w:r>
          </w:p>
        </w:tc>
        <w:tc>
          <w:tcPr/>
          <w:p>
            <w:pPr>
              <w:pStyle w:val="Compact"/>
              <w:jc w:val="left"/>
            </w:pPr>
            <w:r>
              <w:t xml:space="preserve">25°C (promedio Caribe)</w:t>
            </w:r>
          </w:p>
        </w:tc>
      </w:tr>
      <w:tr>
        <w:tc>
          <w:tcPr/>
          <w:p>
            <w:pPr>
              <w:pStyle w:val="Compact"/>
              <w:jc w:val="left"/>
            </w:pPr>
            <w:r>
              <w:t xml:space="preserve">Paneles solares</w:t>
            </w:r>
          </w:p>
        </w:tc>
        <w:tc>
          <w:tcPr/>
          <w:p>
            <w:pPr>
              <w:pStyle w:val="Compact"/>
              <w:jc w:val="left"/>
            </w:pPr>
            <w:r>
              <w:t xml:space="preserve">10 × 500W (5.0 kWp total)</w:t>
            </w:r>
          </w:p>
        </w:tc>
      </w:tr>
      <w:tr>
        <w:tc>
          <w:tcPr/>
          <w:p>
            <w:pPr>
              <w:pStyle w:val="Compact"/>
              <w:jc w:val="left"/>
            </w:pPr>
            <w:r>
              <w:t xml:space="preserve">Baterías</w:t>
            </w:r>
          </w:p>
        </w:tc>
        <w:tc>
          <w:tcPr/>
          <w:p>
            <w:pPr>
              <w:pStyle w:val="Compact"/>
              <w:jc w:val="left"/>
            </w:pPr>
            <w:r>
              <w:t xml:space="preserve">No (solo UPS 24V para SCADA)</w:t>
            </w:r>
          </w:p>
        </w:tc>
      </w:tr>
      <w:tr>
        <w:tc>
          <w:tcPr/>
          <w:p>
            <w:pPr>
              <w:pStyle w:val="Compact"/>
              <w:jc w:val="left"/>
            </w:pPr>
            <w:r>
              <w:t xml:space="preserve">Instalación en sitio</w:t>
            </w:r>
          </w:p>
        </w:tc>
        <w:tc>
          <w:tcPr/>
          <w:p>
            <w:pPr>
              <w:pStyle w:val="Compact"/>
              <w:jc w:val="left"/>
            </w:pPr>
            <w:r>
              <w:t xml:space="preserve">&lt; 8 horas</w:t>
            </w:r>
          </w:p>
        </w:tc>
      </w:tr>
      <w:tr>
        <w:tc>
          <w:tcPr/>
          <w:p>
            <w:pPr>
              <w:pStyle w:val="Compact"/>
              <w:jc w:val="left"/>
            </w:pPr>
            <w:r>
              <w:t xml:space="preserve">Vida útil de diseño</w:t>
            </w:r>
          </w:p>
        </w:tc>
        <w:tc>
          <w:tcPr/>
          <w:p>
            <w:pPr>
              <w:pStyle w:val="Compact"/>
              <w:jc w:val="left"/>
            </w:pPr>
            <w:r>
              <w:t xml:space="preserve">10 años</w:t>
            </w:r>
          </w:p>
        </w:tc>
      </w:tr>
    </w:tbl>
    <w:bookmarkEnd w:id="45"/>
    <w:bookmarkStart w:id="48" w:name="módulo-a-captación-y-pre-tratamiento"/>
    <w:p>
      <w:pPr>
        <w:pStyle w:val="3"/>
      </w:pPr>
      <w:r>
        <w:t xml:space="preserve">7.2 Módulo A — Captación y Pre-tratamiento</w:t>
      </w:r>
    </w:p>
    <w:bookmarkStart w:id="46" w:name="captación-de-agua-de-mar-p-101"/>
    <w:p>
      <w:pPr>
        <w:pStyle w:val="4"/>
      </w:pPr>
      <w:r>
        <w:t xml:space="preserve">7.2.1 Captación de Agua de Mar (P-101)</w:t>
      </w:r>
    </w:p>
    <w:p>
      <w:pPr>
        <w:pStyle w:val="FirstParagraph"/>
      </w:pPr>
      <w:r>
        <w:t xml:space="preserve">El agua de mar se capta mediante una bomba sumergible en acero inoxidable AISI 316L, instalada a 200 m de la costa con tubería HDPE PE100 PN10 de 2”. La toma incluye rejilla de protección, boya de señalización y anclajes submarinos.</w:t>
      </w:r>
    </w:p>
    <w:p>
      <w:pPr>
        <w:pStyle w:val="Heading 4"/>
      </w:pPr>
      <w:r>
        <w:rPr>
          <w:b/>
          <w:rFonts w:ascii="Calibri" w:hAnsi="Calibri"/>
          <w:sz w:val="28"/>
          <w:szCs w:val="28"/>
        </w:rPr>
        <w:t xml:space="preserve">7.2.1.1 Evaluación de Riesgos de la Toma Submarina</w:t>
      </w:r>
    </w:p>
    <w:p>
      <w:pPr/>
      <w:r>
        <w:rPr>
          <w:rFonts w:ascii="Calibri" w:hAnsi="Calibri"/>
          <w:sz w:val="22"/>
          <w:szCs w:val="22"/>
        </w:rPr>
        <w:t xml:space="preserve">Riesgo de vandalismo / robo: En zonas costeras remotas, la tubería HDPE puede ser sustraída. Mitigación: Enterramiento de tubería en los primeros 50 m desde la playa (tramo accesible), uso de tubería de color arena para camuflaje visual, y vinculación de la comunidad Wayúu como custodios del sistema mediante acuerdo de uso y mantenimiento comunitario.</w:t>
      </w:r>
    </w:p>
    <w:p>
      <w:pPr/>
      <w:r>
        <w:rPr>
          <w:rFonts w:ascii="Calibri" w:hAnsi="Calibri"/>
          <w:sz w:val="22"/>
          <w:szCs w:val="22"/>
        </w:rPr>
        <w:t xml:space="preserve">Riesgo de oleaje de tormenta: Eventos de alto oleaje (tormentas tropicales, huracanes) pueden desplazar la tubería. Mitigación: Anclajes de concreto cada 25 m, tubería HDPE PE100 flexible que absorbe movimiento sin fractura, válvula check en cabezal de playa para evitar reflujo, y desconexión rápida mediante acople cam-lock en punto de playa.</w:t>
      </w:r>
    </w:p>
    <w:p>
      <w:pPr/>
      <w:r>
        <w:rPr>
          <w:rFonts w:ascii="Calibri" w:hAnsi="Calibri"/>
          <w:sz w:val="22"/>
          <w:szCs w:val="22"/>
        </w:rPr>
        <w:t xml:space="preserve">Riesgo de sedimentación costera: El movimiento de sedimentos litorales puede obstruir la rejilla de captación. Mitigación: Diseño de rejilla con velocidad de entrada &lt; 0.15 m/s, instalación de boya de señalización con sensor de presión diferencial, y programa de inspección bimensual con buzo local capacitado.</w:t>
      </w:r>
    </w:p>
    <w:p>
      <w:pPr/>
      <w:r>
        <w:rPr>
          <w:rFonts w:ascii="Calibri" w:hAnsi="Calibri"/>
          <w:sz w:val="22"/>
          <w:szCs w:val="22"/>
        </w:rPr>
        <w:t xml:space="preserve">La toma submarina a 200 m de la costa presenta riesgos identificados con sus mitigaciones: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Equipo</w:t>
            </w:r>
          </w:p>
        </w:tc>
        <w:tc>
          <w:tcPr/>
          <w:p>
            <w:pPr>
              <w:pStyle w:val="Compact"/>
              <w:jc w:val="left"/>
            </w:pPr>
            <w:r>
              <w:t xml:space="preserve">Tag</w:t>
            </w:r>
          </w:p>
        </w:tc>
        <w:tc>
          <w:tcPr/>
          <w:p>
            <w:pPr>
              <w:pStyle w:val="Compact"/>
              <w:jc w:val="left"/>
            </w:pPr>
            <w:r>
              <w:t xml:space="preserve">Especificación</w:t>
            </w:r>
          </w:p>
        </w:tc>
      </w:tr>
      <w:tr>
        <w:tc>
          <w:tcPr/>
          <w:p>
            <w:pPr>
              <w:pStyle w:val="Compact"/>
              <w:jc w:val="left"/>
            </w:pPr>
            <w:r>
              <w:t xml:space="preserve">Bomba sumergible</w:t>
            </w:r>
          </w:p>
        </w:tc>
        <w:tc>
          <w:tcPr/>
          <w:p>
            <w:pPr>
              <w:pStyle w:val="Compact"/>
              <w:jc w:val="left"/>
            </w:pPr>
            <w:r>
              <w:t xml:space="preserve">P-101</w:t>
            </w:r>
          </w:p>
        </w:tc>
        <w:tc>
          <w:tcPr/>
          <w:p>
            <w:pPr>
              <w:pStyle w:val="Compact"/>
              <w:jc w:val="left"/>
            </w:pPr>
            <w:r>
              <w:t xml:space="preserve">AISI 316L, 0.55 kW, 8 m³/día @ 20 m</w:t>
            </w:r>
          </w:p>
        </w:tc>
      </w:tr>
      <w:tr>
        <w:tc>
          <w:tcPr/>
          <w:p>
            <w:pPr>
              <w:pStyle w:val="Compact"/>
              <w:jc w:val="left"/>
            </w:pPr>
            <w:r>
              <w:t xml:space="preserve">Tubería captación</w:t>
            </w:r>
          </w:p>
        </w:tc>
        <w:tc>
          <w:tcPr/>
          <w:p>
            <w:pPr>
              <w:pStyle w:val="Compact"/>
              <w:jc w:val="left"/>
            </w:pPr>
            <w:r>
              <w:t xml:space="preserve">—</w:t>
            </w:r>
          </w:p>
        </w:tc>
        <w:tc>
          <w:tcPr/>
          <w:p>
            <w:pPr>
              <w:pStyle w:val="Compact"/>
              <w:jc w:val="left"/>
            </w:pPr>
            <w:r>
              <w:t xml:space="preserve">HDPE PE100 PN10, Ø 2”, 200 m</w:t>
            </w:r>
          </w:p>
        </w:tc>
      </w:tr>
      <w:tr>
        <w:tc>
          <w:tcPr/>
          <w:p>
            <w:pPr>
              <w:pStyle w:val="Compact"/>
              <w:jc w:val="left"/>
            </w:pPr>
            <w:r>
              <w:t xml:space="preserve">Sistema de anclaje</w:t>
            </w:r>
          </w:p>
        </w:tc>
        <w:tc>
          <w:tcPr/>
          <w:p>
            <w:pPr>
              <w:pStyle w:val="Compact"/>
              <w:jc w:val="left"/>
            </w:pPr>
            <w:r>
              <w:t xml:space="preserve">—</w:t>
            </w:r>
          </w:p>
        </w:tc>
        <w:tc>
          <w:tcPr/>
          <w:p>
            <w:pPr>
              <w:pStyle w:val="Compact"/>
              <w:jc w:val="left"/>
            </w:pPr>
            <w:r>
              <w:t xml:space="preserve">Lastres de concreto, cadena galvanizada</w:t>
            </w:r>
          </w:p>
        </w:tc>
      </w:tr>
    </w:tbl>
    <w:bookmarkEnd w:id="46"/>
    <w:bookmarkStart w:id="47" w:name="pre-tratamiento"/>
    <w:p>
      <w:pPr>
        <w:pStyle w:val="4"/>
      </w:pPr>
      <w:r>
        <w:t xml:space="preserve">7.2.2 Pre-tratamiento</w:t>
      </w:r>
    </w:p>
    <w:p>
      <w:pPr>
        <w:pStyle w:val="FirstParagraph"/>
      </w:pPr>
      <w:r>
        <w:t xml:space="preserve">El pre-tratamiento está diseñado para proteger las membranas de ósmosis inversa, garantizando un índice de densidad de sedimento (SDI) &lt; 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Etapa</w:t>
            </w:r>
          </w:p>
        </w:tc>
        <w:tc>
          <w:tcPr/>
          <w:p>
            <w:pPr>
              <w:pStyle w:val="Compact"/>
              <w:jc w:val="left"/>
            </w:pPr>
            <w:r>
              <w:t xml:space="preserve">Equipo</w:t>
            </w:r>
          </w:p>
        </w:tc>
        <w:tc>
          <w:tcPr/>
          <w:p>
            <w:pPr>
              <w:pStyle w:val="Compact"/>
              <w:jc w:val="left"/>
            </w:pPr>
            <w:r>
              <w:t xml:space="preserve">Tag</w:t>
            </w:r>
          </w:p>
        </w:tc>
        <w:tc>
          <w:tcPr/>
          <w:p>
            <w:pPr>
              <w:pStyle w:val="Compact"/>
              <w:jc w:val="left"/>
            </w:pPr>
            <w:r>
              <w:t xml:space="preserve">Función</w:t>
            </w:r>
          </w:p>
        </w:tc>
      </w:tr>
      <w:tr>
        <w:tc>
          <w:tcPr/>
          <w:p>
            <w:pPr>
              <w:pStyle w:val="Compact"/>
              <w:jc w:val="left"/>
            </w:pPr>
            <w:r>
              <w:t xml:space="preserve">1</w:t>
            </w:r>
          </w:p>
        </w:tc>
        <w:tc>
          <w:tcPr/>
          <w:p>
            <w:pPr>
              <w:pStyle w:val="Compact"/>
              <w:jc w:val="left"/>
            </w:pPr>
            <w:r>
              <w:t xml:space="preserve">Filtro auto-limpiante</w:t>
            </w:r>
          </w:p>
        </w:tc>
        <w:tc>
          <w:tcPr/>
          <w:p>
            <w:pPr>
              <w:pStyle w:val="Compact"/>
              <w:jc w:val="left"/>
            </w:pPr>
            <w:r>
              <w:t xml:space="preserve">F-101</w:t>
            </w:r>
          </w:p>
        </w:tc>
        <w:tc>
          <w:tcPr/>
          <w:p>
            <w:pPr>
              <w:pStyle w:val="Compact"/>
              <w:jc w:val="left"/>
            </w:pPr>
            <w:r>
              <w:t xml:space="preserve">Remoción de sólidos &gt; 200 μm</w:t>
            </w:r>
          </w:p>
        </w:tc>
      </w:tr>
      <w:tr>
        <w:tc>
          <w:tcPr/>
          <w:p>
            <w:pPr>
              <w:pStyle w:val="Compact"/>
              <w:jc w:val="left"/>
            </w:pPr>
            <w:r>
              <w:t xml:space="preserve">2</w:t>
            </w:r>
          </w:p>
        </w:tc>
        <w:tc>
          <w:tcPr/>
          <w:p>
            <w:pPr>
              <w:pStyle w:val="Compact"/>
              <w:jc w:val="left"/>
            </w:pPr>
            <w:r>
              <w:t xml:space="preserve">Filtro multimedia (arena + antracita)</w:t>
            </w:r>
          </w:p>
        </w:tc>
        <w:tc>
          <w:tcPr/>
          <w:p>
            <w:pPr>
              <w:pStyle w:val="Compact"/>
              <w:jc w:val="left"/>
            </w:pPr>
            <w:r>
              <w:t xml:space="preserve">F-102</w:t>
            </w:r>
          </w:p>
        </w:tc>
        <w:tc>
          <w:tcPr/>
          <w:p>
            <w:pPr>
              <w:pStyle w:val="Compact"/>
              <w:jc w:val="left"/>
            </w:pPr>
            <w:r>
              <w:t xml:space="preserve">Remoción de sólidos &gt; 50 μm</w:t>
            </w:r>
          </w:p>
        </w:tc>
      </w:tr>
      <w:tr>
        <w:tc>
          <w:tcPr/>
          <w:p>
            <w:pPr>
              <w:pStyle w:val="Compact"/>
              <w:jc w:val="left"/>
            </w:pPr>
            <w:r>
              <w:t xml:space="preserve">3</w:t>
            </w:r>
          </w:p>
        </w:tc>
        <w:tc>
          <w:tcPr/>
          <w:p>
            <w:pPr>
              <w:pStyle w:val="Compact"/>
              <w:jc w:val="left"/>
            </w:pPr>
            <w:r>
              <w:t xml:space="preserve">Filtro cartucho 5 μm</w:t>
            </w:r>
          </w:p>
        </w:tc>
        <w:tc>
          <w:tcPr/>
          <w:p>
            <w:pPr>
              <w:pStyle w:val="Compact"/>
              <w:jc w:val="left"/>
            </w:pPr>
            <w:r>
              <w:t xml:space="preserve">F-103</w:t>
            </w:r>
          </w:p>
        </w:tc>
        <w:tc>
          <w:tcPr/>
          <w:p>
            <w:pPr>
              <w:pStyle w:val="Compact"/>
              <w:jc w:val="left"/>
            </w:pPr>
            <w:r>
              <w:t xml:space="preserve">Protección de membrana</w:t>
            </w:r>
          </w:p>
        </w:tc>
      </w:tr>
      <w:tr>
        <w:tc>
          <w:tcPr/>
          <w:p>
            <w:pPr>
              <w:pStyle w:val="Compact"/>
              <w:jc w:val="left"/>
            </w:pPr>
            <w:r>
              <w:t xml:space="preserve">4</w:t>
            </w:r>
          </w:p>
        </w:tc>
        <w:tc>
          <w:tcPr/>
          <w:p>
            <w:pPr>
              <w:pStyle w:val="Compact"/>
              <w:jc w:val="left"/>
            </w:pPr>
            <w:r>
              <w:t xml:space="preserve">Filtro cartucho 1 μm</w:t>
            </w:r>
          </w:p>
        </w:tc>
        <w:tc>
          <w:tcPr/>
          <w:p>
            <w:pPr>
              <w:pStyle w:val="Compact"/>
              <w:jc w:val="left"/>
            </w:pPr>
            <w:r>
              <w:t xml:space="preserve">F-104</w:t>
            </w:r>
          </w:p>
        </w:tc>
        <w:tc>
          <w:tcPr/>
          <w:p>
            <w:pPr>
              <w:pStyle w:val="Compact"/>
              <w:jc w:val="left"/>
            </w:pPr>
            <w:r>
              <w:t xml:space="preserve">Protección final de membrana</w:t>
            </w:r>
          </w:p>
        </w:tc>
      </w:tr>
      <w:tr>
        <w:tc>
          <w:tcPr/>
          <w:p>
            <w:pPr>
              <w:pStyle w:val="Compact"/>
              <w:jc w:val="left"/>
            </w:pPr>
            <w:r>
              <w:t xml:space="preserve">5</w:t>
            </w:r>
          </w:p>
        </w:tc>
        <w:tc>
          <w:tcPr/>
          <w:p>
            <w:pPr>
              <w:pStyle w:val="Compact"/>
              <w:jc w:val="left"/>
            </w:pPr>
            <w:r>
              <w:t xml:space="preserve">Dosificación antiescalante</w:t>
            </w:r>
          </w:p>
        </w:tc>
        <w:tc>
          <w:tcPr/>
          <w:p>
            <w:pPr>
              <w:pStyle w:val="Compact"/>
              <w:jc w:val="left"/>
            </w:pPr>
            <w:r>
              <w:t xml:space="preserve">—</w:t>
            </w:r>
          </w:p>
        </w:tc>
        <w:tc>
          <w:tcPr/>
          <w:p>
            <w:pPr>
              <w:pStyle w:val="Compact"/>
              <w:jc w:val="left"/>
            </w:pPr>
            <w:r>
              <w:t xml:space="preserve">2–3 ppm, prevención CaCO₃, CaSO₄</w:t>
            </w:r>
          </w:p>
        </w:tc>
      </w:tr>
    </w:tbl>
    <w:bookmarkEnd w:id="47"/>
    <w:bookmarkEnd w:id="48"/>
    <w:bookmarkStart w:id="52" w:name="Xfddb2efb5bb61f1c9990cd3627dfdbc786aa4aa"/>
    <w:p>
      <w:pPr>
        <w:pStyle w:val="3"/>
      </w:pPr>
      <w:r>
        <w:t xml:space="preserve">7.3 Módulo B — Ósmosis Inversa y Recuperación de Energía</w:t>
      </w:r>
    </w:p>
    <w:bookmarkStart w:id="49" w:name="bomba-de-alta-presión-p-201"/>
    <w:p>
      <w:pPr>
        <w:pStyle w:val="4"/>
      </w:pPr>
      <w:r>
        <w:t xml:space="preserve">7.3.1 Bomba de Alta Presión (P-201)</w:t>
      </w:r>
    </w:p>
    <w:p>
      <w:pPr>
        <w:pStyle w:val="FirstParagraph"/>
      </w:pPr>
      <w:r>
        <w:t xml:space="preserve">Bomba centrífuga multietapa horizontal en acero inoxidable 316, diseñada para operar a 55–68 bar con caudal de 1.0 m³/h. Incluye</w:t>
      </w:r>
      <w:r>
        <w:t xml:space="preserve"> </w:t>
      </w:r>
      <w:r>
        <w:rPr>
          <w:b/>
          <w:bCs/>
        </w:rPr>
        <w:t xml:space="preserve">VFD solar directo (DC-coupled)</w:t>
      </w:r>
      <w:r>
        <w:t xml:space="preserve"> </w:t>
      </w:r>
      <w:r>
        <w:t xml:space="preserve">que ajusta dinámicamente la velocidad de la bomba según la radiación solar disponible, eliminando la necesidad de inversor AC intermedio.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Potencia nominal</w:t>
            </w:r>
          </w:p>
        </w:tc>
        <w:tc>
          <w:tcPr/>
          <w:p>
            <w:pPr>
              <w:pStyle w:val="Compact"/>
              <w:jc w:val="left"/>
            </w:pPr>
            <w:r>
              <w:t xml:space="preserve">0.975 kW (con ERD)</w:t>
            </w:r>
          </w:p>
        </w:tc>
      </w:tr>
      <w:tr>
        <w:tc>
          <w:tcPr/>
          <w:p>
            <w:pPr>
              <w:pStyle w:val="Compact"/>
              <w:jc w:val="left"/>
            </w:pPr>
            <w:r>
              <w:t xml:space="preserve">Caudal de diseño</w:t>
            </w:r>
          </w:p>
        </w:tc>
        <w:tc>
          <w:tcPr/>
          <w:p>
            <w:pPr>
              <w:pStyle w:val="Compact"/>
              <w:jc w:val="left"/>
            </w:pPr>
            <w:r>
              <w:t xml:space="preserve">1.0 m³/h (16.7 L/min)</w:t>
            </w:r>
          </w:p>
        </w:tc>
      </w:tr>
      <w:tr>
        <w:tc>
          <w:tcPr/>
          <w:p>
            <w:pPr>
              <w:pStyle w:val="Compact"/>
              <w:jc w:val="left"/>
            </w:pPr>
            <w:r>
              <w:t xml:space="preserve">Presión de descarga</w:t>
            </w:r>
          </w:p>
        </w:tc>
        <w:tc>
          <w:tcPr/>
          <w:p>
            <w:pPr>
              <w:pStyle w:val="Compact"/>
              <w:jc w:val="left"/>
            </w:pPr>
            <w:r>
              <w:t xml:space="preserve">55–68 bar</w:t>
            </w:r>
          </w:p>
        </w:tc>
      </w:tr>
      <w:tr>
        <w:tc>
          <w:tcPr/>
          <w:p>
            <w:pPr>
              <w:pStyle w:val="Compact"/>
              <w:jc w:val="left"/>
            </w:pPr>
            <w:r>
              <w:t xml:space="preserve">Eficiencia del motor</w:t>
            </w:r>
          </w:p>
        </w:tc>
        <w:tc>
          <w:tcPr/>
          <w:p>
            <w:pPr>
              <w:pStyle w:val="Compact"/>
              <w:jc w:val="left"/>
            </w:pPr>
            <w:r>
              <w:t xml:space="preserve">IE5, 95%</w:t>
            </w:r>
          </w:p>
        </w:tc>
      </w:tr>
      <w:tr>
        <w:tc>
          <w:tcPr/>
          <w:p>
            <w:pPr>
              <w:pStyle w:val="Compact"/>
              <w:jc w:val="left"/>
            </w:pPr>
            <w:r>
              <w:t xml:space="preserve">Material</w:t>
            </w:r>
          </w:p>
        </w:tc>
        <w:tc>
          <w:tcPr/>
          <w:p>
            <w:pPr>
              <w:pStyle w:val="Compact"/>
              <w:jc w:val="left"/>
            </w:pPr>
            <w:r>
              <w:t xml:space="preserve">AISI 316L / Duplex SS 2205</w:t>
            </w:r>
          </w:p>
        </w:tc>
      </w:tr>
      <w:tr>
        <w:tc>
          <w:tcPr/>
          <w:p>
            <w:pPr>
              <w:pStyle w:val="Compact"/>
              <w:jc w:val="left"/>
            </w:pPr>
            <w:r>
              <w:t xml:space="preserve">Alimentación</w:t>
            </w:r>
          </w:p>
        </w:tc>
        <w:tc>
          <w:tcPr/>
          <w:p>
            <w:pPr>
              <w:pStyle w:val="Compact"/>
              <w:jc w:val="left"/>
            </w:pPr>
            <w:r>
              <w:t xml:space="preserve">DC directo desde string PV (450V DC)</w:t>
            </w:r>
          </w:p>
        </w:tc>
      </w:tr>
      <w:tr>
        <w:tc>
          <w:tcPr/>
          <w:p>
            <w:pPr>
              <w:pStyle w:val="Compact"/>
              <w:jc w:val="left"/>
            </w:pPr>
            <w:r>
              <w:t xml:space="preserve">Control</w:t>
            </w:r>
          </w:p>
        </w:tc>
        <w:tc>
          <w:tcPr/>
          <w:p>
            <w:pPr>
              <w:pStyle w:val="Compact"/>
              <w:jc w:val="left"/>
            </w:pPr>
            <w:r>
              <w:t xml:space="preserve">VFD con MPPT integrado</w:t>
            </w:r>
          </w:p>
        </w:tc>
      </w:tr>
    </w:tbl>
    <w:bookmarkEnd w:id="49"/>
    <w:bookmarkStart w:id="50" w:name="membrana-swro-ro-201"/>
    <w:p>
      <w:pPr>
        <w:pStyle w:val="4"/>
      </w:pPr>
      <w:r>
        <w:t xml:space="preserve">7.3.2 Membrana SWRO (RO-201)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Modelo</w:t>
            </w:r>
          </w:p>
        </w:tc>
        <w:tc>
          <w:tcPr/>
          <w:p>
            <w:pPr>
              <w:pStyle w:val="Compact"/>
              <w:jc w:val="left"/>
            </w:pPr>
            <w:r>
              <w:t>Filmtec SW30HRLE-4040 (o equivalente Hydranautics SWC5-LD-4040)</w:t>
            </w:r>
          </w:p>
        </w:tc>
      </w:tr>
      <w:tr>
        <w:tc>
          <w:tcPr/>
          <w:p>
            <w:pPr>
              <w:pStyle w:val="Compact"/>
              <w:jc w:val="left"/>
            </w:pPr>
            <w:r>
              <w:t xml:space="preserve">Tipo</w:t>
            </w:r>
          </w:p>
        </w:tc>
        <w:tc>
          <w:tcPr/>
          <w:p>
            <w:pPr>
              <w:pStyle w:val="Compact"/>
              <w:jc w:val="left"/>
            </w:pPr>
            <w:r>
              <w:t xml:space="preserve">Poliamida TFC (Thin Film Composite)</w:t>
            </w:r>
          </w:p>
        </w:tc>
      </w:tr>
      <w:tr>
        <w:tc>
          <w:tcPr/>
          <w:p>
            <w:pPr>
              <w:pStyle w:val="Compact"/>
              <w:jc w:val="left"/>
            </w:pPr>
            <w:r>
              <w:t xml:space="preserve">Área activa</w:t>
            </w:r>
          </w:p>
        </w:tc>
        <w:tc>
          <w:tcPr/>
          <w:p>
            <w:pPr>
              <w:pStyle w:val="Compact"/>
              <w:jc w:val="left"/>
            </w:pPr>
            <w:r>
              <w:t xml:space="preserve">7.6 m² por elemento</w:t>
            </w:r>
          </w:p>
        </w:tc>
      </w:tr>
      <w:tr>
        <w:tc>
          <w:tcPr/>
          <w:p>
            <w:pPr>
              <w:pStyle w:val="Compact"/>
              <w:jc w:val="left"/>
            </w:pPr>
            <w:r>
              <w:t xml:space="preserve">Rechazo de sales</w:t>
            </w:r>
          </w:p>
        </w:tc>
        <w:tc>
          <w:tcPr/>
          <w:p>
            <w:pPr>
              <w:pStyle w:val="Compact"/>
              <w:jc w:val="left"/>
            </w:pPr>
            <w:r>
              <w:t xml:space="preserve">&gt; 99%</w:t>
            </w:r>
          </w:p>
        </w:tc>
      </w:tr>
      <w:tr>
        <w:tc>
          <w:tcPr/>
          <w:p>
            <w:pPr>
              <w:pStyle w:val="Compact"/>
              <w:jc w:val="left"/>
            </w:pPr>
            <w:r>
              <w:t xml:space="preserve">Flujo de permeado</w:t>
            </w:r>
          </w:p>
        </w:tc>
        <w:tc>
          <w:tcPr/>
          <w:p>
            <w:pPr>
              <w:pStyle w:val="Compact"/>
              <w:jc w:val="left"/>
            </w:pPr>
            <w:r>
              <w:t xml:space="preserve">1,500 L/día por membrana</w:t>
            </w:r>
          </w:p>
        </w:tc>
      </w:tr>
      <w:tr>
        <w:tc>
          <w:tcPr/>
          <w:p>
            <w:pPr>
              <w:pStyle w:val="Compact"/>
              <w:jc w:val="left"/>
            </w:pPr>
            <w:r>
              <w:t xml:space="preserve">Cantidad</w:t>
            </w:r>
          </w:p>
        </w:tc>
        <w:tc>
          <w:tcPr/>
          <w:p>
            <w:pPr>
              <w:pStyle w:val="Compact"/>
              <w:jc w:val="left"/>
            </w:pPr>
            <w:r>
              <w:t>2 vessels x 1 elemento en paralelo</w:t>
            </w:r>
          </w:p>
        </w:tc>
      </w:tr>
      <w:tr>
        <w:tc>
          <w:tcPr/>
          <w:p>
            <w:pPr>
              <w:pStyle w:val="Compact"/>
              <w:jc w:val="left"/>
            </w:pPr>
            <w:r>
              <w:t xml:space="preserve">Arreglo</w:t>
            </w:r>
          </w:p>
        </w:tc>
        <w:tc>
          <w:tcPr/>
          <w:p>
            <w:pPr>
              <w:pStyle w:val="Compact"/>
              <w:jc w:val="left"/>
            </w:pPr>
            <w:r>
              <w:t>1 etapa, 2 vessel (paralelo) — flujo por elemento: 2.25 m³/día (seguro)</w:t>
            </w:r>
          </w:p>
        </w:tc>
      </w:tr>
    </w:tbl>
    <w:p>
      <w:pPr>
        <w:pStyle w:val="aa"/>
      </w:pPr>
      <w:r>
        <w:rPr>
          <w:b/>
        </w:rPr>
        <w:t xml:space="preserve">Nota de verificación de membranas (corregido): </w:t>
      </w:r>
      <w:r>
        <w:t>Con Qp = 0.375 m³/h (9.0 m³/día total), se especifica la membrana SW30HRLE-4040 (agua de mar, 35,000 ppm TDS) con 2 vessels × 1 elemento en paralelo. El flujo por elemento es de 2.25 m³/día (0.1875 m³/h), dentro del rango seguro del fabricante (máx. 4.1 m³/día a 25°C). Presión de operación: 60 bar con ERD. SEC: 2.60 kWh/m³. La configuración en paralelo ofrece redundancia: si un elemento requiere mantenimiento, el otro opera al 50% de capacidad nominal (1.125 m³/día) hasta completar el servicio.</w:t>
      </w:r>
    </w:p>
    <w:bookmarkEnd w:id="50"/>
    <w:bookmarkStart w:id="51" w:name="recuperador-de-energía-erd-201"/>
    <w:p>
      <w:pPr>
        <w:pStyle w:val="4"/>
      </w:pPr>
      <w:r>
        <w:t xml:space="preserve">7.3.3 Recuperador de Energía (ERD-201)</w:t>
      </w:r>
    </w:p>
    <w:p>
      <w:pPr>
        <w:pStyle w:val="FirstParagraph"/>
      </w:pPr>
      <w:r>
        <w:t xml:space="preserve">Sistema isobárico de recuperación de presión que captura la energía hidráulica de la corriente de salmuera (62.5% del caudal de entrada a ~63 bar) y la transfiere directamente al agua de alimentación, reduciendo el consumo energético hasta un 55%.</w:t>
      </w:r>
    </w:p>
    <w:p>
      <w:pPr>
        <w:pStyle w:val="Heading 4"/>
      </w:pPr>
      <w:r>
        <w:rPr>
          <w:b/>
          <w:rFonts w:ascii="Calibri" w:hAnsi="Calibri"/>
          <w:sz w:val="28"/>
          <w:szCs w:val="28"/>
        </w:rPr>
        <w:t xml:space="preserve">7.3.4 Análisis de Redundancia del ERD y Estrategia de Bypass</w:t>
      </w:r>
    </w:p>
    <w:p>
      <w:pPr/>
      <w:r>
        <w:rPr>
          <w:rFonts w:ascii="Calibri" w:hAnsi="Calibri"/>
          <w:sz w:val="22"/>
          <w:szCs w:val="22"/>
        </w:rPr>
        <w:t xml:space="preserve">La estrategia anterior garantiza que el sistema nunca quede totalmente fuera de servicio por falla del ERD, alineándose con el objetivo de disponibilidad &gt; 95%.</w:t>
      </w:r>
    </w:p>
    <w:p>
      <w:pPr/>
      <w:r>
        <w:rPr>
          <w:rFonts w:ascii="Calibri" w:hAnsi="Calibri"/>
          <w:sz w:val="22"/>
          <w:szCs w:val="22"/>
        </w:rPr>
        <w:t>Estrategia de redundancia y mitigación: (1) Bypass hidráulico con válvula de 3 vías: permite desviar el flujo de salmuera directamente al drenaje, operando el sistema en modo sin ERD con producción reducida. (2) Modo degradado: ante falla del ERD, el VFD reduce automáticamente la velocidad de la bomba HP al 65% (0.63 kW), manteniendo producción de ~0.87 m³/día dentro de la ventana solar de 8 horas. (3) Repuesto en sitio: se incluye un ERD de respaldo Danfoss iSave 21 en el inventario crítico (costo adicional estimado USD $5,500). (4) Monitoreo predictivo: el SCADA monitorea eficiencia del ERD en tiempo real (relación Q_rechazo / P_recuperada) y genera alerta temprana si la eficiencia cae por debajo del 85%, permitiendo mantenimiento programado.</w:t>
      </w:r>
    </w:p>
    <w:p>
      <w:pPr/>
      <w:r>
        <w:rPr>
          <w:rFonts w:ascii="Calibri" w:hAnsi="Calibri"/>
          <w:sz w:val="22"/>
          <w:szCs w:val="22"/>
        </w:rPr>
        <w:t xml:space="preserve">El ERD isobárico (ERD-201) es un componente crítico: su eficiencia del 92% permite reducir el SEC del tren RO de 5.81 kWh/m³ a 2.60 kWh/m³. Sin embargo, una falla del ERD incrementaría el consumo energético en un 123%, superando potencialmente la capacidad del sistema fotovoltaico en horas de baja radiación.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Tipo</w:t>
            </w:r>
          </w:p>
        </w:tc>
        <w:tc>
          <w:tcPr/>
          <w:p>
            <w:pPr>
              <w:pStyle w:val="Compact"/>
              <w:jc w:val="left"/>
            </w:pPr>
            <w:r>
              <w:t>Isobárico (Danfoss iSave 21 (1–4 m³/h, 70 bar máx.) o Clark Pump equivalente)</w:t>
            </w:r>
          </w:p>
        </w:tc>
      </w:tr>
      <w:tr>
        <w:tc>
          <w:tcPr/>
          <w:p>
            <w:pPr>
              <w:pStyle w:val="Compact"/>
              <w:jc w:val="left"/>
            </w:pPr>
            <w:r>
              <w:t xml:space="preserve">Eficiencia de transferencia</w:t>
            </w:r>
          </w:p>
        </w:tc>
        <w:tc>
          <w:tcPr/>
          <w:p>
            <w:pPr>
              <w:pStyle w:val="Compact"/>
              <w:jc w:val="left"/>
            </w:pPr>
            <w:r>
              <w:t xml:space="preserve">92%</w:t>
            </w:r>
          </w:p>
        </w:tc>
      </w:tr>
      <w:tr>
        <w:tc>
          <w:tcPr/>
          <w:p>
            <w:pPr>
              <w:pStyle w:val="Compact"/>
              <w:jc w:val="left"/>
            </w:pPr>
            <w:r>
              <w:t xml:space="preserve">Potencia recuperada</w:t>
            </w:r>
          </w:p>
        </w:tc>
        <w:tc>
          <w:tcPr/>
          <w:p>
            <w:pPr>
              <w:pStyle w:val="Compact"/>
              <w:jc w:val="left"/>
            </w:pPr>
            <w:r>
              <w:t xml:space="preserve">~1.25 kW</w:t>
            </w:r>
          </w:p>
        </w:tc>
      </w:tr>
      <w:tr>
        <w:tc>
          <w:tcPr/>
          <w:p>
            <w:pPr>
              <w:pStyle w:val="Compact"/>
              <w:jc w:val="left"/>
            </w:pPr>
            <w:r>
              <w:t xml:space="preserve">Reducción de consumo HPP</w:t>
            </w:r>
          </w:p>
        </w:tc>
        <w:tc>
          <w:tcPr/>
          <w:p>
            <w:pPr>
              <w:pStyle w:val="Compact"/>
              <w:jc w:val="left"/>
            </w:pPr>
            <w:r>
              <w:t xml:space="preserve">55%</w:t>
            </w:r>
          </w:p>
        </w:tc>
      </w:tr>
    </w:tbl>
    <w:bookmarkEnd w:id="51"/>
    <w:bookmarkEnd w:id="52"/>
    <w:bookmarkStart w:id="55" w:name="X19a351422148dcb912abd7bbe8328b5c64243df"/>
    <w:p>
      <w:pPr>
        <w:pStyle w:val="3"/>
      </w:pPr>
      <w:r>
        <w:t xml:space="preserve">7.4 Módulo C — Post-tratamiento y Almacenamiento</w:t>
      </w:r>
    </w:p>
    <w:bookmarkStart w:id="53" w:name="post-tratamiento"/>
    <w:p>
      <w:pPr>
        <w:pStyle w:val="4"/>
      </w:pPr>
      <w:r>
        <w:t xml:space="preserve">7.4.1 Post-tratamiento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Etapa</w:t>
            </w:r>
          </w:p>
        </w:tc>
        <w:tc>
          <w:tcPr/>
          <w:p>
            <w:pPr>
              <w:pStyle w:val="Compact"/>
              <w:jc w:val="left"/>
            </w:pPr>
            <w:r>
              <w:t xml:space="preserve">Equipo</w:t>
            </w:r>
          </w:p>
        </w:tc>
        <w:tc>
          <w:tcPr/>
          <w:p>
            <w:pPr>
              <w:pStyle w:val="Compact"/>
              <w:jc w:val="left"/>
            </w:pPr>
            <w:r>
              <w:t xml:space="preserve">Tag</w:t>
            </w:r>
          </w:p>
        </w:tc>
        <w:tc>
          <w:tcPr/>
          <w:p>
            <w:pPr>
              <w:pStyle w:val="Compact"/>
              <w:jc w:val="left"/>
            </w:pPr>
            <w:r>
              <w:t xml:space="preserve">Función</w:t>
            </w:r>
          </w:p>
        </w:tc>
      </w:tr>
      <w:tr>
        <w:tc>
          <w:tcPr/>
          <w:p>
            <w:pPr>
              <w:pStyle w:val="Compact"/>
              <w:jc w:val="left"/>
            </w:pPr>
            <w:r>
              <w:t xml:space="preserve">1</w:t>
            </w:r>
          </w:p>
        </w:tc>
        <w:tc>
          <w:tcPr/>
          <w:p>
            <w:pPr>
              <w:pStyle w:val="Compact"/>
              <w:jc w:val="left"/>
            </w:pPr>
            <w:r>
              <w:t xml:space="preserve">Tanque de permeado</w:t>
            </w:r>
          </w:p>
        </w:tc>
        <w:tc>
          <w:tcPr/>
          <w:p>
            <w:pPr>
              <w:pStyle w:val="Compact"/>
              <w:jc w:val="left"/>
            </w:pPr>
            <w:r>
              <w:t xml:space="preserve">TK-301</w:t>
            </w:r>
          </w:p>
        </w:tc>
        <w:tc>
          <w:tcPr/>
          <w:p>
            <w:pPr>
              <w:pStyle w:val="Compact"/>
              <w:jc w:val="left"/>
            </w:pPr>
            <w:r>
              <w:t xml:space="preserve">500 L, polietileno sanitario</w:t>
            </w:r>
          </w:p>
        </w:tc>
      </w:tr>
      <w:tr>
        <w:tc>
          <w:tcPr/>
          <w:p>
            <w:pPr>
              <w:pStyle w:val="Compact"/>
              <w:jc w:val="left"/>
            </w:pPr>
            <w:r>
              <w:t xml:space="preserve">2</w:t>
            </w:r>
          </w:p>
        </w:tc>
        <w:tc>
          <w:tcPr/>
          <w:p>
            <w:pPr>
              <w:pStyle w:val="Compact"/>
              <w:jc w:val="left"/>
            </w:pPr>
            <w:r>
              <w:t xml:space="preserve">Filtro de calcita</w:t>
            </w:r>
          </w:p>
        </w:tc>
        <w:tc>
          <w:tcPr/>
          <w:p>
            <w:pPr>
              <w:pStyle w:val="Compact"/>
              <w:jc w:val="left"/>
            </w:pPr>
            <w:r>
              <w:t xml:space="preserve">F-301</w:t>
            </w:r>
          </w:p>
        </w:tc>
        <w:tc>
          <w:tcPr/>
          <w:p>
            <w:pPr>
              <w:pStyle w:val="Compact"/>
              <w:jc w:val="left"/>
            </w:pPr>
            <w:r>
              <w:t xml:space="preserve">Remineralización pasiva, pH 7.0–7.5</w:t>
            </w:r>
          </w:p>
        </w:tc>
      </w:tr>
      <w:tr>
        <w:tc>
          <w:tcPr/>
          <w:p>
            <w:pPr>
              <w:pStyle w:val="Compact"/>
              <w:jc w:val="left"/>
            </w:pPr>
            <w:r>
              <w:t xml:space="preserve">3</w:t>
            </w:r>
          </w:p>
        </w:tc>
        <w:tc>
          <w:tcPr/>
          <w:p>
            <w:pPr>
              <w:pStyle w:val="Compact"/>
              <w:jc w:val="left"/>
            </w:pPr>
            <w:r>
              <w:t xml:space="preserve">Lámpara UV</w:t>
            </w:r>
          </w:p>
        </w:tc>
        <w:tc>
          <w:tcPr/>
          <w:p>
            <w:pPr>
              <w:pStyle w:val="Compact"/>
              <w:jc w:val="left"/>
            </w:pPr>
            <w:r>
              <w:t xml:space="preserve">UV-301</w:t>
            </w:r>
          </w:p>
        </w:tc>
        <w:tc>
          <w:tcPr/>
          <w:p>
            <w:pPr>
              <w:pStyle w:val="Compact"/>
              <w:jc w:val="left"/>
            </w:pPr>
            <w:r>
              <w:t xml:space="preserve">30 W, flujo 208 L/h, desinfección final</w:t>
            </w:r>
          </w:p>
        </w:tc>
      </w:tr>
    </w:tbl>
    <w:bookmarkEnd w:id="53"/>
    <w:bookmarkStart w:id="54" w:name="almacenamiento"/>
    <w:p>
      <w:pPr>
        <w:pStyle w:val="4"/>
      </w:pPr>
      <w:r>
        <w:t xml:space="preserve">7.4.2 Almacenamiento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Equipo</w:t>
            </w:r>
          </w:p>
        </w:tc>
        <w:tc>
          <w:tcPr/>
          <w:p>
            <w:pPr>
              <w:pStyle w:val="Compact"/>
              <w:jc w:val="left"/>
            </w:pPr>
            <w:r>
              <w:t xml:space="preserve">Tag</w:t>
            </w:r>
          </w:p>
        </w:tc>
        <w:tc>
          <w:tcPr/>
          <w:p>
            <w:pPr>
              <w:pStyle w:val="Compact"/>
              <w:jc w:val="left"/>
            </w:pPr>
            <w:r>
              <w:t xml:space="preserve">Especificación</w:t>
            </w:r>
          </w:p>
        </w:tc>
      </w:tr>
      <w:tr>
        <w:tc>
          <w:tcPr/>
          <w:p>
            <w:pPr>
              <w:pStyle w:val="Compact"/>
              <w:jc w:val="left"/>
            </w:pPr>
            <w:r>
              <w:t xml:space="preserve">Tanque de almacenamiento</w:t>
            </w:r>
          </w:p>
        </w:tc>
        <w:tc>
          <w:tcPr/>
          <w:p>
            <w:pPr>
              <w:pStyle w:val="Compact"/>
              <w:jc w:val="left"/>
            </w:pPr>
            <w:r>
              <w:t xml:space="preserve">TK-302</w:t>
            </w:r>
          </w:p>
        </w:tc>
        <w:tc>
          <w:tcPr/>
          <w:p>
            <w:pPr>
              <w:pStyle w:val="Compact"/>
              <w:jc w:val="left"/>
            </w:pPr>
            <w:r>
              <w:t xml:space="preserve">5,000 L, polietileno rotomoldeado, negro UV</w:t>
            </w:r>
          </w:p>
        </w:tc>
      </w:tr>
      <w:tr>
        <w:tc>
          <w:tcPr/>
          <w:p>
            <w:pPr>
              <w:pStyle w:val="Compact"/>
              <w:jc w:val="left"/>
            </w:pPr>
            <w:r>
              <w:t xml:space="preserve">Válvula de derivación</w:t>
            </w:r>
          </w:p>
        </w:tc>
        <w:tc>
          <w:tcPr/>
          <w:p>
            <w:pPr>
              <w:pStyle w:val="Compact"/>
              <w:jc w:val="left"/>
            </w:pPr>
            <w:r>
              <w:t xml:space="preserve">CV-301</w:t>
            </w:r>
          </w:p>
        </w:tc>
        <w:tc>
          <w:tcPr/>
          <w:p>
            <w:pPr>
              <w:pStyle w:val="Compact"/>
              <w:jc w:val="left"/>
            </w:pPr>
            <w:r>
              <w:t xml:space="preserve">3 vías, deriva a drenaje si TDS &gt; 500 ppm</w:t>
            </w:r>
          </w:p>
        </w:tc>
      </w:tr>
    </w:tbl>
    <w:p>
      <w:pPr>
        <w:pStyle w:val="aa"/>
      </w:pPr>
      <w:r>
        <w:rPr>
          <w:b/>
          <w:bCs/>
        </w:rPr>
        <w:t xml:space="preserve">Water-as-Battery:</w:t>
      </w:r>
      <w:r>
        <w:t xml:space="preserve"> </w:t>
      </w:r>
      <w:r>
        <w:t xml:space="preserve">El tanque de 5,000 L almacena 1.67 días de producción, eliminando la necesidad de baterías electroquímicas costosas. La energía solar excedente se convierte en agua almacenada.</w:t>
      </w:r>
    </w:p>
    <w:bookmarkEnd w:id="54"/>
    <w:bookmarkEnd w:id="55"/>
    <w:bookmarkStart w:id="60" w:name="Xec875f6319afc6a5ea72730cae2a60ae875ede8"/>
    <w:p>
      <w:pPr>
        <w:pStyle w:val="3"/>
      </w:pPr>
      <w:r>
        <w:t xml:space="preserve">7.5 Módulo D — Sistema Fotovoltaico, SCADA y Telecomunicaciones</w:t>
      </w:r>
    </w:p>
    <w:bookmarkStart w:id="56" w:name="X996cd781ac209d72283f229fa3a45d0db90f34e"/>
    <w:p>
      <w:pPr>
        <w:pStyle w:val="4"/>
      </w:pPr>
      <w:r>
        <w:t xml:space="preserve">7.5.1 Sistema Fotovoltaico (Arquitectura</w:t>
      </w:r>
      <w:r>
        <w:t xml:space="preserve"> </w:t>
      </w:r>
      <w:r>
        <w:t xml:space="preserve">“</w:t>
      </w:r>
      <w:r>
        <w:t xml:space="preserve">Water-as-Battery</w:t>
      </w:r>
      <w:r>
        <w:t xml:space="preserve">”</w:t>
      </w:r>
      <w:r>
        <w:t xml:space="preserve">)</w:t>
      </w:r>
    </w:p>
    <w:p>
      <w:pPr>
        <w:pStyle w:val="FirstParagraph"/>
      </w:pPr>
      <w:r>
        <w:t xml:space="preserve">El sistema opera</w:t>
      </w:r>
      <w:r>
        <w:t xml:space="preserve"> </w:t>
      </w:r>
      <w:r>
        <w:rPr>
          <w:b/>
          <w:bCs/>
        </w:rPr>
        <w:t xml:space="preserve">sin baterías electroquímicas de gran capacidad</w:t>
      </w:r>
      <w:r>
        <w:t xml:space="preserve">. La producción de agua se ajusta en tiempo real a la radiación solar disponible mediante control de velocidad de la bomba de alta presión (VFD solar directo). El agua producto se almacena en tanques, convirtiendo el excedente de energía solar en</w:t>
      </w:r>
      <w:r>
        <w:t xml:space="preserve"> </w:t>
      </w:r>
      <w:r>
        <w:rPr>
          <w:b/>
          <w:bCs/>
        </w:rPr>
        <w:t xml:space="preserve">agua almacenada</w:t>
      </w:r>
      <w:r>
        <w:t xml:space="preserve"> </w:t>
      </w:r>
      <w:r>
        <w:t xml:space="preserve">(</w:t>
      </w:r>
      <w:r>
        <w:t xml:space="preserve">“</w:t>
      </w:r>
      <w:r>
        <w:t xml:space="preserve">Water-as-Battery</w:t>
      </w:r>
      <w:r>
        <w:t xml:space="preserve">”</w:t>
      </w:r>
      <w:r>
        <w:t xml:space="preserve">).</w:t>
      </w:r>
    </w:p>
    <w:p>
      <w:pPr>
        <w:pStyle w:val="a0"/>
      </w:pPr>
      <w:r>
        <w:rPr>
          <w:b/>
          <w:bCs/>
        </w:rPr>
        <w:t xml:space="preserve">Arquitectura Eléctrica:</w:t>
      </w:r>
    </w:p>
    <w:p>
      <w:pPr>
        <w:pStyle w:val="SourceCode"/>
      </w:pPr>
      <w:r>
        <w:rPr>
          <w:rStyle w:val="VerbatimChar"/>
        </w:rPr>
        <w:t xml:space="preserve">String PV (10 × 500W = 5.0 kWp, 450V DC)</w:t>
      </w:r>
      <w:r>
        <w:br/>
      </w:r>
      <w:r>
        <w:rPr>
          <w:rStyle w:val="VerbatimChar"/>
        </w:rPr>
        <w:t xml:space="preserve">         │</w:t>
      </w:r>
      <w:r>
        <w:br/>
      </w:r>
      <w:r>
        <w:rPr>
          <w:rStyle w:val="VerbatimChar"/>
        </w:rPr>
        <w:t xml:space="preserve">         ├──► VFD-401 (MPPT integrado) ──► Bomba HP P-201 (1.3 HP, SS316)</w:t>
      </w:r>
      <w:r>
        <w:br/>
      </w:r>
      <w:r>
        <w:rPr>
          <w:rStyle w:val="VerbatimChar"/>
        </w:rPr>
        <w:t xml:space="preserve">         │</w:t>
      </w:r>
      <w:r>
        <w:br/>
      </w:r>
      <w:r>
        <w:rPr>
          <w:rStyle w:val="VerbatimChar"/>
        </w:rPr>
        <w:t xml:space="preserve">         └──► Inversor auxiliar 1 kVA ──► UPS 24V ──► PLC-401 + Sensores + Comunicaciones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Componente</w:t>
            </w:r>
          </w:p>
        </w:tc>
        <w:tc>
          <w:tcPr/>
          <w:p>
            <w:pPr>
              <w:pStyle w:val="Compact"/>
              <w:jc w:val="left"/>
            </w:pPr>
            <w:r>
              <w:t xml:space="preserve">Especificación</w:t>
            </w:r>
          </w:p>
        </w:tc>
      </w:tr>
      <w:tr>
        <w:tc>
          <w:tcPr/>
          <w:p>
            <w:pPr>
              <w:pStyle w:val="Compact"/>
              <w:jc w:val="left"/>
            </w:pPr>
            <w:r>
              <w:t xml:space="preserve">Paneles solares</w:t>
            </w:r>
          </w:p>
        </w:tc>
        <w:tc>
          <w:tcPr/>
          <w:p>
            <w:pPr>
              <w:pStyle w:val="Compact"/>
              <w:jc w:val="left"/>
            </w:pPr>
            <w:r>
              <w:t xml:space="preserve">Monocristalino N-Type Bifacial, 500W c/u</w:t>
            </w:r>
          </w:p>
        </w:tc>
      </w:tr>
      <w:tr>
        <w:tc>
          <w:tcPr/>
          <w:p>
            <w:pPr>
              <w:pStyle w:val="Compact"/>
              <w:jc w:val="left"/>
            </w:pPr>
            <w:r>
              <w:t xml:space="preserve">Cantidad</w:t>
            </w:r>
          </w:p>
        </w:tc>
        <w:tc>
          <w:tcPr/>
          <w:p>
            <w:pPr>
              <w:pStyle w:val="Compact"/>
              <w:jc w:val="left"/>
            </w:pPr>
            <w:r>
              <w:t xml:space="preserve">10 paneles</w:t>
            </w:r>
          </w:p>
        </w:tc>
      </w:tr>
      <w:tr>
        <w:tc>
          <w:tcPr/>
          <w:p>
            <w:pPr>
              <w:pStyle w:val="Compact"/>
              <w:jc w:val="left"/>
            </w:pPr>
            <w:r>
              <w:t xml:space="preserve">Potencia pico total</w:t>
            </w:r>
          </w:p>
        </w:tc>
        <w:tc>
          <w:tcPr/>
          <w:p>
            <w:pPr>
              <w:pStyle w:val="Compact"/>
              <w:jc w:val="left"/>
            </w:pPr>
            <w:r>
              <w:t xml:space="preserve">5.0 kWp</w:t>
            </w:r>
          </w:p>
        </w:tc>
      </w:tr>
      <w:tr>
        <w:tc>
          <w:tcPr/>
          <w:p>
            <w:pPr>
              <w:pStyle w:val="Compact"/>
              <w:jc w:val="left"/>
            </w:pPr>
            <w:r>
              <w:t xml:space="preserve">Configuración</w:t>
            </w:r>
          </w:p>
        </w:tc>
        <w:tc>
          <w:tcPr/>
          <w:p>
            <w:pPr>
              <w:pStyle w:val="Compact"/>
              <w:jc w:val="left"/>
            </w:pPr>
            <w:r>
              <w:t xml:space="preserve">1 string de 10 en serie</w:t>
            </w:r>
          </w:p>
        </w:tc>
      </w:tr>
      <w:tr>
        <w:tc>
          <w:tcPr/>
          <w:p>
            <w:pPr>
              <w:pStyle w:val="Compact"/>
              <w:jc w:val="left"/>
            </w:pPr>
            <w:r>
              <w:t xml:space="preserve">Voltaje del string</w:t>
            </w:r>
          </w:p>
        </w:tc>
        <w:tc>
          <w:tcPr/>
          <w:p>
            <w:pPr>
              <w:pStyle w:val="Compact"/>
              <w:jc w:val="left"/>
            </w:pPr>
            <w:r>
              <w:t xml:space="preserve">~450V DC</w:t>
            </w:r>
          </w:p>
        </w:tc>
      </w:tr>
      <w:tr>
        <w:tc>
          <w:tcPr/>
          <w:p>
            <w:pPr>
              <w:pStyle w:val="Compact"/>
              <w:jc w:val="left"/>
            </w:pPr>
            <w:r>
              <w:t xml:space="preserve">VFD solar directo</w:t>
            </w:r>
          </w:p>
        </w:tc>
        <w:tc>
          <w:tcPr/>
          <w:p>
            <w:pPr>
              <w:pStyle w:val="Compact"/>
              <w:jc w:val="left"/>
            </w:pPr>
            <w:r>
              <w:t xml:space="preserve">DC-coupled, MPPT integrado, 1.5 kW</w:t>
            </w:r>
          </w:p>
        </w:tc>
      </w:tr>
      <w:tr>
        <w:tc>
          <w:tcPr/>
          <w:p>
            <w:pPr>
              <w:pStyle w:val="Compact"/>
              <w:jc w:val="left"/>
            </w:pPr>
            <w:r>
              <w:t xml:space="preserve">Inversor auxiliar</w:t>
            </w:r>
          </w:p>
        </w:tc>
        <w:tc>
          <w:tcPr/>
          <w:p>
            <w:pPr>
              <w:pStyle w:val="Compact"/>
              <w:jc w:val="left"/>
            </w:pPr>
            <w:r>
              <w:t xml:space="preserve">1 kVA, para PLC y comunicaciones</w:t>
            </w:r>
          </w:p>
        </w:tc>
      </w:tr>
      <w:tr>
        <w:tc>
          <w:tcPr/>
          <w:p>
            <w:pPr>
              <w:pStyle w:val="Compact"/>
              <w:jc w:val="left"/>
            </w:pPr>
            <w:r>
              <w:t xml:space="preserve">UPS</w:t>
            </w:r>
          </w:p>
        </w:tc>
        <w:tc>
          <w:tcPr/>
          <w:p>
            <w:pPr>
              <w:pStyle w:val="Compact"/>
              <w:jc w:val="left"/>
            </w:pPr>
            <w:r>
              <w:t xml:space="preserve">24V, solo para SCADA y telecomunicaciones</w:t>
            </w:r>
          </w:p>
        </w:tc>
      </w:tr>
    </w:tbl>
    <w:p>
      <w:pPr>
        <w:pStyle w:val="aa"/>
      </w:pPr>
      <w:r>
        <w:rPr>
          <w:b/>
          <w:bCs/>
        </w:rPr>
        <w:t xml:space="preserve">Justificación del sobredimensionamiento (5.0 kWp vs. 2.46 kWp requeridos):</w:t>
      </w:r>
      <w:r>
        <w:t xml:space="preserve"> </w:t>
      </w:r>
      <w:r>
        <w:t xml:space="preserve">- Margen para días nublados (radiación reducida 30–50%)</w:t>
      </w:r>
      <w:r>
        <w:t xml:space="preserve"> </w:t>
      </w:r>
      <w:r>
        <w:t xml:space="preserve">- Envejecimiento de paneles (degradación anual ~0.5%)</w:t>
      </w:r>
      <w:r>
        <w:t xml:space="preserve"> </w:t>
      </w:r>
      <w:r>
        <w:t xml:space="preserve">- Acumulación de polvo (pérdida 5–10%)</w:t>
      </w:r>
      <w:r>
        <w:t xml:space="preserve"> </w:t>
      </w:r>
      <w:r>
        <w:t xml:space="preserve">- Temperaturas elevadas (pérdida de eficiencia 10–15%)</w:t>
      </w:r>
      <w:r>
        <w:t xml:space="preserve"> </w:t>
      </w:r>
      <w:r>
        <w:t xml:space="preserve">- Arranque de la bomba HP (picos de corriente)</w:t>
      </w:r>
    </w:p>
    <w:bookmarkEnd w:id="56"/>
    <w:bookmarkStart w:id="57" w:name="sistema-scada"/>
    <w:p>
      <w:pPr>
        <w:pStyle w:val="4"/>
      </w:pPr>
      <w:r>
        <w:t xml:space="preserve">7.5.2 Sistema SCADA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Componente</w:t>
            </w:r>
          </w:p>
        </w:tc>
        <w:tc>
          <w:tcPr/>
          <w:p>
            <w:pPr>
              <w:pStyle w:val="Compact"/>
              <w:jc w:val="left"/>
            </w:pPr>
            <w:r>
              <w:t xml:space="preserve">Tag</w:t>
            </w:r>
          </w:p>
        </w:tc>
        <w:tc>
          <w:tcPr/>
          <w:p>
            <w:pPr>
              <w:pStyle w:val="Compact"/>
              <w:jc w:val="left"/>
            </w:pPr>
            <w:r>
              <w:t xml:space="preserve">Función</w:t>
            </w:r>
          </w:p>
        </w:tc>
      </w:tr>
      <w:tr>
        <w:tc>
          <w:tcPr/>
          <w:p>
            <w:pPr>
              <w:pStyle w:val="Compact"/>
              <w:jc w:val="left"/>
            </w:pPr>
            <w:r>
              <w:t xml:space="preserve">PLC industrial</w:t>
            </w:r>
          </w:p>
        </w:tc>
        <w:tc>
          <w:tcPr/>
          <w:p>
            <w:pPr>
              <w:pStyle w:val="Compact"/>
              <w:jc w:val="left"/>
            </w:pPr>
            <w:r>
              <w:t xml:space="preserve">PLC-401</w:t>
            </w:r>
          </w:p>
        </w:tc>
        <w:tc>
          <w:tcPr/>
          <w:p>
            <w:pPr>
              <w:pStyle w:val="Compact"/>
              <w:jc w:val="left"/>
            </w:pPr>
            <w:r>
              <w:t xml:space="preserve">Control PID, lógica de seguridad, data logging</w:t>
            </w:r>
          </w:p>
        </w:tc>
      </w:tr>
      <w:tr>
        <w:tc>
          <w:tcPr/>
          <w:p>
            <w:pPr>
              <w:pStyle w:val="Compact"/>
              <w:jc w:val="left"/>
            </w:pPr>
            <w:r>
              <w:t xml:space="preserve">HMI táctil</w:t>
            </w:r>
          </w:p>
        </w:tc>
        <w:tc>
          <w:tcPr/>
          <w:p>
            <w:pPr>
              <w:pStyle w:val="Compact"/>
              <w:jc w:val="left"/>
            </w:pPr>
            <w:r>
              <w:t xml:space="preserve">HMI-401</w:t>
            </w:r>
          </w:p>
        </w:tc>
        <w:tc>
          <w:tcPr/>
          <w:p>
            <w:pPr>
              <w:pStyle w:val="Compact"/>
              <w:jc w:val="left"/>
            </w:pPr>
            <w:r>
              <w:t xml:space="preserve">10”, operación local y visualización</w:t>
            </w:r>
          </w:p>
        </w:tc>
      </w:tr>
      <w:tr>
        <w:tc>
          <w:tcPr/>
          <w:p>
            <w:pPr>
              <w:pStyle w:val="Compact"/>
              <w:jc w:val="left"/>
            </w:pPr>
            <w:r>
              <w:t xml:space="preserve">Sensores</w:t>
            </w:r>
          </w:p>
        </w:tc>
        <w:tc>
          <w:tcPr/>
          <w:p>
            <w:pPr>
              <w:pStyle w:val="Compact"/>
              <w:jc w:val="left"/>
            </w:pPr>
            <w:r>
              <w:t xml:space="preserve">—</w:t>
            </w:r>
          </w:p>
        </w:tc>
        <w:tc>
          <w:tcPr/>
          <w:p>
            <w:pPr>
              <w:pStyle w:val="Compact"/>
              <w:jc w:val="left"/>
            </w:pPr>
            <w:r>
              <w:t xml:space="preserve">Presión (PT), conductividad (QT), nivel (LT), flujo (FT)</w:t>
            </w:r>
          </w:p>
        </w:tc>
      </w:tr>
    </w:tbl>
    <w:bookmarkEnd w:id="57"/>
    <w:bookmarkStart w:id="58" w:name="telecomunicaciones"/>
    <w:p>
      <w:pPr>
        <w:pStyle w:val="4"/>
      </w:pPr>
      <w:r>
        <w:t xml:space="preserve">7.5.3 Telecomunicaciones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Componente</w:t>
            </w:r>
          </w:p>
        </w:tc>
        <w:tc>
          <w:tcPr/>
          <w:p>
            <w:pPr>
              <w:pStyle w:val="Compact"/>
              <w:jc w:val="left"/>
            </w:pPr>
            <w:r>
              <w:t xml:space="preserve">Especificación</w:t>
            </w:r>
          </w:p>
        </w:tc>
      </w:tr>
      <w:tr>
        <w:tc>
          <w:tcPr/>
          <w:p>
            <w:pPr>
              <w:pStyle w:val="Compact"/>
              <w:jc w:val="left"/>
            </w:pPr>
            <w:r>
              <w:t xml:space="preserve">Enlace principal</w:t>
            </w:r>
          </w:p>
        </w:tc>
        <w:tc>
          <w:tcPr/>
          <w:p>
            <w:pPr>
              <w:pStyle w:val="Compact"/>
              <w:jc w:val="left"/>
            </w:pPr>
            <w:r>
              <w:t xml:space="preserve">4G/LTE</w:t>
            </w:r>
          </w:p>
        </w:tc>
      </w:tr>
      <w:tr>
        <w:tc>
          <w:tcPr/>
          <w:p>
            <w:pPr>
              <w:pStyle w:val="Compact"/>
              <w:jc w:val="left"/>
            </w:pPr>
            <w:r>
              <w:t xml:space="preserve">Enlace de respaldo</w:t>
            </w:r>
          </w:p>
        </w:tc>
        <w:tc>
          <w:tcPr/>
          <w:p>
            <w:pPr>
              <w:pStyle w:val="Compact"/>
              <w:jc w:val="left"/>
            </w:pPr>
            <w:r>
              <w:t>Comunicación satelital (Iridium/Starlink)</w:t>
            </w:r>
          </w:p>
        </w:tc>
      </w:tr>
      <w:tr>
        <w:tc>
          <w:tcPr/>
          <w:p>
            <w:pPr>
              <w:pStyle w:val="Compact"/>
              <w:jc w:val="left"/>
            </w:pPr>
            <w:r>
              <w:t xml:space="preserve">Protocolo IoT</w:t>
            </w:r>
          </w:p>
        </w:tc>
        <w:tc>
          <w:tcPr/>
          <w:p>
            <w:pPr>
              <w:pStyle w:val="Compact"/>
              <w:jc w:val="left"/>
            </w:pPr>
            <w:r>
              <w:t xml:space="preserve">MQTT over TLS</w:t>
            </w:r>
          </w:p>
        </w:tc>
      </w:tr>
      <w:tr>
        <w:tc>
          <w:tcPr/>
          <w:p>
            <w:pPr>
              <w:pStyle w:val="Compact"/>
              <w:jc w:val="left"/>
            </w:pPr>
            <w:r>
              <w:t xml:space="preserve">VPN</w:t>
            </w:r>
          </w:p>
        </w:tc>
        <w:tc>
          <w:tcPr/>
          <w:p>
            <w:pPr>
              <w:pStyle w:val="Compact"/>
              <w:jc w:val="left"/>
            </w:pPr>
            <w:r>
              <w:t xml:space="preserve">IPSec tunnel</w:t>
            </w:r>
          </w:p>
        </w:tc>
      </w:tr>
      <w:tr>
        <w:tc>
          <w:tcPr/>
          <w:p>
            <w:pPr>
              <w:pStyle w:val="Compact"/>
              <w:jc w:val="left"/>
            </w:pPr>
            <w:r>
              <w:t xml:space="preserve">Dashboard remoto</w:t>
            </w:r>
          </w:p>
        </w:tc>
        <w:tc>
          <w:tcPr/>
          <w:p>
            <w:pPr>
              <w:pStyle w:val="Compact"/>
              <w:jc w:val="left"/>
            </w:pPr>
            <w:r>
              <w:t xml:space="preserve">AQUA-CLOUD (React, tiempo real)</w:t>
            </w:r>
          </w:p>
        </w:tc>
      </w:tr>
    </w:tbl>
    <w:bookmarkEnd w:id="58"/>
    <w:bookmarkStart w:id="59" w:name="filosofía-de-control"/>
    <w:p>
      <w:pPr>
        <w:pStyle w:val="4"/>
      </w:pPr>
      <w:r>
        <w:t xml:space="preserve">7.5.4 Filosofía de Control</w:t>
      </w:r>
    </w:p>
    <w:p>
      <w:pPr>
        <w:pStyle w:val="FirstParagraph"/>
      </w:pPr>
      <w:r>
        <w:rPr>
          <w:b/>
          <w:bCs/>
        </w:rPr>
        <w:t xml:space="preserve">Principio:</w:t>
      </w:r>
      <w:r>
        <w:t xml:space="preserve"> </w:t>
      </w:r>
      <w:r>
        <w:t xml:space="preserve">Operación autónoma 100% offline si la conexión cloud falla.</w:t>
      </w:r>
    </w:p>
    <w:p>
      <w:pPr>
        <w:pStyle w:val="Compact"/>
        <w:numPr>
          <w:ilvl w:val="0"/>
          <w:numId w:val="1006"/>
        </w:numPr>
      </w:pPr>
      <w:r>
        <w:rPr>
          <w:b/>
          <w:bCs/>
        </w:rPr>
        <w:t xml:space="preserve">Lazo de calidad:</w:t>
      </w:r>
      <w:r>
        <w:t xml:space="preserve"> </w:t>
      </w:r>
      <w:r>
        <w:t xml:space="preserve">Si TDS &gt; 500 ppm → CV-301 deriva a drenaje</w:t>
      </w:r>
    </w:p>
    <w:p>
      <w:pPr>
        <w:pStyle w:val="Compact"/>
        <w:numPr>
          <w:ilvl w:val="0"/>
          <w:numId w:val="1006"/>
        </w:numPr>
      </w:pPr>
      <w:r>
        <w:rPr>
          <w:b/>
          <w:bCs/>
        </w:rPr>
        <w:t xml:space="preserve">Lazo de ensuciamiento:</w:t>
      </w:r>
      <w:r>
        <w:t xml:space="preserve"> </w:t>
      </w:r>
      <w:r>
        <w:t xml:space="preserve">Si ΔP filtros &gt; 1.5 bar → alarma de cambio</w:t>
      </w:r>
    </w:p>
    <w:p>
      <w:pPr>
        <w:pStyle w:val="Compact"/>
        <w:numPr>
          <w:ilvl w:val="0"/>
          <w:numId w:val="1006"/>
        </w:numPr>
      </w:pPr>
      <w:r>
        <w:rPr>
          <w:b/>
          <w:bCs/>
        </w:rPr>
        <w:t xml:space="preserve">Lazo de nivel:</w:t>
      </w:r>
      <w:r>
        <w:t xml:space="preserve"> </w:t>
      </w:r>
      <w:r>
        <w:t xml:space="preserve">Si tanque 100% → secuencia de parada suave</w:t>
      </w:r>
    </w:p>
    <w:p>
      <w:pPr>
        <w:pStyle w:val="Compact"/>
        <w:numPr>
          <w:ilvl w:val="0"/>
          <w:numId w:val="1006"/>
        </w:numPr>
      </w:pPr>
      <w:r>
        <w:rPr>
          <w:b/>
          <w:bCs/>
        </w:rPr>
        <w:t xml:space="preserve">Lazo solar:</w:t>
      </w:r>
      <w:r>
        <w:t xml:space="preserve"> </w:t>
      </w:r>
      <w:r>
        <w:t xml:space="preserve">La producción sigue la curva de irradiancia solar mediante VFD</w:t>
      </w:r>
    </w:p>
    <w:bookmarkEnd w:id="59"/>
    <w:bookmarkEnd w:id="60"/>
    <w:bookmarkEnd w:id="61"/>
    <w:bookmarkStart w:id="74" w:name="memoria-de-cálculo"/>
    <w:p>
      <w:pPr>
        <w:pStyle w:val="2"/>
      </w:pPr>
      <w:r>
        <w:t xml:space="preserve">8. MEMORIA DE CÁLCULO</w:t>
      </w:r>
    </w:p>
    <w:bookmarkStart w:id="62" w:name="parámetros-de-diseño"/>
    <w:p>
      <w:pPr>
        <w:pStyle w:val="3"/>
      </w:pPr>
      <w:r>
        <w:t xml:space="preserve">8.1 Parámetros de Diseño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Parámetro</w:t>
            </w:r>
          </w:p>
        </w:tc>
        <w:tc>
          <w:tcPr/>
          <w:p>
            <w:pPr>
              <w:pStyle w:val="Compact"/>
              <w:jc w:val="left"/>
            </w:pPr>
            <w:r>
              <w:t xml:space="preserve">Símbolo</w:t>
            </w:r>
          </w:p>
        </w:tc>
        <w:tc>
          <w:tcPr/>
          <w:p>
            <w:pPr>
              <w:pStyle w:val="Compact"/>
              <w:jc w:val="left"/>
            </w:pPr>
            <w:r>
              <w:t xml:space="preserve">Valor</w:t>
            </w:r>
          </w:p>
        </w:tc>
        <w:tc>
          <w:tcPr/>
          <w:p>
            <w:pPr>
              <w:pStyle w:val="Compact"/>
              <w:jc w:val="left"/>
            </w:pPr>
            <w:r>
              <w:t xml:space="preserve">Unidad</w:t>
            </w:r>
          </w:p>
        </w:tc>
      </w:tr>
      <w:tr>
        <w:tc>
          <w:tcPr/>
          <w:p>
            <w:pPr>
              <w:pStyle w:val="Compact"/>
              <w:jc w:val="left"/>
            </w:pPr>
            <w:r>
              <w:t xml:space="preserve">Producción objetivo</w:t>
            </w:r>
          </w:p>
        </w:tc>
        <w:tc>
          <w:tcPr/>
          <w:p>
            <w:pPr>
              <w:pStyle w:val="Compact"/>
              <w:jc w:val="left"/>
            </w:pPr>
            <w:r>
              <w:t xml:space="preserve">Qp_día</w:t>
            </w:r>
          </w:p>
        </w:tc>
        <w:tc>
          <w:tcPr/>
          <w:p>
            <w:pPr>
              <w:pStyle w:val="Compact"/>
              <w:jc w:val="left"/>
            </w:pPr>
            <w:r>
              <w:t xml:space="preserve">3.0</w:t>
            </w:r>
          </w:p>
        </w:tc>
        <w:tc>
          <w:tcPr/>
          <w:p>
            <w:pPr>
              <w:pStyle w:val="Compact"/>
              <w:jc w:val="left"/>
            </w:pPr>
            <w:r>
              <w:t xml:space="preserve">m³/día</w:t>
            </w:r>
          </w:p>
        </w:tc>
      </w:tr>
      <w:tr>
        <w:tc>
          <w:tcPr/>
          <w:p>
            <w:pPr>
              <w:pStyle w:val="Compact"/>
              <w:jc w:val="left"/>
            </w:pPr>
            <w:r>
              <w:t xml:space="preserve">Ventana operativa solar</w:t>
            </w:r>
          </w:p>
        </w:tc>
        <w:tc>
          <w:tcPr/>
          <w:p>
            <w:pPr>
              <w:pStyle w:val="Compact"/>
              <w:jc w:val="left"/>
            </w:pPr>
            <w:r>
              <w:t xml:space="preserve">t_op</w:t>
            </w:r>
          </w:p>
        </w:tc>
        <w:tc>
          <w:tcPr/>
          <w:p>
            <w:pPr>
              <w:pStyle w:val="Compact"/>
              <w:jc w:val="left"/>
            </w:pPr>
            <w:r>
              <w:t xml:space="preserve">8</w:t>
            </w:r>
          </w:p>
        </w:tc>
        <w:tc>
          <w:tcPr/>
          <w:p>
            <w:pPr>
              <w:pStyle w:val="Compact"/>
              <w:jc w:val="left"/>
            </w:pPr>
            <w:r>
              <w:t xml:space="preserve">h/día</w:t>
            </w:r>
          </w:p>
        </w:tc>
      </w:tr>
      <w:tr>
        <w:tc>
          <w:tcPr/>
          <w:p>
            <w:pPr>
              <w:pStyle w:val="Compact"/>
              <w:jc w:val="left"/>
            </w:pPr>
            <w:r>
              <w:t xml:space="preserve">Caudal de permeado</w:t>
            </w:r>
          </w:p>
        </w:tc>
        <w:tc>
          <w:tcPr/>
          <w:p>
            <w:pPr>
              <w:pStyle w:val="Compact"/>
              <w:jc w:val="left"/>
            </w:pPr>
            <w:r>
              <w:t xml:space="preserve">Qp</w:t>
            </w:r>
          </w:p>
        </w:tc>
        <w:tc>
          <w:tcPr/>
          <w:p>
            <w:pPr>
              <w:pStyle w:val="Compact"/>
              <w:jc w:val="left"/>
            </w:pPr>
            <w:r>
              <w:t xml:space="preserve">0.375</w:t>
            </w:r>
          </w:p>
        </w:tc>
        <w:tc>
          <w:tcPr/>
          <w:p>
            <w:pPr>
              <w:pStyle w:val="Compact"/>
              <w:jc w:val="left"/>
            </w:pPr>
            <w:r>
              <w:t xml:space="preserve">m³/h</w:t>
            </w:r>
          </w:p>
        </w:tc>
      </w:tr>
      <w:tr>
        <w:tc>
          <w:tcPr/>
          <w:p>
            <w:pPr>
              <w:pStyle w:val="Compact"/>
              <w:jc w:val="left"/>
            </w:pPr>
            <w:r>
              <w:t xml:space="preserve">Tasa de recuperación</w:t>
            </w:r>
          </w:p>
        </w:tc>
        <w:tc>
          <w:tcPr/>
          <w:p>
            <w:pPr>
              <w:pStyle w:val="Compact"/>
              <w:jc w:val="left"/>
            </w:pPr>
            <w:r>
              <w:t xml:space="preserve">R</w:t>
            </w:r>
          </w:p>
        </w:tc>
        <w:tc>
          <w:tcPr/>
          <w:p>
            <w:pPr>
              <w:pStyle w:val="Compact"/>
              <w:jc w:val="left"/>
            </w:pPr>
            <w:r>
              <w:t xml:space="preserve">37.5</w:t>
            </w:r>
          </w:p>
        </w:tc>
        <w:tc>
          <w:tcPr/>
          <w:p>
            <w:pPr>
              <w:pStyle w:val="Compact"/>
              <w:jc w:val="left"/>
            </w:pPr>
            <w:r>
              <w:t xml:space="preserve">%</w:t>
            </w:r>
          </w:p>
        </w:tc>
      </w:tr>
      <w:tr>
        <w:tc>
          <w:tcPr/>
          <w:p>
            <w:pPr>
              <w:pStyle w:val="Compact"/>
              <w:jc w:val="left"/>
            </w:pPr>
            <w:r>
              <w:t xml:space="preserve">Caudal de alimentación</w:t>
            </w:r>
          </w:p>
        </w:tc>
        <w:tc>
          <w:tcPr/>
          <w:p>
            <w:pPr>
              <w:pStyle w:val="Compact"/>
              <w:jc w:val="left"/>
            </w:pPr>
            <w:r>
              <w:t xml:space="preserve">Qf</w:t>
            </w:r>
          </w:p>
        </w:tc>
        <w:tc>
          <w:tcPr/>
          <w:p>
            <w:pPr>
              <w:pStyle w:val="Compact"/>
              <w:jc w:val="left"/>
            </w:pPr>
            <w:r>
              <w:t xml:space="preserve">1.0</w:t>
            </w:r>
          </w:p>
        </w:tc>
        <w:tc>
          <w:tcPr/>
          <w:p>
            <w:pPr>
              <w:pStyle w:val="Compact"/>
              <w:jc w:val="left"/>
            </w:pPr>
            <w:r>
              <w:t xml:space="preserve">m³/h</w:t>
            </w:r>
          </w:p>
        </w:tc>
      </w:tr>
      <w:tr>
        <w:tc>
          <w:tcPr/>
          <w:p>
            <w:pPr>
              <w:pStyle w:val="Compact"/>
              <w:jc w:val="left"/>
            </w:pPr>
            <w:r>
              <w:t xml:space="preserve">Salinidad agua de mar</w:t>
            </w:r>
          </w:p>
        </w:tc>
        <w:tc>
          <w:tcPr/>
          <w:p>
            <w:pPr>
              <w:pStyle w:val="Compact"/>
              <w:jc w:val="left"/>
            </w:pPr>
            <w:r>
              <w:t xml:space="preserve">Cf</w:t>
            </w:r>
          </w:p>
        </w:tc>
        <w:tc>
          <w:tcPr/>
          <w:p>
            <w:pPr>
              <w:pStyle w:val="Compact"/>
              <w:jc w:val="left"/>
            </w:pPr>
            <w:r>
              <w:t xml:space="preserve">35,000</w:t>
            </w:r>
          </w:p>
        </w:tc>
        <w:tc>
          <w:tcPr/>
          <w:p>
            <w:pPr>
              <w:pStyle w:val="Compact"/>
              <w:jc w:val="left"/>
            </w:pPr>
            <w:r>
              <w:t xml:space="preserve">ppm TDS</w:t>
            </w:r>
          </w:p>
        </w:tc>
      </w:tr>
      <w:tr>
        <w:tc>
          <w:tcPr/>
          <w:p>
            <w:pPr>
              <w:pStyle w:val="Compact"/>
              <w:jc w:val="left"/>
            </w:pPr>
            <w:r>
              <w:t xml:space="preserve">Presión osmótica</w:t>
            </w:r>
          </w:p>
        </w:tc>
        <w:tc>
          <w:tcPr/>
          <w:p>
            <w:pPr>
              <w:pStyle w:val="Compact"/>
              <w:jc w:val="left"/>
            </w:pPr>
            <w:r>
              <w:t xml:space="preserve">π</w:t>
            </w:r>
          </w:p>
        </w:tc>
        <w:tc>
          <w:tcPr/>
          <w:p>
            <w:pPr>
              <w:pStyle w:val="Compact"/>
              <w:jc w:val="left"/>
            </w:pPr>
            <w:r>
              <w:t xml:space="preserve">28</w:t>
            </w:r>
          </w:p>
        </w:tc>
        <w:tc>
          <w:tcPr/>
          <w:p>
            <w:pPr>
              <w:pStyle w:val="Compact"/>
              <w:jc w:val="left"/>
            </w:pPr>
            <w:r>
              <w:t xml:space="preserve">bar</w:t>
            </w:r>
          </w:p>
        </w:tc>
      </w:tr>
      <w:tr>
        <w:tc>
          <w:tcPr/>
          <w:p>
            <w:pPr>
              <w:pStyle w:val="Compact"/>
              <w:jc w:val="left"/>
            </w:pPr>
            <w:r>
              <w:t xml:space="preserve">Presión de operación</w:t>
            </w:r>
          </w:p>
        </w:tc>
        <w:tc>
          <w:tcPr/>
          <w:p>
            <w:pPr>
              <w:pStyle w:val="Compact"/>
              <w:jc w:val="left"/>
            </w:pPr>
            <w:r>
              <w:t xml:space="preserve">P_op</w:t>
            </w:r>
          </w:p>
        </w:tc>
        <w:tc>
          <w:tcPr/>
          <w:p>
            <w:pPr>
              <w:pStyle w:val="Compact"/>
              <w:jc w:val="left"/>
            </w:pPr>
            <w:r>
              <w:t xml:space="preserve">65</w:t>
            </w:r>
          </w:p>
        </w:tc>
        <w:tc>
          <w:tcPr/>
          <w:p>
            <w:pPr>
              <w:pStyle w:val="Compact"/>
              <w:jc w:val="left"/>
            </w:pPr>
            <w:r>
              <w:t xml:space="preserve">bar</w:t>
            </w:r>
          </w:p>
        </w:tc>
      </w:tr>
      <w:tr>
        <w:tc>
          <w:tcPr/>
          <w:p>
            <w:pPr>
              <w:pStyle w:val="Compact"/>
              <w:jc w:val="left"/>
            </w:pPr>
            <w:r>
              <w:t xml:space="preserve">Temperatura de diseño</w:t>
            </w:r>
          </w:p>
        </w:tc>
        <w:tc>
          <w:tcPr/>
          <w:p>
            <w:pPr>
              <w:pStyle w:val="Compact"/>
              <w:jc w:val="left"/>
            </w:pPr>
            <w:r>
              <w:t xml:space="preserve">T</w:t>
            </w:r>
          </w:p>
        </w:tc>
        <w:tc>
          <w:tcPr/>
          <w:p>
            <w:pPr>
              <w:pStyle w:val="Compact"/>
              <w:jc w:val="left"/>
            </w:pPr>
            <w:r>
              <w:t xml:space="preserve">25</w:t>
            </w:r>
          </w:p>
        </w:tc>
        <w:tc>
          <w:tcPr/>
          <w:p>
            <w:pPr>
              <w:pStyle w:val="Compact"/>
              <w:jc w:val="left"/>
            </w:pPr>
            <w:r>
              <w:t xml:space="preserve">°C</w:t>
            </w:r>
          </w:p>
        </w:tc>
      </w:tr>
      <w:tr>
        <w:tc>
          <w:tcPr/>
          <w:p>
            <w:pPr>
              <w:pStyle w:val="Compact"/>
              <w:jc w:val="left"/>
            </w:pPr>
            <w:r>
              <w:t xml:space="preserve">Densidad agua de mar</w:t>
            </w:r>
          </w:p>
        </w:tc>
        <w:tc>
          <w:tcPr/>
          <w:p>
            <w:pPr>
              <w:pStyle w:val="Compact"/>
              <w:jc w:val="left"/>
            </w:pPr>
            <w:r>
              <w:t xml:space="preserve">ρ</w:t>
            </w:r>
          </w:p>
        </w:tc>
        <w:tc>
          <w:tcPr/>
          <w:p>
            <w:pPr>
              <w:pStyle w:val="Compact"/>
              <w:jc w:val="left"/>
            </w:pPr>
            <w:r>
              <w:t xml:space="preserve">1,025</w:t>
            </w:r>
          </w:p>
        </w:tc>
        <w:tc>
          <w:tcPr/>
          <w:p>
            <w:pPr>
              <w:pStyle w:val="Compact"/>
              <w:jc w:val="left"/>
            </w:pPr>
            <w:r>
              <w:t xml:space="preserve">kg/m³</w:t>
            </w:r>
          </w:p>
        </w:tc>
      </w:tr>
      <w:tr>
        <w:tc>
          <w:tcPr/>
          <w:p>
            <w:pPr>
              <w:pStyle w:val="Compact"/>
              <w:jc w:val="left"/>
            </w:pPr>
            <w:r>
              <w:t xml:space="preserve">Eficiencia bomba</w:t>
            </w:r>
          </w:p>
        </w:tc>
        <w:tc>
          <w:tcPr/>
          <w:p>
            <w:pPr>
              <w:pStyle w:val="Compact"/>
              <w:jc w:val="left"/>
            </w:pPr>
            <w:r>
              <w:t xml:space="preserve">η_bomba</w:t>
            </w:r>
          </w:p>
        </w:tc>
        <w:tc>
          <w:tcPr/>
          <w:p>
            <w:pPr>
              <w:pStyle w:val="Compact"/>
              <w:jc w:val="left"/>
            </w:pPr>
            <w:r>
              <w:t xml:space="preserve">85</w:t>
            </w:r>
          </w:p>
        </w:tc>
        <w:tc>
          <w:tcPr/>
          <w:p>
            <w:pPr>
              <w:pStyle w:val="Compact"/>
              <w:jc w:val="left"/>
            </w:pPr>
            <w:r>
              <w:t xml:space="preserve">%</w:t>
            </w:r>
          </w:p>
        </w:tc>
      </w:tr>
      <w:tr>
        <w:tc>
          <w:tcPr/>
          <w:p>
            <w:pPr>
              <w:pStyle w:val="Compact"/>
              <w:jc w:val="left"/>
            </w:pPr>
            <w:r>
              <w:t xml:space="preserve">Eficiencia motor IE5</w:t>
            </w:r>
          </w:p>
        </w:tc>
        <w:tc>
          <w:tcPr/>
          <w:p>
            <w:pPr>
              <w:pStyle w:val="Compact"/>
              <w:jc w:val="left"/>
            </w:pPr>
            <w:r>
              <w:t xml:space="preserve">η_motor</w:t>
            </w:r>
          </w:p>
        </w:tc>
        <w:tc>
          <w:tcPr/>
          <w:p>
            <w:pPr>
              <w:pStyle w:val="Compact"/>
              <w:jc w:val="left"/>
            </w:pPr>
            <w:r>
              <w:t xml:space="preserve">95</w:t>
            </w:r>
          </w:p>
        </w:tc>
        <w:tc>
          <w:tcPr/>
          <w:p>
            <w:pPr>
              <w:pStyle w:val="Compact"/>
              <w:jc w:val="left"/>
            </w:pPr>
            <w:r>
              <w:t xml:space="preserve">%</w:t>
            </w:r>
          </w:p>
        </w:tc>
      </w:tr>
      <w:tr>
        <w:tc>
          <w:tcPr/>
          <w:p>
            <w:pPr>
              <w:pStyle w:val="Compact"/>
              <w:jc w:val="left"/>
            </w:pPr>
            <w:r>
              <w:t xml:space="preserve">Eficiencia ERD</w:t>
            </w:r>
          </w:p>
        </w:tc>
        <w:tc>
          <w:tcPr/>
          <w:p>
            <w:pPr>
              <w:pStyle w:val="Compact"/>
              <w:jc w:val="left"/>
            </w:pPr>
            <w:r>
              <w:t xml:space="preserve">η_ERD</w:t>
            </w:r>
          </w:p>
        </w:tc>
        <w:tc>
          <w:tcPr/>
          <w:p>
            <w:pPr>
              <w:pStyle w:val="Compact"/>
              <w:jc w:val="left"/>
            </w:pPr>
            <w:r>
              <w:t xml:space="preserve">92</w:t>
            </w:r>
          </w:p>
        </w:tc>
        <w:tc>
          <w:tcPr/>
          <w:p>
            <w:pPr>
              <w:pStyle w:val="Compact"/>
              <w:jc w:val="left"/>
            </w:pPr>
            <w:r>
              <w:t xml:space="preserve">%</w:t>
            </w:r>
          </w:p>
        </w:tc>
      </w:tr>
    </w:tbl>
    <w:bookmarkEnd w:id="62"/>
    <w:bookmarkStart w:id="63" w:name="balance-hidráulico"/>
    <w:p>
      <w:pPr>
        <w:pStyle w:val="3"/>
      </w:pPr>
      <w:r>
        <w:t xml:space="preserve">8.2 Balance Hidráulico</w:t>
      </w:r>
    </w:p>
    <w:p>
      <w:pPr>
        <w:pStyle w:val="FirstParagraph"/>
      </w:pPr>
      <w:r>
        <w:rPr>
          <w:b/>
          <w:bCs/>
        </w:rPr>
        <w:t xml:space="preserve">Cálculos:</w:t>
      </w:r>
    </w:p>
    <w:p>
      <w:pPr>
        <w:pStyle w:val="SourceCode"/>
      </w:pPr>
      <w:r>
        <w:rPr>
          <w:rStyle w:val="VerbatimChar"/>
        </w:rPr>
        <w:t xml:space="preserve">Qf (alimentación) = Qp / R = 0.375 / 0.375 = 1.000 m³/h</w:t>
      </w:r>
      <w:r>
        <w:br/>
      </w:r>
      <w:r>
        <w:rPr>
          <w:rStyle w:val="VerbatimChar"/>
        </w:rPr>
        <w:t xml:space="preserve">Qr (rechazo) = Qf - Qp = 1.000 - 0.375 = 0.625 m³/h</w:t>
      </w:r>
      <w:r>
        <w:br/>
      </w:r>
      <w:r>
        <w:rPr>
          <w:rStyle w:val="VerbatimChar"/>
        </w:rPr>
        <w:t xml:space="preserve">Verificación: R = Qp/Qf = 0.375/1.000 = 0.375 = 37.5% ✅</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Corriente</w:t>
            </w:r>
          </w:p>
        </w:tc>
        <w:tc>
          <w:tcPr/>
          <w:p>
            <w:pPr>
              <w:pStyle w:val="Compact"/>
              <w:jc w:val="left"/>
            </w:pPr>
            <w:r>
              <w:t xml:space="preserve">Caudal (m³/h)</w:t>
            </w:r>
          </w:p>
        </w:tc>
        <w:tc>
          <w:tcPr/>
          <w:p>
            <w:pPr>
              <w:pStyle w:val="Compact"/>
              <w:jc w:val="left"/>
            </w:pPr>
            <w:r>
              <w:t xml:space="preserve">Caudal (L/min)</w:t>
            </w:r>
          </w:p>
        </w:tc>
        <w:tc>
          <w:tcPr/>
          <w:p>
            <w:pPr>
              <w:pStyle w:val="Compact"/>
              <w:jc w:val="left"/>
            </w:pPr>
            <w:r>
              <w:t xml:space="preserve">TDS (ppm)</w:t>
            </w:r>
          </w:p>
        </w:tc>
      </w:tr>
      <w:tr>
        <w:tc>
          <w:tcPr/>
          <w:p>
            <w:pPr>
              <w:pStyle w:val="Compact"/>
              <w:jc w:val="left"/>
            </w:pPr>
            <w:r>
              <w:t xml:space="preserve">Alimentación (agua de mar)</w:t>
            </w:r>
          </w:p>
        </w:tc>
        <w:tc>
          <w:tcPr/>
          <w:p>
            <w:pPr>
              <w:pStyle w:val="Compact"/>
              <w:jc w:val="left"/>
            </w:pPr>
            <w:r>
              <w:t xml:space="preserve">1.000</w:t>
            </w:r>
          </w:p>
        </w:tc>
        <w:tc>
          <w:tcPr/>
          <w:p>
            <w:pPr>
              <w:pStyle w:val="Compact"/>
              <w:jc w:val="left"/>
            </w:pPr>
            <w:r>
              <w:t xml:space="preserve">16.67</w:t>
            </w:r>
          </w:p>
        </w:tc>
        <w:tc>
          <w:tcPr/>
          <w:p>
            <w:pPr>
              <w:pStyle w:val="Compact"/>
              <w:jc w:val="left"/>
            </w:pPr>
            <w:r>
              <w:t xml:space="preserve">35,000</w:t>
            </w:r>
          </w:p>
        </w:tc>
      </w:tr>
      <w:tr>
        <w:tc>
          <w:tcPr/>
          <w:p>
            <w:pPr>
              <w:pStyle w:val="Compact"/>
              <w:jc w:val="left"/>
            </w:pPr>
            <w:r>
              <w:t xml:space="preserve">Permeado (agua producto)</w:t>
            </w:r>
          </w:p>
        </w:tc>
        <w:tc>
          <w:tcPr/>
          <w:p>
            <w:pPr>
              <w:pStyle w:val="Compact"/>
              <w:jc w:val="left"/>
            </w:pPr>
            <w:r>
              <w:t xml:space="preserve">0.375</w:t>
            </w:r>
          </w:p>
        </w:tc>
        <w:tc>
          <w:tcPr/>
          <w:p>
            <w:pPr>
              <w:pStyle w:val="Compact"/>
              <w:jc w:val="left"/>
            </w:pPr>
            <w:r>
              <w:t xml:space="preserve">6.25</w:t>
            </w:r>
          </w:p>
        </w:tc>
        <w:tc>
          <w:tcPr/>
          <w:p>
            <w:pPr>
              <w:pStyle w:val="Compact"/>
              <w:jc w:val="left"/>
            </w:pPr>
            <w:r>
              <w:t xml:space="preserve">&lt; 500</w:t>
            </w:r>
          </w:p>
        </w:tc>
      </w:tr>
      <w:tr>
        <w:tc>
          <w:tcPr/>
          <w:p>
            <w:pPr>
              <w:pStyle w:val="Compact"/>
              <w:jc w:val="left"/>
            </w:pPr>
            <w:r>
              <w:t xml:space="preserve">Rechazo (salmuera)</w:t>
            </w:r>
          </w:p>
        </w:tc>
        <w:tc>
          <w:tcPr/>
          <w:p>
            <w:pPr>
              <w:pStyle w:val="Compact"/>
              <w:jc w:val="left"/>
            </w:pPr>
            <w:r>
              <w:t xml:space="preserve">0.625</w:t>
            </w:r>
          </w:p>
        </w:tc>
        <w:tc>
          <w:tcPr/>
          <w:p>
            <w:pPr>
              <w:pStyle w:val="Compact"/>
              <w:jc w:val="left"/>
            </w:pPr>
            <w:r>
              <w:t xml:space="preserve">10.42</w:t>
            </w:r>
          </w:p>
        </w:tc>
        <w:tc>
          <w:tcPr/>
          <w:p>
            <w:pPr>
              <w:pStyle w:val="Compact"/>
              <w:jc w:val="left"/>
            </w:pPr>
            <w:r>
              <w:t xml:space="preserve">~56,000</w:t>
            </w:r>
          </w:p>
        </w:tc>
      </w:tr>
    </w:tbl>
    <w:bookmarkEnd w:id="63"/>
    <w:bookmarkStart w:id="68" w:name="balance-energético"/>
    <w:p>
      <w:pPr>
        <w:pStyle w:val="3"/>
      </w:pPr>
      <w:r>
        <w:t xml:space="preserve">8.3 Balance Energético</w:t>
      </w:r>
    </w:p>
    <w:bookmarkStart w:id="64" w:name="potencia-hidráulica-sin-erd"/>
    <w:p>
      <w:pPr>
        <w:pStyle w:val="4"/>
      </w:pPr>
      <w:r>
        <w:t xml:space="preserve">8.3.1 Potencia Hidráulica sin ERD</w:t>
      </w:r>
    </w:p>
    <w:p>
      <w:pPr>
        <w:pStyle w:val="SourceCode"/>
      </w:pPr>
      <w:r>
        <w:rPr>
          <w:rStyle w:val="VerbatimChar"/>
        </w:rPr>
        <w:t xml:space="preserve">P_hidráulica = Qf × H × ρ × g / (3.6 × 10⁶ × η_bomba)</w:t>
      </w:r>
      <w:r>
        <w:br/>
      </w:r>
      <w:r>
        <w:br/>
      </w:r>
      <w:r>
        <w:rPr>
          <w:rStyle w:val="VerbatimChar"/>
        </w:rPr>
        <w:t xml:space="preserve">Donde H = P_op × 10.2 = 65 × 10.2 = 663 mca</w:t>
      </w:r>
      <w:r>
        <w:br/>
      </w:r>
      <w:r>
        <w:br/>
      </w:r>
      <w:r>
        <w:rPr>
          <w:rStyle w:val="VerbatimChar"/>
        </w:rPr>
        <w:t xml:space="preserve">P_hidráulica = 1.000 × 663 × 1,025 × 9.81 / (3.6 × 10⁶ × 0.85)</w:t>
      </w:r>
      <w:r>
        <w:br/>
      </w:r>
      <w:r>
        <w:rPr>
          <w:rStyle w:val="VerbatimChar"/>
        </w:rPr>
        <w:t xml:space="preserve">P_hidráulica = 2.179 kW</w:t>
      </w:r>
      <w:r>
        <w:br/>
      </w:r>
      <w:r>
        <w:br/>
      </w:r>
      <w:r>
        <w:rPr>
          <w:rStyle w:val="VerbatimChar"/>
        </w:rPr>
        <w:t xml:space="preserve">SEC (sin ERD) = 2.179 / 0.375 = 5.81 kWh/m³</w:t>
      </w:r>
    </w:p>
    <w:bookmarkEnd w:id="64"/>
    <w:bookmarkStart w:id="65" w:name="potencia-eléctrica-con-erd-isobárico"/>
    <w:p>
      <w:pPr>
        <w:pStyle w:val="4"/>
      </w:pPr>
      <w:r>
        <w:t xml:space="preserve">8.3.2 Potencia Eléctrica con ERD Isobárico</w:t>
      </w:r>
    </w:p>
    <w:p>
      <w:pPr>
        <w:pStyle w:val="SourceCode"/>
      </w:pPr>
      <w:r>
        <w:rPr>
          <w:rStyle w:val="VerbatimChar"/>
        </w:rPr>
        <w:t xml:space="preserve">Ahorro por ERD (92% eficiencia, 62.5% del caudal de rechazo):</w:t>
      </w:r>
      <w:r>
        <w:br/>
      </w:r>
      <w:r>
        <w:rPr>
          <w:rStyle w:val="VerbatimChar"/>
        </w:rPr>
        <w:t xml:space="preserve">P_recuperado = 2.179 × 0.625 × 0.92 = 1.253 kW</w:t>
      </w:r>
      <w:r>
        <w:br/>
      </w:r>
      <w:r>
        <w:br/>
      </w:r>
      <w:r>
        <w:rPr>
          <w:rStyle w:val="VerbatimChar"/>
        </w:rPr>
        <w:t xml:space="preserve">P_neta = 2.179 - 1.253 = 0.926 kW</w:t>
      </w:r>
      <w:r>
        <w:br/>
      </w:r>
      <w:r>
        <w:rPr>
          <w:rStyle w:val="VerbatimChar"/>
        </w:rPr>
        <w:t xml:space="preserve">P_eléctrica (motor IE5, η = 95%) = 0.926 / 0.95 = 0.975 kW</w:t>
      </w:r>
      <w:r>
        <w:br/>
      </w:r>
      <w:r>
        <w:br/>
      </w:r>
      <w:r>
        <w:rPr>
          <w:rStyle w:val="VerbatimChar"/>
        </w:rPr>
        <w:t xml:space="preserve">SEC (tren RO con ERD) = 0.975 / 0.375 = 2.60 kWh/m³ ✅</w:t>
      </w:r>
    </w:p>
    <w:p>
      <w:pPr>
        <w:pStyle w:val="aa"/>
      </w:pPr>
      <w:r>
        <w:rPr>
          <w:b/>
          <w:bCs/>
        </w:rPr>
        <w:t xml:space="preserve">Nota:</w:t>
      </w:r>
      <w:r>
        <w:t xml:space="preserve"> </w:t>
      </w:r>
      <w:r>
        <w:t xml:space="preserve">El SEC del tren RO (bomba HP + ERD) es</w:t>
      </w:r>
      <w:r>
        <w:t xml:space="preserve"> </w:t>
      </w:r>
      <w:r>
        <w:rPr>
          <w:b/>
          <w:bCs/>
        </w:rPr>
        <w:t xml:space="preserve">2.60 kWh/m³</w:t>
      </w:r>
      <w:r>
        <w:t xml:space="preserve">, cumpliendo con el objetivo OE-01 (&lt; 3.0 kWh/m³). Este valor es comparable al Caso #2 de Argelia (1.5–5.6 kWh/m³) y al Caso #6 de Portugal (3.5 kWh/m³ con ERD).</w:t>
      </w:r>
    </w:p>
    <w:bookmarkEnd w:id="65"/>
    <w:bookmarkStart w:id="66" w:name="cuadro-de-cargas-del-sistema-completo"/>
    <w:p>
      <w:pPr>
        <w:pStyle w:val="4"/>
      </w:pPr>
      <w:r>
        <w:t xml:space="preserve">8.3.3 Cuadro de Cargas del Sistema Completo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Equipo</w:t>
            </w:r>
          </w:p>
        </w:tc>
        <w:tc>
          <w:tcPr/>
          <w:p>
            <w:pPr>
              <w:pStyle w:val="Compact"/>
              <w:jc w:val="left"/>
            </w:pPr>
            <w:r>
              <w:t xml:space="preserve">Tag</w:t>
            </w:r>
          </w:p>
        </w:tc>
        <w:tc>
          <w:tcPr/>
          <w:p>
            <w:pPr>
              <w:pStyle w:val="Compact"/>
              <w:jc w:val="left"/>
            </w:pPr>
            <w:r>
              <w:t xml:space="preserve">Potencia (kW)</w:t>
            </w:r>
          </w:p>
        </w:tc>
        <w:tc>
          <w:tcPr/>
          <w:p>
            <w:pPr>
              <w:pStyle w:val="Compact"/>
              <w:jc w:val="left"/>
            </w:pPr>
            <w:r>
              <w:t xml:space="preserve">Horas/día</w:t>
            </w:r>
          </w:p>
        </w:tc>
        <w:tc>
          <w:tcPr/>
          <w:p>
            <w:pPr>
              <w:pStyle w:val="Compact"/>
              <w:jc w:val="left"/>
            </w:pPr>
            <w:r>
              <w:t xml:space="preserve">Energía (kWh/día)</w:t>
            </w:r>
          </w:p>
        </w:tc>
      </w:tr>
      <w:tr>
        <w:tc>
          <w:tcPr/>
          <w:p>
            <w:pPr>
              <w:pStyle w:val="Compact"/>
              <w:jc w:val="left"/>
            </w:pPr>
            <w:r>
              <w:t xml:space="preserve">Bomba alta presión + ERD</w:t>
            </w:r>
          </w:p>
        </w:tc>
        <w:tc>
          <w:tcPr/>
          <w:p>
            <w:pPr>
              <w:pStyle w:val="Compact"/>
              <w:jc w:val="left"/>
            </w:pPr>
            <w:r>
              <w:t xml:space="preserve">P-201</w:t>
            </w:r>
          </w:p>
        </w:tc>
        <w:tc>
          <w:tcPr/>
          <w:p>
            <w:pPr>
              <w:pStyle w:val="Compact"/>
              <w:jc w:val="left"/>
            </w:pPr>
            <w:r>
              <w:t xml:space="preserve">0.975</w:t>
            </w:r>
          </w:p>
        </w:tc>
        <w:tc>
          <w:tcPr/>
          <w:p>
            <w:pPr>
              <w:pStyle w:val="Compact"/>
              <w:jc w:val="left"/>
            </w:pPr>
            <w:r>
              <w:t xml:space="preserve">8</w:t>
            </w:r>
          </w:p>
        </w:tc>
        <w:tc>
          <w:tcPr/>
          <w:p>
            <w:pPr>
              <w:pStyle w:val="Compact"/>
              <w:jc w:val="left"/>
            </w:pPr>
            <w:r>
              <w:t xml:space="preserve">7.80</w:t>
            </w:r>
          </w:p>
        </w:tc>
      </w:tr>
      <w:tr>
        <w:tc>
          <w:tcPr/>
          <w:p>
            <w:pPr>
              <w:pStyle w:val="Compact"/>
              <w:jc w:val="left"/>
            </w:pPr>
            <w:r>
              <w:t xml:space="preserve">Bomba de captación</w:t>
            </w:r>
          </w:p>
        </w:tc>
        <w:tc>
          <w:tcPr/>
          <w:p>
            <w:pPr>
              <w:pStyle w:val="Compact"/>
              <w:jc w:val="left"/>
            </w:pPr>
            <w:r>
              <w:t xml:space="preserve">P-101</w:t>
            </w:r>
          </w:p>
        </w:tc>
        <w:tc>
          <w:tcPr/>
          <w:p>
            <w:pPr>
              <w:pStyle w:val="Compact"/>
              <w:jc w:val="left"/>
            </w:pPr>
            <w:r>
              <w:t xml:space="preserve">0.55</w:t>
            </w:r>
          </w:p>
        </w:tc>
        <w:tc>
          <w:tcPr/>
          <w:p>
            <w:pPr>
              <w:pStyle w:val="Compact"/>
              <w:jc w:val="left"/>
            </w:pPr>
            <w:r>
              <w:t xml:space="preserve">8</w:t>
            </w:r>
          </w:p>
        </w:tc>
        <w:tc>
          <w:tcPr/>
          <w:p>
            <w:pPr>
              <w:pStyle w:val="Compact"/>
              <w:jc w:val="left"/>
            </w:pPr>
            <w:r>
              <w:t xml:space="preserve">4.40</w:t>
            </w:r>
          </w:p>
        </w:tc>
      </w:tr>
      <w:tr>
        <w:tc>
          <w:tcPr/>
          <w:p>
            <w:pPr>
              <w:pStyle w:val="Compact"/>
              <w:jc w:val="left"/>
            </w:pPr>
            <w:r>
              <w:t xml:space="preserve">Bomba dosificadora</w:t>
            </w:r>
          </w:p>
        </w:tc>
        <w:tc>
          <w:tcPr/>
          <w:p>
            <w:pPr>
              <w:pStyle w:val="Compact"/>
              <w:jc w:val="left"/>
            </w:pPr>
            <w:r>
              <w:t xml:space="preserve">—</w:t>
            </w:r>
          </w:p>
        </w:tc>
        <w:tc>
          <w:tcPr/>
          <w:p>
            <w:pPr>
              <w:pStyle w:val="Compact"/>
              <w:jc w:val="left"/>
            </w:pPr>
            <w:r>
              <w:t xml:space="preserve">0.05</w:t>
            </w:r>
          </w:p>
        </w:tc>
        <w:tc>
          <w:tcPr/>
          <w:p>
            <w:pPr>
              <w:pStyle w:val="Compact"/>
              <w:jc w:val="left"/>
            </w:pPr>
            <w:r>
              <w:t xml:space="preserve">8</w:t>
            </w:r>
          </w:p>
        </w:tc>
        <w:tc>
          <w:tcPr/>
          <w:p>
            <w:pPr>
              <w:pStyle w:val="Compact"/>
              <w:jc w:val="left"/>
            </w:pPr>
            <w:r>
              <w:t xml:space="preserve">0.40</w:t>
            </w:r>
          </w:p>
        </w:tc>
      </w:tr>
      <w:tr>
        <w:tc>
          <w:tcPr/>
          <w:p>
            <w:pPr>
              <w:pStyle w:val="Compact"/>
              <w:jc w:val="left"/>
            </w:pPr>
            <w:r>
              <w:t xml:space="preserve">Lámpara UV</w:t>
            </w:r>
          </w:p>
        </w:tc>
        <w:tc>
          <w:tcPr/>
          <w:p>
            <w:pPr>
              <w:pStyle w:val="Compact"/>
              <w:jc w:val="left"/>
            </w:pPr>
            <w:r>
              <w:t xml:space="preserve">UV-301</w:t>
            </w:r>
          </w:p>
        </w:tc>
        <w:tc>
          <w:tcPr/>
          <w:p>
            <w:pPr>
              <w:pStyle w:val="Compact"/>
              <w:jc w:val="left"/>
            </w:pPr>
            <w:r>
              <w:t xml:space="preserve">0.04</w:t>
            </w:r>
          </w:p>
        </w:tc>
        <w:tc>
          <w:tcPr/>
          <w:p>
            <w:pPr>
              <w:pStyle w:val="Compact"/>
              <w:jc w:val="left"/>
            </w:pPr>
            <w:r>
              <w:t xml:space="preserve">8</w:t>
            </w:r>
          </w:p>
        </w:tc>
        <w:tc>
          <w:tcPr/>
          <w:p>
            <w:pPr>
              <w:pStyle w:val="Compact"/>
              <w:jc w:val="left"/>
            </w:pPr>
            <w:r>
              <w:t xml:space="preserve">0.32</w:t>
            </w:r>
          </w:p>
        </w:tc>
      </w:tr>
      <w:tr>
        <w:tc>
          <w:tcPr/>
          <w:p>
            <w:pPr>
              <w:pStyle w:val="Compact"/>
              <w:jc w:val="left"/>
            </w:pPr>
            <w:r>
              <w:t xml:space="preserve">PLC, SCADA, sensores</w:t>
            </w:r>
          </w:p>
        </w:tc>
        <w:tc>
          <w:tcPr/>
          <w:p>
            <w:pPr>
              <w:pStyle w:val="Compact"/>
              <w:jc w:val="left"/>
            </w:pPr>
            <w:r>
              <w:t xml:space="preserve">PLC-401</w:t>
            </w:r>
          </w:p>
        </w:tc>
        <w:tc>
          <w:tcPr/>
          <w:p>
            <w:pPr>
              <w:pStyle w:val="Compact"/>
              <w:jc w:val="left"/>
            </w:pPr>
            <w:r>
              <w:t xml:space="preserve">0.08</w:t>
            </w:r>
          </w:p>
        </w:tc>
        <w:tc>
          <w:tcPr/>
          <w:p>
            <w:pPr>
              <w:pStyle w:val="Compact"/>
              <w:jc w:val="left"/>
            </w:pPr>
            <w:r>
              <w:t xml:space="preserve">24</w:t>
            </w:r>
          </w:p>
        </w:tc>
        <w:tc>
          <w:tcPr/>
          <w:p>
            <w:pPr>
              <w:pStyle w:val="Compact"/>
              <w:jc w:val="left"/>
            </w:pPr>
            <w:r>
              <w:t xml:space="preserve">1.92</w:t>
            </w:r>
          </w:p>
        </w:tc>
      </w:tr>
      <w:tr>
        <w:tc>
          <w:tcPr/>
          <w:p>
            <w:pPr>
              <w:pStyle w:val="Compact"/>
              <w:jc w:val="left"/>
            </w:pPr>
            <w:r>
              <w:t xml:space="preserve">Ventilación contenedor</w:t>
            </w:r>
          </w:p>
        </w:tc>
        <w:tc>
          <w:tcPr/>
          <w:p>
            <w:pPr>
              <w:pStyle w:val="Compact"/>
              <w:jc w:val="left"/>
            </w:pPr>
            <w:r>
              <w:t xml:space="preserve">—</w:t>
            </w:r>
          </w:p>
        </w:tc>
        <w:tc>
          <w:tcPr/>
          <w:p>
            <w:pPr>
              <w:pStyle w:val="Compact"/>
              <w:jc w:val="left"/>
            </w:pPr>
            <w:r>
              <w:t xml:space="preserve">0.15</w:t>
            </w:r>
          </w:p>
        </w:tc>
        <w:tc>
          <w:tcPr/>
          <w:p>
            <w:pPr>
              <w:pStyle w:val="Compact"/>
              <w:jc w:val="left"/>
            </w:pPr>
            <w:r>
              <w:t xml:space="preserve">10</w:t>
            </w:r>
          </w:p>
        </w:tc>
        <w:tc>
          <w:tcPr/>
          <w:p>
            <w:pPr>
              <w:pStyle w:val="Compact"/>
              <w:jc w:val="left"/>
            </w:pPr>
            <w:r>
              <w:t xml:space="preserve">1.50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1.845</w:t>
            </w:r>
          </w:p>
        </w:tc>
        <w:tc>
          <w:tcPr/>
          <w:p>
            <w:pPr>
              <w:pStyle w:val="Compact"/>
            </w:pPr>
          </w:p>
        </w:tc>
        <w:tc>
          <w:tcPr/>
          <w:p>
            <w:pPr>
              <w:pStyle w:val="Compact"/>
              <w:jc w:val="left"/>
            </w:pPr>
            <w:r>
              <w:rPr>
                <w:b/>
                <w:bCs/>
              </w:rPr>
              <w:t xml:space="preserve">16.34</w:t>
            </w:r>
          </w:p>
        </w:tc>
      </w:tr>
    </w:tbl>
    <w:bookmarkEnd w:id="66"/>
    <w:bookmarkStart w:id="67" w:name="consumo-específico-del-sistema-completo"/>
    <w:p>
      <w:pPr>
        <w:pStyle w:val="4"/>
      </w:pPr>
      <w:r>
        <w:t xml:space="preserve">8.3.4 Consumo Específico del Sistema Completo</w:t>
      </w:r>
    </w:p>
    <w:p>
      <w:pPr>
        <w:pStyle w:val="SourceCode"/>
      </w:pPr>
      <w:r>
        <w:rPr>
          <w:rStyle w:val="VerbatimChar"/>
        </w:rPr>
        <w:t xml:space="preserve">SEC_total = E_total / Qp_día = 16.34 / 3.0 = 5.45 kWh/m³</w:t>
      </w:r>
    </w:p>
    <w:p>
      <w:pPr>
        <w:pStyle w:val="aa"/>
      </w:pPr>
      <w:r>
        <w:rPr>
          <w:b/>
          <w:bCs/>
        </w:rPr>
        <w:t xml:space="preserve">Nota:</w:t>
      </w:r>
      <w:r>
        <w:t xml:space="preserve"> </w:t>
      </w:r>
      <w:r>
        <w:t xml:space="preserve">El SEC del sistema completo (5.45 kWh/m³) incluye todos los equipos auxiliares (captación, dosificación, UV, automatización, ventilación). Este valor es conservador y está dentro del rango de plantas desalinizadoras solares modulares documentadas (Caso #2 Argelia: 1.5–5.6 kWh/m³; Caso #6 Portugal: 3.5 kWh/m³ con ERD).</w:t>
      </w:r>
    </w:p>
    <w:p>
      <w:pPr>
        <w:pStyle w:val="aa"/>
      </w:pPr>
      <w:r>
        <w:rPr>
          <w:b/>
          <w:bCs/>
        </w:rPr>
        <w:t xml:space="preserve">Optimización futura:</w:t>
      </w:r>
      <w:r>
        <w:t xml:space="preserve"> </w:t>
      </w:r>
      <w:r>
        <w:t xml:space="preserve">El uso de bomba de captación solar directa (0.25 kW) y UV LED (0.02 kW) puede reducir el SEC_total a ~4.4 kWh/m³ en Fase II.</w:t>
      </w:r>
    </w:p>
    <w:bookmarkEnd w:id="67"/>
    <w:bookmarkEnd w:id="68"/>
    <w:bookmarkStart w:id="73" w:name="Xef531af6d9f1bc863adf83db5093ea97d3ebb0a"/>
    <w:p>
      <w:pPr>
        <w:pStyle w:val="3"/>
      </w:pPr>
      <w:r>
        <w:t xml:space="preserve">8.4 Dimensionamiento del Sistema Fotovoltaico</w:t>
      </w:r>
    </w:p>
    <w:bookmarkStart w:id="69" w:name="potencia-pico-requerida"/>
    <w:p>
      <w:pPr>
        <w:pStyle w:val="4"/>
      </w:pPr>
      <w:r>
        <w:t xml:space="preserve">8.4.1 Potencia Pico Requerida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Potencia total del sistema</w:t>
            </w:r>
          </w:p>
        </w:tc>
        <w:tc>
          <w:tcPr/>
          <w:p>
            <w:pPr>
              <w:pStyle w:val="Compact"/>
              <w:jc w:val="left"/>
            </w:pPr>
            <w:r>
              <w:t xml:space="preserve">1.845 kW</w:t>
            </w:r>
          </w:p>
        </w:tc>
      </w:tr>
      <w:tr>
        <w:tc>
          <w:tcPr/>
          <w:p>
            <w:pPr>
              <w:pStyle w:val="Compact"/>
              <w:jc w:val="left"/>
            </w:pPr>
            <w:r>
              <w:t xml:space="preserve">Factor de derating (temperatura, polvo, cableado)</w:t>
            </w:r>
          </w:p>
        </w:tc>
        <w:tc>
          <w:tcPr/>
          <w:p>
            <w:pPr>
              <w:pStyle w:val="Compact"/>
              <w:jc w:val="left"/>
            </w:pPr>
            <w:r>
              <w:t xml:space="preserve">75%</w:t>
            </w:r>
          </w:p>
        </w:tc>
      </w:tr>
      <w:tr>
        <w:tc>
          <w:tcPr/>
          <w:p>
            <w:pPr>
              <w:pStyle w:val="Compact"/>
              <w:jc w:val="left"/>
            </w:pPr>
            <w:r>
              <w:t xml:space="preserve">Potencia pico requerida</w:t>
            </w:r>
          </w:p>
        </w:tc>
        <w:tc>
          <w:tcPr/>
          <w:p>
            <w:pPr>
              <w:pStyle w:val="Compact"/>
              <w:jc w:val="left"/>
            </w:pPr>
            <w:r>
              <w:t xml:space="preserve">1.845 / 0.75 =</w:t>
            </w:r>
            <w:r>
              <w:t xml:space="preserve"> </w:t>
            </w:r>
            <w:r>
              <w:rPr>
                <w:b/>
                <w:bCs/>
              </w:rPr>
              <w:t xml:space="preserve">2.46 kWp</w:t>
            </w:r>
          </w:p>
        </w:tc>
      </w:tr>
    </w:tbl>
    <w:bookmarkEnd w:id="69"/>
    <w:bookmarkStart w:id="70" w:name="selección-de-paneles"/>
    <w:p>
      <w:pPr>
        <w:pStyle w:val="4"/>
      </w:pPr>
      <w:r>
        <w:t xml:space="preserve">8.4.2 Selección de Paneles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Panel seleccionado</w:t>
            </w:r>
          </w:p>
        </w:tc>
        <w:tc>
          <w:tcPr/>
          <w:p>
            <w:pPr>
              <w:pStyle w:val="Compact"/>
              <w:jc w:val="left"/>
            </w:pPr>
            <w:r>
              <w:t xml:space="preserve">Monocristalino N-Type Bifacial, 500W</w:t>
            </w:r>
          </w:p>
        </w:tc>
      </w:tr>
      <w:tr>
        <w:tc>
          <w:tcPr/>
          <w:p>
            <w:pPr>
              <w:pStyle w:val="Compact"/>
              <w:jc w:val="left"/>
            </w:pPr>
            <w:r>
              <w:t xml:space="preserve">Cantidad</w:t>
            </w:r>
          </w:p>
        </w:tc>
        <w:tc>
          <w:tcPr/>
          <w:p>
            <w:pPr>
              <w:pStyle w:val="Compact"/>
              <w:jc w:val="left"/>
            </w:pPr>
            <w:r>
              <w:t xml:space="preserve">10 paneles</w:t>
            </w:r>
          </w:p>
        </w:tc>
      </w:tr>
      <w:tr>
        <w:tc>
          <w:tcPr/>
          <w:p>
            <w:pPr>
              <w:pStyle w:val="Compact"/>
              <w:jc w:val="left"/>
            </w:pPr>
            <w:r>
              <w:t xml:space="preserve">Potencia pico total instalada</w:t>
            </w:r>
          </w:p>
        </w:tc>
        <w:tc>
          <w:tcPr/>
          <w:p>
            <w:pPr>
              <w:pStyle w:val="Compact"/>
              <w:jc w:val="left"/>
            </w:pPr>
            <w:r>
              <w:rPr>
                <w:b/>
                <w:bCs/>
              </w:rPr>
              <w:t xml:space="preserve">5.0 kWp</w:t>
            </w:r>
          </w:p>
        </w:tc>
      </w:tr>
      <w:tr>
        <w:tc>
          <w:tcPr/>
          <w:p>
            <w:pPr>
              <w:pStyle w:val="Compact"/>
              <w:jc w:val="left"/>
            </w:pPr>
            <w:r>
              <w:t xml:space="preserve">Configuración</w:t>
            </w:r>
          </w:p>
        </w:tc>
        <w:tc>
          <w:tcPr/>
          <w:p>
            <w:pPr>
              <w:pStyle w:val="Compact"/>
              <w:jc w:val="left"/>
            </w:pPr>
            <w:r>
              <w:t xml:space="preserve">1 string × 10 paneles en serie</w:t>
            </w:r>
          </w:p>
        </w:tc>
      </w:tr>
      <w:tr>
        <w:tc>
          <w:tcPr/>
          <w:p>
            <w:pPr>
              <w:pStyle w:val="Compact"/>
              <w:jc w:val="left"/>
            </w:pPr>
            <w:r>
              <w:t xml:space="preserve">Voltaje del string</w:t>
            </w:r>
          </w:p>
        </w:tc>
        <w:tc>
          <w:tcPr/>
          <w:p>
            <w:pPr>
              <w:pStyle w:val="Compact"/>
              <w:jc w:val="left"/>
            </w:pPr>
            <w:r>
              <w:t xml:space="preserve">10 × 45V = 450V DC</w:t>
            </w:r>
          </w:p>
        </w:tc>
      </w:tr>
      <w:tr>
        <w:tc>
          <w:tcPr/>
          <w:p>
            <w:pPr>
              <w:pStyle w:val="Compact"/>
              <w:jc w:val="left"/>
            </w:pPr>
            <w:r>
              <w:t xml:space="preserve">Corriente del string</w:t>
            </w:r>
          </w:p>
        </w:tc>
        <w:tc>
          <w:tcPr/>
          <w:p>
            <w:pPr>
              <w:pStyle w:val="Compact"/>
              <w:jc w:val="left"/>
            </w:pPr>
            <w:r>
              <w:t xml:space="preserve">~11.1 A</w:t>
            </w:r>
          </w:p>
        </w:tc>
      </w:tr>
    </w:tbl>
    <w:p>
      <w:pPr>
        <w:pStyle w:val="aa"/>
      </w:pPr>
      <w:r>
        <w:rPr>
          <w:b/>
          <w:bCs/>
        </w:rPr>
        <w:t xml:space="preserve">Justificación del sobredimensionamiento:</w:t>
      </w:r>
      <w:r>
        <w:t xml:space="preserve"> </w:t>
      </w:r>
      <w:r>
        <w:t xml:space="preserve">La potencia instalada (5.0 kWp) es 2.03× la potencia requerida (2.46 kWp). Este margen del</w:t>
      </w:r>
      <w:r>
        <w:t xml:space="preserve"> </w:t>
      </w:r>
      <w:r>
        <w:rPr>
          <w:b/>
          <w:bCs/>
        </w:rPr>
        <w:t xml:space="preserve">103%</w:t>
      </w:r>
      <w:r>
        <w:t xml:space="preserve"> </w:t>
      </w:r>
      <w:r>
        <w:t xml:space="preserve">garantiza operación continua durante:</w:t>
      </w:r>
      <w:r>
        <w:t xml:space="preserve"> </w:t>
      </w:r>
      <w:r>
        <w:t xml:space="preserve">- Días nublados (radiación reducida 30–50%)</w:t>
      </w:r>
      <w:r>
        <w:t xml:space="preserve"> </w:t>
      </w:r>
      <w:r>
        <w:t xml:space="preserve">- Envejecimiento de paneles (degradación anual ~0.5%)</w:t>
      </w:r>
      <w:r>
        <w:t xml:space="preserve"> </w:t>
      </w:r>
      <w:r>
        <w:t xml:space="preserve">- Acumulación de polvo (pérdida 5–10%)</w:t>
      </w:r>
      <w:r>
        <w:t xml:space="preserve"> </w:t>
      </w:r>
      <w:r>
        <w:t xml:space="preserve">- Temperaturas elevadas (pérdida de eficiencia 10–15%)</w:t>
      </w:r>
      <w:r>
        <w:t xml:space="preserve"> </w:t>
      </w:r>
      <w:r>
        <w:t xml:space="preserve">- Arranque de la bomba HP (picos de corriente)</w:t>
      </w:r>
    </w:p>
    <w:bookmarkEnd w:id="70"/>
    <w:bookmarkStart w:id="71" w:name="verificación-de-generación"/>
    <w:p>
      <w:pPr>
        <w:pStyle w:val="4"/>
      </w:pPr>
      <w:r>
        <w:t xml:space="preserve">8.4.3 Verificación de Generación</w:t>
      </w:r>
    </w:p>
    <w:p>
      <w:pPr>
        <w:pStyle w:val="FirstParagraph"/>
      </w:pPr>
      <w:r>
        <w:t xml:space="preserve">La Guajira tiene una radiación solar promedio de</w:t>
      </w:r>
      <w:r>
        <w:t xml:space="preserve"> </w:t>
      </w:r>
      <w:r>
        <w:rPr>
          <w:b/>
          <w:bCs/>
        </w:rPr>
        <w:t xml:space="preserve">5.5–6.0 kWh/m²/día</w:t>
      </w:r>
      <w:r>
        <w:t xml:space="preserve"> </w:t>
      </w:r>
      <w:r>
        <w:t xml:space="preserve">(NASA POWER / IDEAM).</w:t>
      </w:r>
    </w:p>
    <w:p>
      <w:pPr>
        <w:pStyle w:val="SourceCode"/>
      </w:pPr>
      <w:r>
        <w:rPr>
          <w:rStyle w:val="VerbatimChar"/>
        </w:rPr>
        <w:t xml:space="preserve">Generación diaria estimada = 5.0 kWp × 5.5 h × 0.75 = 20.62 kWh/día</w:t>
      </w:r>
      <w:r>
        <w:br/>
      </w:r>
      <w:r>
        <w:rPr>
          <w:rStyle w:val="VerbatimChar"/>
        </w:rPr>
        <w:t xml:space="preserve">Energía requerida: 16.34 kWh/día</w:t>
      </w:r>
      <w:r>
        <w:br/>
      </w:r>
      <w:r>
        <w:rPr>
          <w:rStyle w:val="VerbatimChar"/>
        </w:rPr>
        <w:t xml:space="preserve">Margen de generación: (20.62 - 16.34) / 16.34 = 26.2%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Escenario</w:t>
            </w:r>
          </w:p>
        </w:tc>
        <w:tc>
          <w:tcPr/>
          <w:p>
            <w:pPr>
              <w:pStyle w:val="Compact"/>
              <w:jc w:val="left"/>
            </w:pPr>
            <w:r>
              <w:t xml:space="preserve">Radiación</w:t>
            </w:r>
          </w:p>
        </w:tc>
        <w:tc>
          <w:tcPr/>
          <w:p>
            <w:pPr>
              <w:pStyle w:val="Compact"/>
              <w:jc w:val="left"/>
            </w:pPr>
            <w:r>
              <w:t xml:space="preserve">Generación</w:t>
            </w:r>
          </w:p>
        </w:tc>
        <w:tc>
          <w:tcPr/>
          <w:p>
            <w:pPr>
              <w:pStyle w:val="Compact"/>
              <w:jc w:val="left"/>
            </w:pPr>
            <w:r>
              <w:t xml:space="preserve">Requerida</w:t>
            </w:r>
          </w:p>
        </w:tc>
        <w:tc>
          <w:tcPr/>
          <w:p>
            <w:pPr>
              <w:pStyle w:val="Compact"/>
              <w:jc w:val="left"/>
            </w:pPr>
            <w:r>
              <w:t xml:space="preserve">Margen</w:t>
            </w:r>
          </w:p>
        </w:tc>
      </w:tr>
      <w:tr>
        <w:tc>
          <w:tcPr/>
          <w:p>
            <w:pPr>
              <w:pStyle w:val="Compact"/>
              <w:jc w:val="left"/>
            </w:pPr>
            <w:r>
              <w:t xml:space="preserve">Día promedio</w:t>
            </w:r>
          </w:p>
        </w:tc>
        <w:tc>
          <w:tcPr/>
          <w:p>
            <w:pPr>
              <w:pStyle w:val="Compact"/>
              <w:jc w:val="left"/>
            </w:pPr>
            <w:r>
              <w:t xml:space="preserve">5.5 kWh/m²</w:t>
            </w:r>
          </w:p>
        </w:tc>
        <w:tc>
          <w:tcPr/>
          <w:p>
            <w:pPr>
              <w:pStyle w:val="Compact"/>
              <w:jc w:val="left"/>
            </w:pPr>
            <w:r>
              <w:t xml:space="preserve">20.62 kWh</w:t>
            </w:r>
          </w:p>
        </w:tc>
        <w:tc>
          <w:tcPr/>
          <w:p>
            <w:pPr>
              <w:pStyle w:val="Compact"/>
              <w:jc w:val="left"/>
            </w:pPr>
            <w:r>
              <w:t xml:space="preserve">16.34 kWh</w:t>
            </w:r>
          </w:p>
        </w:tc>
        <w:tc>
          <w:tcPr/>
          <w:p>
            <w:pPr>
              <w:pStyle w:val="Compact"/>
              <w:jc w:val="left"/>
            </w:pPr>
            <w:r>
              <w:t xml:space="preserve">+26.2% ✅</w:t>
            </w:r>
          </w:p>
        </w:tc>
      </w:tr>
      <w:tr>
        <w:tc>
          <w:tcPr/>
          <w:p>
            <w:pPr>
              <w:pStyle w:val="Compact"/>
              <w:jc w:val="left"/>
            </w:pPr>
            <w:r>
              <w:t xml:space="preserve">Día nublado (-30%)</w:t>
            </w:r>
          </w:p>
        </w:tc>
        <w:tc>
          <w:tcPr/>
          <w:p>
            <w:pPr>
              <w:pStyle w:val="Compact"/>
              <w:jc w:val="left"/>
            </w:pPr>
            <w:r>
              <w:t xml:space="preserve">3.85 kWh/m²</w:t>
            </w:r>
          </w:p>
        </w:tc>
        <w:tc>
          <w:tcPr/>
          <w:p>
            <w:pPr>
              <w:pStyle w:val="Compact"/>
              <w:jc w:val="left"/>
            </w:pPr>
            <w:r>
              <w:t xml:space="preserve">14.43 kWh</w:t>
            </w:r>
          </w:p>
        </w:tc>
        <w:tc>
          <w:tcPr/>
          <w:p>
            <w:pPr>
              <w:pStyle w:val="Compact"/>
              <w:jc w:val="left"/>
            </w:pPr>
            <w:r>
              <w:t xml:space="preserve">16.34 kWh</w:t>
            </w:r>
          </w:p>
        </w:tc>
        <w:tc>
          <w:tcPr/>
          <w:p>
            <w:pPr>
              <w:pStyle w:val="Compact"/>
              <w:jc w:val="left"/>
            </w:pPr>
            <w:r>
              <w:t xml:space="preserve">-11.7% ⚠️</w:t>
            </w:r>
          </w:p>
        </w:tc>
      </w:tr>
      <w:tr>
        <w:tc>
          <w:tcPr/>
          <w:p>
            <w:pPr>
              <w:pStyle w:val="Compact"/>
              <w:jc w:val="left"/>
            </w:pPr>
            <w:r>
              <w:t xml:space="preserve">Día nublado (-50%)</w:t>
            </w:r>
          </w:p>
        </w:tc>
        <w:tc>
          <w:tcPr/>
          <w:p>
            <w:pPr>
              <w:pStyle w:val="Compact"/>
              <w:jc w:val="left"/>
            </w:pPr>
            <w:r>
              <w:t xml:space="preserve">2.75 kWh/m²</w:t>
            </w:r>
          </w:p>
        </w:tc>
        <w:tc>
          <w:tcPr/>
          <w:p>
            <w:pPr>
              <w:pStyle w:val="Compact"/>
              <w:jc w:val="left"/>
            </w:pPr>
            <w:r>
              <w:t xml:space="preserve">10.31 kWh</w:t>
            </w:r>
          </w:p>
        </w:tc>
        <w:tc>
          <w:tcPr/>
          <w:p>
            <w:pPr>
              <w:pStyle w:val="Compact"/>
              <w:jc w:val="left"/>
            </w:pPr>
            <w:r>
              <w:t xml:space="preserve">16.34 kWh</w:t>
            </w:r>
          </w:p>
        </w:tc>
        <w:tc>
          <w:tcPr/>
          <w:p>
            <w:pPr>
              <w:pStyle w:val="Compact"/>
              <w:jc w:val="left"/>
            </w:pPr>
            <w:r>
              <w:t xml:space="preserve">-36.9% ❌</w:t>
            </w:r>
          </w:p>
        </w:tc>
      </w:tr>
    </w:tbl>
    <w:p>
      <w:pPr>
        <w:pStyle w:val="aa"/>
      </w:pPr>
      <w:r>
        <w:rPr>
          <w:b/>
          <w:bCs/>
        </w:rPr>
        <w:t xml:space="preserve">Estrategia ante nublados:</w:t>
      </w:r>
      <w:r>
        <w:t xml:space="preserve"> </w:t>
      </w:r>
      <w:r>
        <w:t xml:space="preserve">El tanque de almacenamiento (5,000 L) almacena 1.67 días de producción. En días nublados consecutivos, el sistema reduce producción proporcionalmente a la radiación disponible, priorizando el llenado del tanque.</w:t>
      </w:r>
    </w:p>
    <w:p>
      <w:pPr>
        <w:pStyle w:val="Heading 4"/>
      </w:pPr>
      <w:r>
        <w:rPr>
          <w:b/>
          <w:rFonts w:ascii="Calibri" w:hAnsi="Calibri"/>
          <w:sz w:val="28"/>
          <w:szCs w:val="28"/>
        </w:rPr>
        <w:t xml:space="preserve">8.4.5 Estrategia para Nublados Extendidos (&gt; 3 días consecutivos)</w:t>
      </w:r>
    </w:p>
    <w:p>
      <w:pPr/>
      <w:r>
        <w:t>(5) Ampliación de almacenamiento en Fase II: Se ampliará la capacidad del tanque a 167,000 L para proporcionar 3.34 días de autonomía a 50 m³/día, cubriendo el 95% de los eventos climáticos registrados en La Guajira. Según datos de la estación IDEAM Manaure (código 23015020), la radiación solar promedio es de 5.5–6.0 kWh/m²/día, con desviación estándar de 0.8 kWh/m²/día. Eventos con radiación &lt; 3.0 kWh/m²/día ocurren en promedio 3–5 días consecutivos durante el fenómeno de La Niña, con frecuencia de retorno de 2–3 años (IDEAM, Atlas de Radiación Solar de Colombia, 2023). Para escenarios extremos (&gt;7 días), se activa el protocolo de emergencia comunitario descrito en esta sección.</w:t>
      </w:r>
    </w:p>
    <w:p>
      <w:pPr/>
      <w:r>
        <w:rPr>
          <w:rFonts w:ascii="Calibri" w:hAnsi="Calibri"/>
          <w:sz w:val="22"/>
          <w:szCs w:val="22"/>
        </w:rPr>
        <w:t xml:space="preserve">El análisis de generación (Sección 8.4.3) muestra que en días nublados con radiación reducida al 50% (2.75 kWh/m²/día), la generación solar cae a 10.31 kWh/día, insuficiente para cubrir los 16.34 kWh/día requeridos (-36.9%). El tanque de almacenamiento de 5,000 L proporciona 1.67 días de autonomía a producción completa.</w:t>
      </w:r>
    </w:p>
    <w:bookmarkEnd w:id="71"/>
    <w:bookmarkStart w:id="72" w:name="X569ff9e737eb017e5a35f95b0450664693b1a21"/>
    <w:p>
      <w:pPr>
        <w:pStyle w:val="4"/>
      </w:pPr>
      <w:r>
        <w:t xml:space="preserve">8.4.4 Estrategia de Operación Solar (Water-as-Battery)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Período</w:t>
            </w:r>
          </w:p>
        </w:tc>
        <w:tc>
          <w:tcPr/>
          <w:p>
            <w:pPr>
              <w:pStyle w:val="Compact"/>
              <w:jc w:val="left"/>
            </w:pPr>
            <w:r>
              <w:t xml:space="preserve">Radiación</w:t>
            </w:r>
          </w:p>
        </w:tc>
        <w:tc>
          <w:tcPr/>
          <w:p>
            <w:pPr>
              <w:pStyle w:val="Compact"/>
              <w:jc w:val="left"/>
            </w:pPr>
            <w:r>
              <w:t xml:space="preserve">Acción</w:t>
            </w:r>
          </w:p>
        </w:tc>
        <w:tc>
          <w:tcPr/>
          <w:p>
            <w:pPr>
              <w:pStyle w:val="Compact"/>
              <w:jc w:val="left"/>
            </w:pPr>
            <w:r>
              <w:t xml:space="preserve">Producción</w:t>
            </w:r>
          </w:p>
        </w:tc>
      </w:tr>
      <w:tr>
        <w:tc>
          <w:tcPr/>
          <w:p>
            <w:pPr>
              <w:pStyle w:val="Compact"/>
              <w:jc w:val="left"/>
            </w:pPr>
            <w:r>
              <w:t xml:space="preserve">06:00–08:00</w:t>
            </w:r>
          </w:p>
        </w:tc>
        <w:tc>
          <w:tcPr/>
          <w:p>
            <w:pPr>
              <w:pStyle w:val="Compact"/>
              <w:jc w:val="left"/>
            </w:pPr>
            <w:r>
              <w:t xml:space="preserve">Baja (&lt; 200 W/m²)</w:t>
            </w:r>
          </w:p>
        </w:tc>
        <w:tc>
          <w:tcPr/>
          <w:p>
            <w:pPr>
              <w:pStyle w:val="Compact"/>
              <w:jc w:val="left"/>
            </w:pPr>
            <w:r>
              <w:t xml:space="preserve">Solo SCADA + comunicaciones (UPS 24V)</w:t>
            </w:r>
          </w:p>
        </w:tc>
        <w:tc>
          <w:tcPr/>
          <w:p>
            <w:pPr>
              <w:pStyle w:val="Compact"/>
              <w:jc w:val="left"/>
            </w:pPr>
            <w:r>
              <w:t xml:space="preserve">0 m³/h</w:t>
            </w:r>
          </w:p>
        </w:tc>
      </w:tr>
      <w:tr>
        <w:tc>
          <w:tcPr/>
          <w:p>
            <w:pPr>
              <w:pStyle w:val="Compact"/>
              <w:jc w:val="left"/>
            </w:pPr>
            <w:r>
              <w:t xml:space="preserve">08:00–10:00</w:t>
            </w:r>
          </w:p>
        </w:tc>
        <w:tc>
          <w:tcPr/>
          <w:p>
            <w:pPr>
              <w:pStyle w:val="Compact"/>
              <w:jc w:val="left"/>
            </w:pPr>
            <w:r>
              <w:t xml:space="preserve">Creciente (200–400 W/m²)</w:t>
            </w:r>
          </w:p>
        </w:tc>
        <w:tc>
          <w:tcPr/>
          <w:p>
            <w:pPr>
              <w:pStyle w:val="Compact"/>
              <w:jc w:val="left"/>
            </w:pPr>
            <w:r>
              <w:t xml:space="preserve">Bomba captación ON. Inicio RO a 30% capacidad</w:t>
            </w:r>
          </w:p>
        </w:tc>
        <w:tc>
          <w:tcPr/>
          <w:p>
            <w:pPr>
              <w:pStyle w:val="Compact"/>
              <w:jc w:val="left"/>
            </w:pPr>
            <w:r>
              <w:t xml:space="preserve">0.11 m³/h</w:t>
            </w:r>
          </w:p>
        </w:tc>
      </w:tr>
      <w:tr>
        <w:tc>
          <w:tcPr/>
          <w:p>
            <w:pPr>
              <w:pStyle w:val="Compact"/>
              <w:jc w:val="left"/>
            </w:pPr>
            <w:r>
              <w:t xml:space="preserve">10:00–14:00</w:t>
            </w:r>
          </w:p>
        </w:tc>
        <w:tc>
          <w:tcPr/>
          <w:p>
            <w:pPr>
              <w:pStyle w:val="Compact"/>
              <w:jc w:val="left"/>
            </w:pPr>
            <w:r>
              <w:t xml:space="preserve">Pico (400–1,000 W/m²)</w:t>
            </w:r>
          </w:p>
        </w:tc>
        <w:tc>
          <w:tcPr/>
          <w:p>
            <w:pPr>
              <w:pStyle w:val="Compact"/>
              <w:jc w:val="left"/>
            </w:pPr>
            <w:r>
              <w:t xml:space="preserve">Producción máxima. HPP a 100% capacidad</w:t>
            </w:r>
          </w:p>
        </w:tc>
        <w:tc>
          <w:tcPr/>
          <w:p>
            <w:pPr>
              <w:pStyle w:val="Compact"/>
              <w:jc w:val="left"/>
            </w:pPr>
            <w:r>
              <w:t xml:space="preserve">0.375 m³/h</w:t>
            </w:r>
          </w:p>
        </w:tc>
      </w:tr>
      <w:tr>
        <w:tc>
          <w:tcPr/>
          <w:p>
            <w:pPr>
              <w:pStyle w:val="Compact"/>
              <w:jc w:val="left"/>
            </w:pPr>
            <w:r>
              <w:t xml:space="preserve">14:00–16:00</w:t>
            </w:r>
          </w:p>
        </w:tc>
        <w:tc>
          <w:tcPr/>
          <w:p>
            <w:pPr>
              <w:pStyle w:val="Compact"/>
              <w:jc w:val="left"/>
            </w:pPr>
            <w:r>
              <w:t xml:space="preserve">Decreciente (400–200 W/m²)</w:t>
            </w:r>
          </w:p>
        </w:tc>
        <w:tc>
          <w:tcPr/>
          <w:p>
            <w:pPr>
              <w:pStyle w:val="Compact"/>
              <w:jc w:val="left"/>
            </w:pPr>
            <w:r>
              <w:t xml:space="preserve">Producción reducción proporcional</w:t>
            </w:r>
          </w:p>
        </w:tc>
        <w:tc>
          <w:tcPr/>
          <w:p>
            <w:pPr>
              <w:pStyle w:val="Compact"/>
              <w:jc w:val="left"/>
            </w:pPr>
            <w:r>
              <w:t xml:space="preserve">0.11–0.375 m³/h</w:t>
            </w:r>
          </w:p>
        </w:tc>
      </w:tr>
      <w:tr>
        <w:tc>
          <w:tcPr/>
          <w:p>
            <w:pPr>
              <w:pStyle w:val="Compact"/>
              <w:jc w:val="left"/>
            </w:pPr>
            <w:r>
              <w:t xml:space="preserve">16:00–18:00</w:t>
            </w:r>
          </w:p>
        </w:tc>
        <w:tc>
          <w:tcPr/>
          <w:p>
            <w:pPr>
              <w:pStyle w:val="Compact"/>
              <w:jc w:val="left"/>
            </w:pPr>
            <w:r>
              <w:t xml:space="preserve">Baja (&lt; 200 W/m²)</w:t>
            </w:r>
          </w:p>
        </w:tc>
        <w:tc>
          <w:tcPr/>
          <w:p>
            <w:pPr>
              <w:pStyle w:val="Compact"/>
              <w:jc w:val="left"/>
            </w:pPr>
            <w:r>
              <w:t xml:space="preserve">Bomba captación OFF. Purga de sistema</w:t>
            </w:r>
          </w:p>
        </w:tc>
        <w:tc>
          <w:tcPr/>
          <w:p>
            <w:pPr>
              <w:pStyle w:val="Compact"/>
              <w:jc w:val="left"/>
            </w:pPr>
            <w:r>
              <w:t xml:space="preserve">0 m³/h</w:t>
            </w:r>
          </w:p>
        </w:tc>
      </w:tr>
      <w:tr>
        <w:tc>
          <w:tcPr/>
          <w:p>
            <w:pPr>
              <w:pStyle w:val="Compact"/>
              <w:jc w:val="left"/>
            </w:pPr>
            <w:r>
              <w:t xml:space="preserve">18:00–06:00</w:t>
            </w:r>
          </w:p>
        </w:tc>
        <w:tc>
          <w:tcPr/>
          <w:p>
            <w:pPr>
              <w:pStyle w:val="Compact"/>
              <w:jc w:val="left"/>
            </w:pPr>
            <w:r>
              <w:t xml:space="preserve">Nula</w:t>
            </w:r>
          </w:p>
        </w:tc>
        <w:tc>
          <w:tcPr/>
          <w:p>
            <w:pPr>
              <w:pStyle w:val="Compact"/>
              <w:jc w:val="left"/>
            </w:pPr>
            <w:r>
              <w:t xml:space="preserve">Sin producción. Consumo desde tanque 5,000 L</w:t>
            </w:r>
          </w:p>
        </w:tc>
        <w:tc>
          <w:tcPr/>
          <w:p>
            <w:pPr>
              <w:pStyle w:val="Compact"/>
              <w:jc w:val="left"/>
            </w:pPr>
            <w:r>
              <w:t xml:space="preserve">0 m³/h</w:t>
            </w:r>
          </w:p>
        </w:tc>
      </w:tr>
    </w:tbl>
    <w:p>
      <w:pPr>
        <w:pStyle w:val="aa"/>
      </w:pPr>
      <w:r>
        <w:rPr>
          <w:b/>
          <w:bCs/>
        </w:rPr>
        <w:t xml:space="preserve">Filosofía Water-as-Battery:</w:t>
      </w:r>
      <w:r>
        <w:t xml:space="preserve"> </w:t>
      </w:r>
      <w:r>
        <w:t xml:space="preserve">El sistema convierte energía solar excedente en agua almacenada, eliminando la necesidad de baterías electroquímicas costosas. El tanque de 5,000 L proporciona autonomía para 1.67 días sin sol.</w:t>
      </w:r>
    </w:p>
    <w:bookmarkEnd w:id="72"/>
    <w:bookmarkEnd w:id="73"/>
    <w:bookmarkEnd w:id="74"/>
    <w:bookmarkStart w:id="83" w:name="X3a5443b229a10060198c0bfc66e18b28cb82bc4"/>
    <w:p>
      <w:pPr>
        <w:pStyle w:val="2"/>
      </w:pPr>
      <w:r>
        <w:t xml:space="preserve">9. EVIDENCIA DE FUNCIONAMIENTO Y CASOS DE REFERENCIA</w:t>
      </w:r>
    </w:p>
    <w:bookmarkStart w:id="75" w:name="trabajo-de-ingeniería-realizado"/>
    <w:p>
      <w:pPr>
        <w:pStyle w:val="3"/>
      </w:pPr>
      <w:r>
        <w:t xml:space="preserve">9.1 Trabajo de Ingeniería Realizado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Actividad</w:t>
            </w:r>
          </w:p>
        </w:tc>
        <w:tc>
          <w:tcPr/>
          <w:p>
            <w:pPr>
              <w:pStyle w:val="Compact"/>
              <w:jc w:val="left"/>
            </w:pPr>
            <w:r>
              <w:t xml:space="preserve">Estado</w:t>
            </w:r>
          </w:p>
        </w:tc>
        <w:tc>
          <w:tcPr/>
          <w:p>
            <w:pPr>
              <w:pStyle w:val="Compact"/>
              <w:jc w:val="left"/>
            </w:pPr>
            <w:r>
              <w:t xml:space="preserve">Documento</w:t>
            </w:r>
          </w:p>
        </w:tc>
      </w:tr>
      <w:tr>
        <w:tc>
          <w:tcPr/>
          <w:p>
            <w:pPr>
              <w:pStyle w:val="Compact"/>
              <w:jc w:val="left"/>
            </w:pPr>
            <w:r>
              <w:t xml:space="preserve">FEED — Arquitectura P&amp;ID</w:t>
            </w:r>
          </w:p>
        </w:tc>
        <w:tc>
          <w:tcPr/>
          <w:p>
            <w:pPr>
              <w:pStyle w:val="Compact"/>
              <w:jc w:val="left"/>
            </w:pPr>
            <w:r>
              <w:t xml:space="preserve">Completado</w:t>
            </w:r>
          </w:p>
        </w:tc>
        <w:tc>
          <w:tcPr/>
          <w:p>
            <w:pPr>
              <w:pStyle w:val="Compact"/>
              <w:jc w:val="left"/>
            </w:pPr>
            <w:r>
              <w:t xml:space="preserve">AQ8-002</w:t>
            </w:r>
          </w:p>
        </w:tc>
      </w:tr>
      <w:tr>
        <w:tc>
          <w:tcPr/>
          <w:p>
            <w:pPr>
              <w:pStyle w:val="Compact"/>
              <w:jc w:val="left"/>
            </w:pPr>
            <w:r>
              <w:t xml:space="preserve">FEED — Arquitectura Eléctrica</w:t>
            </w:r>
          </w:p>
        </w:tc>
        <w:tc>
          <w:tcPr/>
          <w:p>
            <w:pPr>
              <w:pStyle w:val="Compact"/>
              <w:jc w:val="left"/>
            </w:pPr>
            <w:r>
              <w:t xml:space="preserve">Completado</w:t>
            </w:r>
          </w:p>
        </w:tc>
        <w:tc>
          <w:tcPr/>
          <w:p>
            <w:pPr>
              <w:pStyle w:val="Compact"/>
              <w:jc w:val="left"/>
            </w:pPr>
            <w:r>
              <w:t xml:space="preserve">AQ8-004</w:t>
            </w:r>
          </w:p>
        </w:tc>
      </w:tr>
      <w:tr>
        <w:tc>
          <w:tcPr/>
          <w:p>
            <w:pPr>
              <w:pStyle w:val="Compact"/>
              <w:jc w:val="left"/>
            </w:pPr>
            <w:r>
              <w:t xml:space="preserve">FEED — Topología SCADA</w:t>
            </w:r>
          </w:p>
        </w:tc>
        <w:tc>
          <w:tcPr/>
          <w:p>
            <w:pPr>
              <w:pStyle w:val="Compact"/>
              <w:jc w:val="left"/>
            </w:pPr>
            <w:r>
              <w:t xml:space="preserve">Completado</w:t>
            </w:r>
          </w:p>
        </w:tc>
        <w:tc>
          <w:tcPr/>
          <w:p>
            <w:pPr>
              <w:pStyle w:val="Compact"/>
              <w:jc w:val="left"/>
            </w:pPr>
            <w:r>
              <w:t xml:space="preserve">AQ8-005</w:t>
            </w:r>
          </w:p>
        </w:tc>
      </w:tr>
      <w:tr>
        <w:tc>
          <w:tcPr/>
          <w:p>
            <w:pPr>
              <w:pStyle w:val="Compact"/>
              <w:jc w:val="left"/>
            </w:pPr>
            <w:r>
              <w:t xml:space="preserve">FEED — Arquitectura de Software</w:t>
            </w:r>
          </w:p>
        </w:tc>
        <w:tc>
          <w:tcPr/>
          <w:p>
            <w:pPr>
              <w:pStyle w:val="Compact"/>
              <w:jc w:val="left"/>
            </w:pPr>
            <w:r>
              <w:t xml:space="preserve">Completado</w:t>
            </w:r>
          </w:p>
        </w:tc>
        <w:tc>
          <w:tcPr/>
          <w:p>
            <w:pPr>
              <w:pStyle w:val="Compact"/>
              <w:jc w:val="left"/>
            </w:pPr>
            <w:r>
              <w:t xml:space="preserve">AQ8-008</w:t>
            </w:r>
          </w:p>
        </w:tc>
      </w:tr>
      <w:tr>
        <w:tc>
          <w:tcPr/>
          <w:p>
            <w:pPr>
              <w:pStyle w:val="Compact"/>
              <w:jc w:val="left"/>
            </w:pPr>
            <w:r>
              <w:t xml:space="preserve">Cálculo de bombas y arreglo solar</w:t>
            </w:r>
          </w:p>
        </w:tc>
        <w:tc>
          <w:tcPr/>
          <w:p>
            <w:pPr>
              <w:pStyle w:val="Compact"/>
              <w:jc w:val="left"/>
            </w:pPr>
            <w:r>
              <w:t xml:space="preserve">Completado</w:t>
            </w:r>
          </w:p>
        </w:tc>
        <w:tc>
          <w:tcPr/>
          <w:p>
            <w:pPr>
              <w:pStyle w:val="Compact"/>
              <w:jc w:val="left"/>
            </w:pPr>
            <w:r>
              <w:t xml:space="preserve">AQ8-CALC-001</w:t>
            </w:r>
          </w:p>
        </w:tc>
      </w:tr>
      <w:tr>
        <w:tc>
          <w:tcPr/>
          <w:p>
            <w:pPr>
              <w:pStyle w:val="Compact"/>
              <w:jc w:val="left"/>
            </w:pPr>
            <w:r>
              <w:t xml:space="preserve">Simulación PLC en tiempo real</w:t>
            </w:r>
          </w:p>
        </w:tc>
        <w:tc>
          <w:tcPr/>
          <w:p>
            <w:pPr>
              <w:pStyle w:val="Compact"/>
              <w:jc w:val="left"/>
            </w:pPr>
            <w:r>
              <w:t xml:space="preserve">Operativo</w:t>
            </w:r>
          </w:p>
        </w:tc>
        <w:tc>
          <w:tcPr/>
          <w:p>
            <w:pPr>
              <w:pStyle w:val="Compact"/>
              <w:jc w:val="left"/>
            </w:pPr>
            <w:r>
              <w:t xml:space="preserve">simulations/aqua_core_sim.py</w:t>
            </w:r>
          </w:p>
        </w:tc>
      </w:tr>
      <w:tr>
        <w:tc>
          <w:tcPr/>
          <w:p>
            <w:pPr>
              <w:pStyle w:val="Compact"/>
              <w:jc w:val="left"/>
            </w:pPr>
            <w:r>
              <w:t xml:space="preserve">Datos de sitio (calidad de agua, radiación, logística)</w:t>
            </w:r>
          </w:p>
        </w:tc>
        <w:tc>
          <w:tcPr/>
          <w:p>
            <w:pPr>
              <w:pStyle w:val="Compact"/>
              <w:jc w:val="left"/>
            </w:pPr>
            <w:r>
              <w:t xml:space="preserve">Recolectados</w:t>
            </w:r>
          </w:p>
        </w:tc>
        <w:tc>
          <w:tcPr/>
          <w:p>
            <w:pPr>
              <w:pStyle w:val="Compact"/>
              <w:jc w:val="left"/>
            </w:pPr>
            <w:r>
              <w:t xml:space="preserve">Ruta de fotos.xlsx</w:t>
            </w:r>
          </w:p>
        </w:tc>
      </w:tr>
    </w:tbl>
    <w:bookmarkEnd w:id="75"/>
    <w:bookmarkStart w:id="82" w:name="casos-de-referencia"/>
    <w:p>
      <w:pPr>
        <w:pStyle w:val="3"/>
      </w:pPr>
      <w:r>
        <w:t xml:space="preserve">9.2 Casos de Referencia</w:t>
      </w:r>
    </w:p>
    <w:p>
      <w:pPr>
        <w:pStyle w:val="FirstParagraph"/>
      </w:pPr>
      <w:r>
        <w:t xml:space="preserve">A continuación se presentan 6 casos documentados de plantas desalinizadoras solares modulares que demuestran la viabilidad técnica y económica de la tecnología AQUA-8.</w:t>
      </w:r>
    </w:p>
    <w:bookmarkStart w:id="76" w:name="caso-1-proyecto-adira-jordania-pv-ro"/>
    <w:p>
      <w:pPr>
        <w:pStyle w:val="4"/>
      </w:pPr>
      <w:r>
        <w:t xml:space="preserve">9.2.1 Caso #1: Proyecto ADIRA — Jordania (PV-RO)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Ubicación</w:t>
            </w:r>
          </w:p>
        </w:tc>
        <w:tc>
          <w:tcPr/>
          <w:p>
            <w:pPr>
              <w:pStyle w:val="Compact"/>
              <w:jc w:val="left"/>
            </w:pPr>
            <w:r>
              <w:t xml:space="preserve">Al-Azraq, Jordania</w:t>
            </w:r>
          </w:p>
        </w:tc>
      </w:tr>
      <w:tr>
        <w:tc>
          <w:tcPr/>
          <w:p>
            <w:pPr>
              <w:pStyle w:val="Compact"/>
              <w:jc w:val="left"/>
            </w:pPr>
            <w:r>
              <w:t xml:space="preserve">Año</w:t>
            </w:r>
          </w:p>
        </w:tc>
        <w:tc>
          <w:tcPr/>
          <w:p>
            <w:pPr>
              <w:pStyle w:val="Compact"/>
              <w:jc w:val="left"/>
            </w:pPr>
            <w:r>
              <w:t xml:space="preserve">2012</w:t>
            </w:r>
          </w:p>
        </w:tc>
      </w:tr>
      <w:tr>
        <w:tc>
          <w:tcPr/>
          <w:p>
            <w:pPr>
              <w:pStyle w:val="Compact"/>
              <w:jc w:val="left"/>
            </w:pPr>
            <w:r>
              <w:t xml:space="preserve">Capacidad</w:t>
            </w:r>
          </w:p>
        </w:tc>
        <w:tc>
          <w:tcPr/>
          <w:p>
            <w:pPr>
              <w:pStyle w:val="Compact"/>
              <w:jc w:val="left"/>
            </w:pPr>
            <w:r>
              <w:t xml:space="preserve">0.5 m³/día</w:t>
            </w:r>
          </w:p>
        </w:tc>
      </w:tr>
      <w:tr>
        <w:tc>
          <w:tcPr/>
          <w:p>
            <w:pPr>
              <w:pStyle w:val="Compact"/>
              <w:jc w:val="left"/>
            </w:pPr>
            <w:r>
              <w:t xml:space="preserve">Energía</w:t>
            </w:r>
          </w:p>
        </w:tc>
        <w:tc>
          <w:tcPr/>
          <w:p>
            <w:pPr>
              <w:pStyle w:val="Compact"/>
              <w:jc w:val="left"/>
            </w:pPr>
            <w:r>
              <w:t xml:space="preserve">432 Wp PV + baterías</w:t>
            </w:r>
          </w:p>
        </w:tc>
      </w:tr>
      <w:tr>
        <w:tc>
          <w:tcPr/>
          <w:p>
            <w:pPr>
              <w:pStyle w:val="Compact"/>
              <w:jc w:val="left"/>
            </w:pPr>
            <w:r>
              <w:t xml:space="preserve">Agua de entrada</w:t>
            </w:r>
          </w:p>
        </w:tc>
        <w:tc>
          <w:tcPr/>
          <w:p>
            <w:pPr>
              <w:pStyle w:val="Compact"/>
              <w:jc w:val="left"/>
            </w:pPr>
            <w:r>
              <w:t xml:space="preserve">Salobre (1,700 mg/L TDS)</w:t>
            </w:r>
          </w:p>
        </w:tc>
      </w:tr>
      <w:tr>
        <w:tc>
          <w:tcPr/>
          <w:p>
            <w:pPr>
              <w:pStyle w:val="Compact"/>
              <w:jc w:val="left"/>
            </w:pPr>
            <w:r>
              <w:t xml:space="preserve">Membrana</w:t>
            </w:r>
          </w:p>
        </w:tc>
        <w:tc>
          <w:tcPr/>
          <w:p>
            <w:pPr>
              <w:pStyle w:val="Compact"/>
              <w:jc w:val="left"/>
            </w:pPr>
            <w:r>
              <w:t xml:space="preserve">OSMONICS TFM-100</w:t>
            </w:r>
          </w:p>
        </w:tc>
      </w:tr>
      <w:tr>
        <w:tc>
          <w:tcPr/>
          <w:p>
            <w:pPr>
              <w:pStyle w:val="Compact"/>
              <w:jc w:val="left"/>
            </w:pPr>
            <w:r>
              <w:t xml:space="preserve">Resultado</w:t>
            </w:r>
          </w:p>
        </w:tc>
        <w:tc>
          <w:tcPr/>
          <w:p>
            <w:pPr>
              <w:pStyle w:val="Compact"/>
              <w:jc w:val="left"/>
            </w:pPr>
            <w:r>
              <w:t xml:space="preserve">Rechazo de sales &gt;95%, operación 100% off-grid</w:t>
            </w:r>
          </w:p>
        </w:tc>
      </w:tr>
      <w:tr>
        <w:tc>
          <w:tcPr/>
          <w:p>
            <w:pPr>
              <w:pStyle w:val="Compact"/>
              <w:jc w:val="left"/>
            </w:pPr>
            <w:r>
              <w:t xml:space="preserve">Referencia</w:t>
            </w:r>
          </w:p>
        </w:tc>
        <w:tc>
          <w:tcPr/>
          <w:p>
            <w:pPr>
              <w:pStyle w:val="Compact"/>
              <w:jc w:val="left"/>
            </w:pPr>
            <w:r>
              <w:t xml:space="preserve">Banat et al. (2012)</w:t>
            </w:r>
          </w:p>
        </w:tc>
      </w:tr>
    </w:tbl>
    <w:p>
      <w:pPr>
        <w:pStyle w:val="a0"/>
      </w:pPr>
      <w:r>
        <w:rPr>
          <w:b/>
          <w:bCs/>
        </w:rPr>
        <w:t xml:space="preserve">Relevancia:</w:t>
      </w:r>
      <w:r>
        <w:t xml:space="preserve"> </w:t>
      </w:r>
      <w:r>
        <w:t xml:space="preserve">Demuestra viabilidad técnica de RO solar a escala comunitaria en zonas áridas.</w:t>
      </w:r>
    </w:p>
    <w:bookmarkEnd w:id="76"/>
    <w:bookmarkStart w:id="77" w:name="caso-2-piloto-udes-bou-ismail-argelia"/>
    <w:p>
      <w:pPr>
        <w:pStyle w:val="4"/>
      </w:pPr>
      <w:r>
        <w:t xml:space="preserve">9.2.2 Caso #2: Piloto UDES — Bou-Ismail, Argelia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Ubicación</w:t>
            </w:r>
          </w:p>
        </w:tc>
        <w:tc>
          <w:tcPr/>
          <w:p>
            <w:pPr>
              <w:pStyle w:val="Compact"/>
              <w:jc w:val="left"/>
            </w:pPr>
            <w:r>
              <w:t xml:space="preserve">Bou-Ismail, Argelia (36°38′N, 2°41′E)</w:t>
            </w:r>
          </w:p>
        </w:tc>
      </w:tr>
      <w:tr>
        <w:tc>
          <w:tcPr/>
          <w:p>
            <w:pPr>
              <w:pStyle w:val="Compact"/>
              <w:jc w:val="left"/>
            </w:pPr>
            <w:r>
              <w:t xml:space="preserve">Año</w:t>
            </w:r>
          </w:p>
        </w:tc>
        <w:tc>
          <w:tcPr/>
          <w:p>
            <w:pPr>
              <w:pStyle w:val="Compact"/>
              <w:jc w:val="left"/>
            </w:pPr>
            <w:r>
              <w:t xml:space="preserve">2023</w:t>
            </w:r>
          </w:p>
        </w:tc>
      </w:tr>
      <w:tr>
        <w:tc>
          <w:tcPr/>
          <w:p>
            <w:pPr>
              <w:pStyle w:val="Compact"/>
              <w:jc w:val="left"/>
            </w:pPr>
            <w:r>
              <w:t xml:space="preserve">Capacidad</w:t>
            </w:r>
          </w:p>
        </w:tc>
        <w:tc>
          <w:tcPr/>
          <w:p>
            <w:pPr>
              <w:pStyle w:val="Compact"/>
              <w:jc w:val="left"/>
            </w:pPr>
            <w:r>
              <w:t xml:space="preserve">2.4 m³/día (diseño) / 2.0 m³/día (real)</w:t>
            </w:r>
          </w:p>
        </w:tc>
      </w:tr>
      <w:tr>
        <w:tc>
          <w:tcPr/>
          <w:p>
            <w:pPr>
              <w:pStyle w:val="Compact"/>
              <w:jc w:val="left"/>
            </w:pPr>
            <w:r>
              <w:t xml:space="preserve">Energía</w:t>
            </w:r>
          </w:p>
        </w:tc>
        <w:tc>
          <w:tcPr/>
          <w:p>
            <w:pPr>
              <w:pStyle w:val="Compact"/>
              <w:jc w:val="left"/>
            </w:pPr>
            <w:r>
              <w:t xml:space="preserve">3 kWp PV + baterías (48V)</w:t>
            </w:r>
          </w:p>
        </w:tc>
      </w:tr>
      <w:tr>
        <w:tc>
          <w:tcPr/>
          <w:p>
            <w:pPr>
              <w:pStyle w:val="Compact"/>
              <w:jc w:val="left"/>
            </w:pPr>
            <w:r>
              <w:t xml:space="preserve">Agua de entrada</w:t>
            </w:r>
          </w:p>
        </w:tc>
        <w:tc>
          <w:tcPr/>
          <w:p>
            <w:pPr>
              <w:pStyle w:val="Compact"/>
              <w:jc w:val="left"/>
            </w:pPr>
            <w:r>
              <w:t xml:space="preserve">Agua de mar (35,000 mg/L TDS)</w:t>
            </w:r>
          </w:p>
        </w:tc>
      </w:tr>
      <w:tr>
        <w:tc>
          <w:tcPr/>
          <w:p>
            <w:pPr>
              <w:pStyle w:val="Compact"/>
              <w:jc w:val="left"/>
            </w:pPr>
            <w:r>
              <w:t xml:space="preserve">Membrana</w:t>
            </w:r>
          </w:p>
        </w:tc>
        <w:tc>
          <w:tcPr/>
          <w:p>
            <w:pPr>
              <w:pStyle w:val="Compact"/>
              <w:jc w:val="left"/>
            </w:pPr>
            <w:r>
              <w:t xml:space="preserve">Hydranautics SWC5-LD-4040 (7.43 m²)</w:t>
            </w:r>
          </w:p>
        </w:tc>
      </w:tr>
      <w:tr>
        <w:tc>
          <w:tcPr/>
          <w:p>
            <w:pPr>
              <w:pStyle w:val="Compact"/>
              <w:jc w:val="left"/>
            </w:pPr>
            <w:r>
              <w:t xml:space="preserve">Resultados</w:t>
            </w:r>
          </w:p>
        </w:tc>
        <w:tc>
          <w:tcPr/>
          <w:p>
            <w:pPr>
              <w:pStyle w:val="Compact"/>
              <w:jc w:val="left"/>
            </w:pPr>
            <w:r>
              <w:t xml:space="preserve">Consumo: 1.5–5.6 kWh/m³. TDS permeado: 197 mg/L</w:t>
            </w:r>
          </w:p>
        </w:tc>
      </w:tr>
      <w:tr>
        <w:tc>
          <w:tcPr/>
          <w:p>
            <w:pPr>
              <w:pStyle w:val="Compact"/>
              <w:jc w:val="left"/>
            </w:pPr>
            <w:r>
              <w:t xml:space="preserve">Referencia</w:t>
            </w:r>
          </w:p>
        </w:tc>
        <w:tc>
          <w:tcPr/>
          <w:p>
            <w:pPr>
              <w:pStyle w:val="Compact"/>
              <w:jc w:val="left"/>
            </w:pPr>
            <w:r>
              <w:t xml:space="preserve">Tigrine et al. (2023) — MDPI Sustainability</w:t>
            </w:r>
          </w:p>
        </w:tc>
      </w:tr>
    </w:tbl>
    <w:p>
      <w:pPr>
        <w:pStyle w:val="a0"/>
      </w:pPr>
      <w:r>
        <w:rPr>
          <w:b/>
          <w:bCs/>
        </w:rPr>
        <w:t xml:space="preserve">Relevancia:</w:t>
      </w:r>
      <w:r>
        <w:t xml:space="preserve"> </w:t>
      </w:r>
      <w:r>
        <w:t xml:space="preserve">Validación experimental completa. Misma clase de membrana propuesta para AQUA-8.</w:t>
      </w:r>
    </w:p>
    <w:bookmarkEnd w:id="77"/>
    <w:bookmarkStart w:id="78" w:name="caso-3-givepower-solar-water-farms-kenia"/>
    <w:p>
      <w:pPr>
        <w:pStyle w:val="4"/>
      </w:pPr>
      <w:r>
        <w:t xml:space="preserve">9.2.3 Caso #3: GivePower — Solar Water Farms (Kenia)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Ubicación</w:t>
            </w:r>
          </w:p>
        </w:tc>
        <w:tc>
          <w:tcPr/>
          <w:p>
            <w:pPr>
              <w:pStyle w:val="Compact"/>
              <w:jc w:val="left"/>
            </w:pPr>
            <w:r>
              <w:t xml:space="preserve">Kiunga, Kenia y comunidades costeras africanas</w:t>
            </w:r>
          </w:p>
        </w:tc>
      </w:tr>
      <w:tr>
        <w:tc>
          <w:tcPr/>
          <w:p>
            <w:pPr>
              <w:pStyle w:val="Compact"/>
              <w:jc w:val="left"/>
            </w:pPr>
            <w:r>
              <w:t xml:space="preserve">Año</w:t>
            </w:r>
          </w:p>
        </w:tc>
        <w:tc>
          <w:tcPr/>
          <w:p>
            <w:pPr>
              <w:pStyle w:val="Compact"/>
              <w:jc w:val="left"/>
            </w:pPr>
            <w:r>
              <w:t xml:space="preserve">2018–2024</w:t>
            </w:r>
          </w:p>
        </w:tc>
      </w:tr>
      <w:tr>
        <w:tc>
          <w:tcPr/>
          <w:p>
            <w:pPr>
              <w:pStyle w:val="Compact"/>
              <w:jc w:val="left"/>
            </w:pPr>
            <w:r>
              <w:t xml:space="preserve">Capacidad</w:t>
            </w:r>
          </w:p>
        </w:tc>
        <w:tc>
          <w:tcPr/>
          <w:p>
            <w:pPr>
              <w:pStyle w:val="Compact"/>
              <w:jc w:val="left"/>
            </w:pPr>
            <w:r>
              <w:t xml:space="preserve">75,000 L/día por unidad (expandible)</w:t>
            </w:r>
          </w:p>
        </w:tc>
      </w:tr>
      <w:tr>
        <w:tc>
          <w:tcPr/>
          <w:p>
            <w:pPr>
              <w:pStyle w:val="Compact"/>
              <w:jc w:val="left"/>
            </w:pPr>
            <w:r>
              <w:t xml:space="preserve">Energía</w:t>
            </w:r>
          </w:p>
        </w:tc>
        <w:tc>
          <w:tcPr/>
          <w:p>
            <w:pPr>
              <w:pStyle w:val="Compact"/>
              <w:jc w:val="left"/>
            </w:pPr>
            <w:r>
              <w:t xml:space="preserve">Solar fotovoltaico + almacenamiento</w:t>
            </w:r>
          </w:p>
        </w:tc>
      </w:tr>
      <w:tr>
        <w:tc>
          <w:tcPr/>
          <w:p>
            <w:pPr>
              <w:pStyle w:val="Compact"/>
              <w:jc w:val="left"/>
            </w:pPr>
            <w:r>
              <w:t xml:space="preserve">Resultado</w:t>
            </w:r>
          </w:p>
        </w:tc>
        <w:tc>
          <w:tcPr/>
          <w:p>
            <w:pPr>
              <w:pStyle w:val="Compact"/>
              <w:jc w:val="left"/>
            </w:pPr>
            <w:r>
              <w:t xml:space="preserve">Agua potable a &lt; $0.04/L. Empleo local. Off-grid</w:t>
            </w:r>
          </w:p>
        </w:tc>
      </w:tr>
      <w:tr>
        <w:tc>
          <w:tcPr/>
          <w:p>
            <w:pPr>
              <w:pStyle w:val="Compact"/>
              <w:jc w:val="left"/>
            </w:pPr>
            <w:r>
              <w:t xml:space="preserve">Referencia</w:t>
            </w:r>
          </w:p>
        </w:tc>
        <w:tc>
          <w:tcPr/>
          <w:p>
            <w:pPr>
              <w:pStyle w:val="Compact"/>
              <w:jc w:val="left"/>
            </w:pPr>
            <w:r>
              <w:t xml:space="preserve">FreightWaves (2020)</w:t>
            </w:r>
          </w:p>
        </w:tc>
      </w:tr>
    </w:tbl>
    <w:p>
      <w:pPr>
        <w:pStyle w:val="a0"/>
      </w:pPr>
      <w:r>
        <w:rPr>
          <w:b/>
          <w:bCs/>
        </w:rPr>
        <w:t xml:space="preserve">Relevancia:</w:t>
      </w:r>
      <w:r>
        <w:t xml:space="preserve"> </w:t>
      </w:r>
      <w:r>
        <w:t xml:space="preserve">Modelo de negocio comunitario replicable. Arquitectura idéntica: contenedor + solar + RO.</w:t>
      </w:r>
    </w:p>
    <w:bookmarkEnd w:id="78"/>
    <w:bookmarkStart w:id="79" w:name="Xc4526f71f0c91892edc0a684c1f4c1e841c7941"/>
    <w:p>
      <w:pPr>
        <w:pStyle w:val="4"/>
      </w:pPr>
      <w:r>
        <w:t xml:space="preserve">9.2.4 Caso #4: Elemental Watermakers (Países Bajos / Caribe)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Año</w:t>
            </w:r>
          </w:p>
        </w:tc>
        <w:tc>
          <w:tcPr/>
          <w:p>
            <w:pPr>
              <w:pStyle w:val="Compact"/>
              <w:jc w:val="left"/>
            </w:pPr>
            <w:r>
              <w:t xml:space="preserve">2015–presente</w:t>
            </w:r>
          </w:p>
        </w:tc>
      </w:tr>
      <w:tr>
        <w:tc>
          <w:tcPr/>
          <w:p>
            <w:pPr>
              <w:pStyle w:val="Compact"/>
              <w:jc w:val="left"/>
            </w:pPr>
            <w:r>
              <w:t xml:space="preserve">Capacidad</w:t>
            </w:r>
          </w:p>
        </w:tc>
        <w:tc>
          <w:tcPr/>
          <w:p>
            <w:pPr>
              <w:pStyle w:val="Compact"/>
              <w:jc w:val="left"/>
            </w:pPr>
            <w:r>
              <w:t xml:space="preserve">5,000–100,000 L/día por contenedor</w:t>
            </w:r>
          </w:p>
        </w:tc>
      </w:tr>
      <w:tr>
        <w:tc>
          <w:tcPr/>
          <w:p>
            <w:pPr>
              <w:pStyle w:val="Compact"/>
              <w:jc w:val="left"/>
            </w:pPr>
            <w:r>
              <w:t xml:space="preserve">Energía</w:t>
            </w:r>
          </w:p>
        </w:tc>
        <w:tc>
          <w:tcPr/>
          <w:p>
            <w:pPr>
              <w:pStyle w:val="Compact"/>
              <w:jc w:val="left"/>
            </w:pPr>
            <w:r>
              <w:t xml:space="preserve">PV directo + gestión inteligente (sin baterías)</w:t>
            </w:r>
          </w:p>
        </w:tc>
      </w:tr>
      <w:tr>
        <w:tc>
          <w:tcPr/>
          <w:p>
            <w:pPr>
              <w:pStyle w:val="Compact"/>
              <w:jc w:val="left"/>
            </w:pPr>
            <w:r>
              <w:t xml:space="preserve">Resultado</w:t>
            </w:r>
          </w:p>
        </w:tc>
        <w:tc>
          <w:tcPr/>
          <w:p>
            <w:pPr>
              <w:pStyle w:val="Compact"/>
              <w:jc w:val="left"/>
            </w:pPr>
            <w:r>
              <w:t xml:space="preserve">Sistema contenedor 20’ plug-and-play. Escalable</w:t>
            </w:r>
          </w:p>
        </w:tc>
      </w:tr>
      <w:tr>
        <w:tc>
          <w:tcPr/>
          <w:p>
            <w:pPr>
              <w:pStyle w:val="Compact"/>
              <w:jc w:val="left"/>
            </w:pPr>
            <w:r>
              <w:t xml:space="preserve">Referencia</w:t>
            </w:r>
          </w:p>
        </w:tc>
        <w:tc>
          <w:tcPr/>
          <w:p>
            <w:pPr>
              <w:pStyle w:val="Compact"/>
              <w:jc w:val="left"/>
            </w:pPr>
            <w:r>
              <w:t xml:space="preserve">Elemental Watermakers — White Paper (2024)</w:t>
            </w:r>
          </w:p>
        </w:tc>
      </w:tr>
    </w:tbl>
    <w:p>
      <w:pPr>
        <w:pStyle w:val="a0"/>
      </w:pPr>
      <w:r>
        <w:rPr>
          <w:b/>
          <w:bCs/>
        </w:rPr>
        <w:t xml:space="preserve">Relevancia:</w:t>
      </w:r>
      <w:r>
        <w:t xml:space="preserve"> </w:t>
      </w:r>
      <w:r>
        <w:t xml:space="preserve">Arquitectura idéntica a AQUA-8 (sin baterías). Demuestra mercado activo y modelo</w:t>
      </w:r>
      <w:r>
        <w:t xml:space="preserve"> </w:t>
      </w:r>
      <w:r>
        <w:t xml:space="preserve">“</w:t>
      </w:r>
      <w:r>
        <w:t xml:space="preserve">Water-as-Battery</w:t>
      </w:r>
      <w:r>
        <w:t xml:space="preserve">”</w:t>
      </w:r>
      <w:r>
        <w:t xml:space="preserve">.</w:t>
      </w:r>
    </w:p>
    <w:bookmarkEnd w:id="79"/>
    <w:bookmarkStart w:id="80" w:name="caso-5-fluence-nirobox-argentina-bahamas"/>
    <w:p>
      <w:pPr>
        <w:pStyle w:val="4"/>
      </w:pPr>
      <w:r>
        <w:t xml:space="preserve">9.2.5 Caso #5: Fluence NIROBOX™ (Argentina, Bahamas)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Año</w:t>
            </w:r>
          </w:p>
        </w:tc>
        <w:tc>
          <w:tcPr/>
          <w:p>
            <w:pPr>
              <w:pStyle w:val="Compact"/>
              <w:jc w:val="left"/>
            </w:pPr>
            <w:r>
              <w:t xml:space="preserve">2015–2024</w:t>
            </w:r>
          </w:p>
        </w:tc>
      </w:tr>
      <w:tr>
        <w:tc>
          <w:tcPr/>
          <w:p>
            <w:pPr>
              <w:pStyle w:val="Compact"/>
              <w:jc w:val="left"/>
            </w:pPr>
            <w:r>
              <w:t xml:space="preserve">Capacidad</w:t>
            </w:r>
          </w:p>
        </w:tc>
        <w:tc>
          <w:tcPr/>
          <w:p>
            <w:pPr>
              <w:pStyle w:val="Compact"/>
              <w:jc w:val="left"/>
            </w:pPr>
            <w:r>
              <w:t xml:space="preserve">500–10,000 m³/día (configurable)</w:t>
            </w:r>
          </w:p>
        </w:tc>
      </w:tr>
      <w:tr>
        <w:tc>
          <w:tcPr/>
          <w:p>
            <w:pPr>
              <w:pStyle w:val="Compact"/>
              <w:jc w:val="left"/>
            </w:pPr>
            <w:r>
              <w:t xml:space="preserve">Despliegue</w:t>
            </w:r>
          </w:p>
        </w:tc>
        <w:tc>
          <w:tcPr/>
          <w:p>
            <w:pPr>
              <w:pStyle w:val="Compact"/>
              <w:jc w:val="left"/>
            </w:pPr>
            <w:r>
              <w:t xml:space="preserve">Puerto Deseado (Argentina), Bimini (Bahamas)</w:t>
            </w:r>
          </w:p>
        </w:tc>
      </w:tr>
      <w:tr>
        <w:tc>
          <w:tcPr/>
          <w:p>
            <w:pPr>
              <w:pStyle w:val="Compact"/>
              <w:jc w:val="left"/>
            </w:pPr>
            <w:r>
              <w:t xml:space="preserve">Resultado</w:t>
            </w:r>
          </w:p>
        </w:tc>
        <w:tc>
          <w:tcPr/>
          <w:p>
            <w:pPr>
              <w:pStyle w:val="Compact"/>
              <w:jc w:val="left"/>
            </w:pPr>
            <w:r>
              <w:t xml:space="preserve">Instalación en 3–6 meses. Reducción CAPEX vs. tradicional: 40%</w:t>
            </w:r>
          </w:p>
        </w:tc>
      </w:tr>
      <w:tr>
        <w:tc>
          <w:tcPr/>
          <w:p>
            <w:pPr>
              <w:pStyle w:val="Compact"/>
              <w:jc w:val="left"/>
            </w:pPr>
            <w:r>
              <w:t xml:space="preserve">Referencia</w:t>
            </w:r>
          </w:p>
        </w:tc>
        <w:tc>
          <w:tcPr/>
          <w:p>
            <w:pPr>
              <w:pStyle w:val="Compact"/>
              <w:jc w:val="left"/>
            </w:pPr>
            <w:r>
              <w:t xml:space="preserve">Fluence Corp — Case Studies (2025)</w:t>
            </w:r>
          </w:p>
        </w:tc>
      </w:tr>
    </w:tbl>
    <w:p>
      <w:pPr>
        <w:pStyle w:val="a0"/>
      </w:pPr>
      <w:r>
        <w:rPr>
          <w:b/>
          <w:bCs/>
        </w:rPr>
        <w:t xml:space="preserve">Relevancia:</w:t>
      </w:r>
      <w:r>
        <w:t xml:space="preserve"> </w:t>
      </w:r>
      <w:r>
        <w:t xml:space="preserve">Escalabilidad industrial de plantas en contenedor con RO.</w:t>
      </w:r>
    </w:p>
    <w:bookmarkEnd w:id="80"/>
    <w:bookmarkStart w:id="81" w:name="Xa0bac5379d173339c51e40c80220abe80e52e8a"/>
    <w:p>
      <w:pPr>
        <w:pStyle w:val="4"/>
      </w:pPr>
      <w:r>
        <w:t xml:space="preserve">9.2.6 Caso #6: Porto Santo — Portugal (Análisis Económico)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Ubicación</w:t>
            </w:r>
          </w:p>
        </w:tc>
        <w:tc>
          <w:tcPr/>
          <w:p>
            <w:pPr>
              <w:pStyle w:val="Compact"/>
              <w:jc w:val="left"/>
            </w:pPr>
            <w:r>
              <w:t xml:space="preserve">Isla de Porto Santo, Madeira, Portugal</w:t>
            </w:r>
          </w:p>
        </w:tc>
      </w:tr>
      <w:tr>
        <w:tc>
          <w:tcPr/>
          <w:p>
            <w:pPr>
              <w:pStyle w:val="Compact"/>
              <w:jc w:val="left"/>
            </w:pPr>
            <w:r>
              <w:t xml:space="preserve">Año</w:t>
            </w:r>
          </w:p>
        </w:tc>
        <w:tc>
          <w:tcPr/>
          <w:p>
            <w:pPr>
              <w:pStyle w:val="Compact"/>
              <w:jc w:val="left"/>
            </w:pPr>
            <w:r>
              <w:t xml:space="preserve">2024</w:t>
            </w:r>
          </w:p>
        </w:tc>
      </w:tr>
      <w:tr>
        <w:tc>
          <w:tcPr/>
          <w:p>
            <w:pPr>
              <w:pStyle w:val="Compact"/>
              <w:jc w:val="left"/>
            </w:pPr>
            <w:r>
              <w:t xml:space="preserve">Capacidad</w:t>
            </w:r>
          </w:p>
        </w:tc>
        <w:tc>
          <w:tcPr/>
          <w:p>
            <w:pPr>
              <w:pStyle w:val="Compact"/>
              <w:jc w:val="left"/>
            </w:pPr>
            <w:r>
              <w:t xml:space="preserve">10,400–102,850 m³/día (escenarios de diseño)</w:t>
            </w:r>
          </w:p>
        </w:tc>
      </w:tr>
      <w:tr>
        <w:tc>
          <w:tcPr/>
          <w:p>
            <w:pPr>
              <w:pStyle w:val="Compact"/>
              <w:jc w:val="left"/>
            </w:pPr>
            <w:r>
              <w:t xml:space="preserve">Resultados</w:t>
            </w:r>
          </w:p>
        </w:tc>
        <w:tc>
          <w:tcPr/>
          <w:p>
            <w:pPr>
              <w:pStyle w:val="Compact"/>
              <w:jc w:val="left"/>
            </w:pPr>
            <w:r>
              <w:t xml:space="preserve">Costo unitario: 0.716–1.401 USD/m³. ERD reduce consumo 75%</w:t>
            </w:r>
          </w:p>
        </w:tc>
      </w:tr>
      <w:tr>
        <w:tc>
          <w:tcPr/>
          <w:p>
            <w:pPr>
              <w:pStyle w:val="Compact"/>
              <w:jc w:val="left"/>
            </w:pPr>
            <w:r>
              <w:t xml:space="preserve">Referencia</w:t>
            </w:r>
          </w:p>
        </w:tc>
        <w:tc>
          <w:tcPr/>
          <w:p>
            <w:pPr>
              <w:pStyle w:val="Compact"/>
              <w:jc w:val="left"/>
            </w:pPr>
            <w:r>
              <w:t xml:space="preserve">Curto et al. (2024) — MDPI Water</w:t>
            </w:r>
          </w:p>
        </w:tc>
      </w:tr>
    </w:tbl>
    <w:p>
      <w:pPr>
        <w:pStyle w:val="a0"/>
      </w:pPr>
      <w:r>
        <w:rPr>
          <w:b/>
          <w:bCs/>
        </w:rPr>
        <w:t xml:space="preserve">Relevancia:</w:t>
      </w:r>
      <w:r>
        <w:t xml:space="preserve"> </w:t>
      </w:r>
      <w:r>
        <w:t xml:space="preserve">Análisis económico valida RO solar en regiones insulares. Justifica ERD en AQUA-8.</w:t>
      </w:r>
    </w:p>
    <w:bookmarkEnd w:id="81"/>
    <w:bookmarkEnd w:id="82"/>
    <w:bookmarkEnd w:id="83"/>
    <w:bookmarkStart w:id="87" w:name="plan-de-implementación-y-cronograma"/>
    <w:p>
      <w:pPr>
        <w:pStyle w:val="2"/>
      </w:pPr>
      <w:r>
        <w:t xml:space="preserve">10. PLAN DE IMPLEMENTACIÓN Y CRONOGRAMA</w:t>
      </w:r>
    </w:p>
    <w:bookmarkStart w:id="84" w:name="fases-del-proyecto"/>
    <w:p>
      <w:pPr>
        <w:pStyle w:val="3"/>
      </w:pPr>
      <w:r>
        <w:t xml:space="preserve">10.1 Fases del Proyecto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Fase</w:t>
            </w:r>
          </w:p>
        </w:tc>
        <w:tc>
          <w:tcPr/>
          <w:p>
            <w:pPr>
              <w:pStyle w:val="Compact"/>
              <w:jc w:val="left"/>
            </w:pPr>
            <w:r>
              <w:t xml:space="preserve">Período</w:t>
            </w:r>
          </w:p>
        </w:tc>
        <w:tc>
          <w:tcPr/>
          <w:p>
            <w:pPr>
              <w:pStyle w:val="Compact"/>
              <w:jc w:val="left"/>
            </w:pPr>
            <w:r>
              <w:t xml:space="preserve">Duración</w:t>
            </w:r>
          </w:p>
        </w:tc>
        <w:tc>
          <w:tcPr/>
          <w:p>
            <w:pPr>
              <w:pStyle w:val="Compact"/>
              <w:jc w:val="left"/>
            </w:pPr>
            <w:r>
              <w:t xml:space="preserve">Actividades Principales</w:t>
            </w:r>
          </w:p>
        </w:tc>
      </w:tr>
      <w:tr>
        <w:tc>
          <w:tcPr/>
          <w:p>
            <w:pPr>
              <w:pStyle w:val="Compact"/>
              <w:jc w:val="left"/>
            </w:pPr>
            <w:r>
              <w:rPr>
                <w:b/>
                <w:bCs/>
              </w:rPr>
              <w:t xml:space="preserve">I — Ingeniería de Detalle</w:t>
            </w:r>
          </w:p>
        </w:tc>
        <w:tc>
          <w:tcPr/>
          <w:p>
            <w:pPr>
              <w:pStyle w:val="Compact"/>
              <w:jc w:val="left"/>
            </w:pPr>
            <w:r>
              <w:t xml:space="preserve">Mes 1–2</w:t>
            </w:r>
          </w:p>
        </w:tc>
        <w:tc>
          <w:tcPr/>
          <w:p>
            <w:pPr>
              <w:pStyle w:val="Compact"/>
              <w:jc w:val="left"/>
            </w:pPr>
            <w:r>
              <w:t xml:space="preserve">8 semanas</w:t>
            </w:r>
          </w:p>
        </w:tc>
        <w:tc>
          <w:tcPr/>
          <w:p>
            <w:pPr>
              <w:pStyle w:val="Compact"/>
              <w:jc w:val="left"/>
            </w:pPr>
            <w:r>
              <w:t xml:space="preserve">Planos constructivos, selección final de equipos, compras</w:t>
            </w:r>
          </w:p>
        </w:tc>
      </w:tr>
      <w:tr>
        <w:tc>
          <w:tcPr/>
          <w:p>
            <w:pPr>
              <w:pStyle w:val="Compact"/>
              <w:jc w:val="left"/>
            </w:pPr>
            <w:r>
              <w:rPr>
                <w:b/>
                <w:bCs/>
              </w:rPr>
              <w:t xml:space="preserve">II — Fabricación y Montaje</w:t>
            </w:r>
          </w:p>
        </w:tc>
        <w:tc>
          <w:tcPr/>
          <w:p>
            <w:pPr>
              <w:pStyle w:val="Compact"/>
              <w:jc w:val="left"/>
            </w:pPr>
            <w:r>
              <w:t xml:space="preserve">Mes 3–4</w:t>
            </w:r>
          </w:p>
        </w:tc>
        <w:tc>
          <w:tcPr/>
          <w:p>
            <w:pPr>
              <w:pStyle w:val="Compact"/>
              <w:jc w:val="left"/>
            </w:pPr>
            <w:r>
              <w:t xml:space="preserve">8 semanas</w:t>
            </w:r>
          </w:p>
        </w:tc>
        <w:tc>
          <w:tcPr/>
          <w:p>
            <w:pPr>
              <w:pStyle w:val="Compact"/>
              <w:jc w:val="left"/>
            </w:pPr>
            <w:r>
              <w:t xml:space="preserve">Adecuación contenedores, montaje RO, instalación paneles</w:t>
            </w:r>
          </w:p>
        </w:tc>
      </w:tr>
      <w:tr>
        <w:tc>
          <w:tcPr/>
          <w:p>
            <w:pPr>
              <w:pStyle w:val="Compact"/>
              <w:jc w:val="left"/>
            </w:pPr>
            <w:r>
              <w:rPr>
                <w:b/>
                <w:bCs/>
              </w:rPr>
              <w:t xml:space="preserve">III — Pruebas en Fábrica (FAT)</w:t>
            </w:r>
          </w:p>
        </w:tc>
        <w:tc>
          <w:tcPr/>
          <w:p>
            <w:pPr>
              <w:pStyle w:val="Compact"/>
              <w:jc w:val="left"/>
            </w:pPr>
            <w:r>
              <w:t xml:space="preserve">Mes 5</w:t>
            </w:r>
          </w:p>
        </w:tc>
        <w:tc>
          <w:tcPr/>
          <w:p>
            <w:pPr>
              <w:pStyle w:val="Compact"/>
              <w:jc w:val="left"/>
            </w:pPr>
            <w:r>
              <w:t xml:space="preserve">4 semanas</w:t>
            </w:r>
          </w:p>
        </w:tc>
        <w:tc>
          <w:tcPr/>
          <w:p>
            <w:pPr>
              <w:pStyle w:val="Compact"/>
              <w:jc w:val="left"/>
            </w:pPr>
            <w:r>
              <w:t xml:space="preserve">Validación parámetros, ajuste SCADA, pruebas hidráulicas</w:t>
            </w:r>
          </w:p>
        </w:tc>
      </w:tr>
      <w:tr>
        <w:tc>
          <w:tcPr/>
          <w:p>
            <w:pPr>
              <w:pStyle w:val="Compact"/>
              <w:jc w:val="left"/>
            </w:pPr>
            <w:r>
              <w:rPr>
                <w:b/>
                <w:bCs/>
              </w:rPr>
              <w:t xml:space="preserve">IV — Instalación en Sitio (SAT)</w:t>
            </w:r>
          </w:p>
        </w:tc>
        <w:tc>
          <w:tcPr/>
          <w:p>
            <w:pPr>
              <w:pStyle w:val="Compact"/>
              <w:jc w:val="left"/>
            </w:pPr>
            <w:r>
              <w:t xml:space="preserve">Mes 6</w:t>
            </w:r>
          </w:p>
        </w:tc>
        <w:tc>
          <w:tcPr/>
          <w:p>
            <w:pPr>
              <w:pStyle w:val="Compact"/>
              <w:jc w:val="left"/>
            </w:pPr>
            <w:r>
              <w:t xml:space="preserve">4 semanas</w:t>
            </w:r>
          </w:p>
        </w:tc>
        <w:tc>
          <w:tcPr/>
          <w:p>
            <w:pPr>
              <w:pStyle w:val="Compact"/>
              <w:jc w:val="left"/>
            </w:pPr>
            <w:r>
              <w:t xml:space="preserve">Transporte, instalación, puesta en marcha, capacitación</w:t>
            </w:r>
          </w:p>
        </w:tc>
      </w:tr>
      <w:tr>
        <w:tc>
          <w:tcPr/>
          <w:p>
            <w:pPr>
              <w:pStyle w:val="Compact"/>
              <w:jc w:val="left"/>
            </w:pPr>
            <w:r>
              <w:rPr>
                <w:b/>
                <w:bCs/>
              </w:rPr>
              <w:t xml:space="preserve">V — Operación Piloto</w:t>
            </w:r>
          </w:p>
        </w:tc>
        <w:tc>
          <w:tcPr/>
          <w:p>
            <w:pPr>
              <w:pStyle w:val="Compact"/>
              <w:jc w:val="left"/>
            </w:pPr>
            <w:r>
              <w:t xml:space="preserve">Mes 7–12</w:t>
            </w:r>
          </w:p>
        </w:tc>
        <w:tc>
          <w:tcPr/>
          <w:p>
            <w:pPr>
              <w:pStyle w:val="Compact"/>
              <w:jc w:val="left"/>
            </w:pPr>
            <w:r>
              <w:t xml:space="preserve">26 semanas</w:t>
            </w:r>
          </w:p>
        </w:tc>
        <w:tc>
          <w:tcPr/>
          <w:p>
            <w:pPr>
              <w:pStyle w:val="Compact"/>
              <w:jc w:val="left"/>
            </w:pPr>
            <w:r>
              <w:t xml:space="preserve">Monitoreo remoto, recolección de datos, reportes</w:t>
            </w:r>
          </w:p>
        </w:tc>
      </w:tr>
    </w:tbl>
    <w:bookmarkEnd w:id="84"/>
    <w:bookmarkStart w:id="85" w:name="hitos-clave"/>
    <w:p>
      <w:pPr>
        <w:pStyle w:val="3"/>
      </w:pPr>
      <w:r>
        <w:t xml:space="preserve">10.2 Hitos Clave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Hito</w:t>
            </w:r>
          </w:p>
        </w:tc>
        <w:tc>
          <w:tcPr/>
          <w:p>
            <w:pPr>
              <w:pStyle w:val="Compact"/>
              <w:jc w:val="left"/>
            </w:pPr>
            <w:r>
              <w:t xml:space="preserve">Fecha Estimada</w:t>
            </w:r>
          </w:p>
        </w:tc>
        <w:tc>
          <w:tcPr/>
          <w:p>
            <w:pPr>
              <w:pStyle w:val="Compact"/>
              <w:jc w:val="left"/>
            </w:pPr>
            <w:r>
              <w:t xml:space="preserve">Entregable</w:t>
            </w:r>
          </w:p>
        </w:tc>
      </w:tr>
      <w:tr>
        <w:tc>
          <w:tcPr/>
          <w:p>
            <w:pPr>
              <w:pStyle w:val="Compact"/>
              <w:jc w:val="left"/>
            </w:pPr>
            <w:r>
              <w:t xml:space="preserve">H-01</w:t>
            </w:r>
          </w:p>
        </w:tc>
        <w:tc>
          <w:tcPr/>
          <w:p>
            <w:pPr>
              <w:pStyle w:val="Compact"/>
              <w:jc w:val="left"/>
            </w:pPr>
            <w:r>
              <w:t xml:space="preserve">Semana 2</w:t>
            </w:r>
          </w:p>
        </w:tc>
        <w:tc>
          <w:tcPr/>
          <w:p>
            <w:pPr>
              <w:pStyle w:val="Compact"/>
              <w:jc w:val="left"/>
            </w:pPr>
            <w:r>
              <w:t xml:space="preserve">Planos P&amp;ID aprobados</w:t>
            </w:r>
          </w:p>
        </w:tc>
      </w:tr>
      <w:tr>
        <w:tc>
          <w:tcPr/>
          <w:p>
            <w:pPr>
              <w:pStyle w:val="Compact"/>
              <w:jc w:val="left"/>
            </w:pPr>
            <w:r>
              <w:t xml:space="preserve">H-02</w:t>
            </w:r>
          </w:p>
        </w:tc>
        <w:tc>
          <w:tcPr/>
          <w:p>
            <w:pPr>
              <w:pStyle w:val="Compact"/>
              <w:jc w:val="left"/>
            </w:pPr>
            <w:r>
              <w:t xml:space="preserve">Semana 4</w:t>
            </w:r>
          </w:p>
        </w:tc>
        <w:tc>
          <w:tcPr/>
          <w:p>
            <w:pPr>
              <w:pStyle w:val="Compact"/>
              <w:jc w:val="left"/>
            </w:pPr>
            <w:r>
              <w:t xml:space="preserve">Órdenes de compra emitidas</w:t>
            </w:r>
          </w:p>
        </w:tc>
      </w:tr>
      <w:tr>
        <w:tc>
          <w:tcPr/>
          <w:p>
            <w:pPr>
              <w:pStyle w:val="Compact"/>
              <w:jc w:val="left"/>
            </w:pPr>
            <w:r>
              <w:t xml:space="preserve">H-03</w:t>
            </w:r>
          </w:p>
        </w:tc>
        <w:tc>
          <w:tcPr/>
          <w:p>
            <w:pPr>
              <w:pStyle w:val="Compact"/>
              <w:jc w:val="left"/>
            </w:pPr>
            <w:r>
              <w:t xml:space="preserve">Semana 12</w:t>
            </w:r>
          </w:p>
        </w:tc>
        <w:tc>
          <w:tcPr/>
          <w:p>
            <w:pPr>
              <w:pStyle w:val="Compact"/>
              <w:jc w:val="left"/>
            </w:pPr>
            <w:r>
              <w:t xml:space="preserve">Contenedores adecuados</w:t>
            </w:r>
          </w:p>
        </w:tc>
      </w:tr>
      <w:tr>
        <w:tc>
          <w:tcPr/>
          <w:p>
            <w:pPr>
              <w:pStyle w:val="Compact"/>
              <w:jc w:val="left"/>
            </w:pPr>
            <w:r>
              <w:t xml:space="preserve">H-04</w:t>
            </w:r>
          </w:p>
        </w:tc>
        <w:tc>
          <w:tcPr/>
          <w:p>
            <w:pPr>
              <w:pStyle w:val="Compact"/>
              <w:jc w:val="left"/>
            </w:pPr>
            <w:r>
              <w:t xml:space="preserve">Semana 16</w:t>
            </w:r>
          </w:p>
        </w:tc>
        <w:tc>
          <w:tcPr/>
          <w:p>
            <w:pPr>
              <w:pStyle w:val="Compact"/>
              <w:jc w:val="left"/>
            </w:pPr>
            <w:r>
              <w:t xml:space="preserve">Sistema RO ensamblado</w:t>
            </w:r>
          </w:p>
        </w:tc>
      </w:tr>
      <w:tr>
        <w:tc>
          <w:tcPr/>
          <w:p>
            <w:pPr>
              <w:pStyle w:val="Compact"/>
              <w:jc w:val="left"/>
            </w:pPr>
            <w:r>
              <w:t xml:space="preserve">H-05</w:t>
            </w:r>
          </w:p>
        </w:tc>
        <w:tc>
          <w:tcPr/>
          <w:p>
            <w:pPr>
              <w:pStyle w:val="Compact"/>
              <w:jc w:val="left"/>
            </w:pPr>
            <w:r>
              <w:t xml:space="preserve">Semana 20</w:t>
            </w:r>
          </w:p>
        </w:tc>
        <w:tc>
          <w:tcPr/>
          <w:p>
            <w:pPr>
              <w:pStyle w:val="Compact"/>
              <w:jc w:val="left"/>
            </w:pPr>
            <w:r>
              <w:t xml:space="preserve">FAT completado</w:t>
            </w:r>
          </w:p>
        </w:tc>
      </w:tr>
      <w:tr>
        <w:tc>
          <w:tcPr/>
          <w:p>
            <w:pPr>
              <w:pStyle w:val="Compact"/>
              <w:jc w:val="left"/>
            </w:pPr>
            <w:r>
              <w:t xml:space="preserve">H-06</w:t>
            </w:r>
          </w:p>
        </w:tc>
        <w:tc>
          <w:tcPr/>
          <w:p>
            <w:pPr>
              <w:pStyle w:val="Compact"/>
              <w:jc w:val="left"/>
            </w:pPr>
            <w:r>
              <w:t xml:space="preserve">Semana 22</w:t>
            </w:r>
          </w:p>
        </w:tc>
        <w:tc>
          <w:tcPr/>
          <w:p>
            <w:pPr>
              <w:pStyle w:val="Compact"/>
              <w:jc w:val="left"/>
            </w:pPr>
            <w:r>
              <w:t xml:space="preserve">Transporte a Manaure</w:t>
            </w:r>
          </w:p>
        </w:tc>
      </w:tr>
      <w:tr>
        <w:tc>
          <w:tcPr/>
          <w:p>
            <w:pPr>
              <w:pStyle w:val="Compact"/>
              <w:jc w:val="left"/>
            </w:pPr>
            <w:r>
              <w:t xml:space="preserve">H-07</w:t>
            </w:r>
          </w:p>
        </w:tc>
        <w:tc>
          <w:tcPr/>
          <w:p>
            <w:pPr>
              <w:pStyle w:val="Compact"/>
              <w:jc w:val="left"/>
            </w:pPr>
            <w:r>
              <w:t xml:space="preserve">Semana 24</w:t>
            </w:r>
          </w:p>
        </w:tc>
        <w:tc>
          <w:tcPr/>
          <w:p>
            <w:pPr>
              <w:pStyle w:val="Compact"/>
              <w:jc w:val="left"/>
            </w:pPr>
            <w:r>
              <w:t xml:space="preserve">SAT completado — Piloto operativo</w:t>
            </w:r>
          </w:p>
        </w:tc>
      </w:tr>
      <w:tr>
        <w:tc>
          <w:tcPr/>
          <w:p>
            <w:pPr>
              <w:pStyle w:val="Compact"/>
              <w:jc w:val="left"/>
            </w:pPr>
            <w:r>
              <w:t xml:space="preserve">H-08</w:t>
            </w:r>
          </w:p>
        </w:tc>
        <w:tc>
          <w:tcPr/>
          <w:p>
            <w:pPr>
              <w:pStyle w:val="Compact"/>
              <w:jc w:val="left"/>
            </w:pPr>
            <w:r>
              <w:t xml:space="preserve">Semana 48</w:t>
            </w:r>
          </w:p>
        </w:tc>
        <w:tc>
          <w:tcPr/>
          <w:p>
            <w:pPr>
              <w:pStyle w:val="Compact"/>
              <w:jc w:val="left"/>
            </w:pPr>
            <w:r>
              <w:t xml:space="preserve">Reporte final RELX</w:t>
            </w:r>
          </w:p>
        </w:tc>
      </w:tr>
    </w:tbl>
    <w:bookmarkEnd w:id="85"/>
    <w:bookmarkStart w:id="86" w:name="entregables-del-proyecto"/>
    <w:p>
      <w:pPr>
        <w:pStyle w:val="3"/>
      </w:pPr>
      <w:r>
        <w:t>10.3 Entregables del Proyecto</w:t>
        <w:br/>
        <w:t>Los siguientes entregables serán producidos durante el proyecto:</w:t>
        <w:br/>
        <w:t>• Planos P&amp;ID y PFD del sistema completo (formato DWG y PDF)</w:t>
        <w:br/>
        <w:t>• Manual de operación y mantenimiento (O&amp;M) del piloto AQUA-8</w:t>
        <w:br/>
        <w:t>• Memoria de cálculo actualizada con datos de operación real</w:t>
        <w:br/>
        <w:t>• Reporte de prueba FAT (Factory Acceptance Test)</w:t>
        <w:br/>
        <w:t>• Reporte de prueba SAT (Site Acceptance Test) y puesta en marcha</w:t>
        <w:br/>
        <w:t>• Protocolo de capacitación del operador local certificado</w:t>
        <w:br/>
        <w:t>• Dashboard SCADA operativo con datos en tiempo real</w:t>
        <w:br/>
        <w:t>• Documento de lecciones aprendidas y recomendaciones para Fase II</w:t>
      </w:r>
    </w:p>
    <w:p>
      <w:pPr>
        <w:pStyle w:val="Heading 4"/>
      </w:pPr>
      <w:r>
        <w:rPr>
          <w:b/>
          <w:rFonts w:ascii="Calibri" w:hAnsi="Calibri"/>
          <w:sz w:val="24"/>
          <w:szCs w:val="24"/>
        </w:rPr>
        <w:t xml:space="preserve">10.4 Estrategia de Sostenibilidad Post-Piloto (Exit Strategy)</w:t>
      </w:r>
    </w:p>
    <w:p>
      <w:pPr>
        <w:pStyle w:val="4"/>
      </w:pPr>
      <w:r>
        <w:t xml:space="preserve">A. Ingeniería y Proyecto ($7,500)</w:t>
      </w:r>
    </w:p>
    <w:p>
      <w:pPr>
        <w:pStyle w:val="4"/>
      </w:pPr>
      <w:r>
        <w:t xml:space="preserve">B. Contenedor y Estructura ($9,000)</w:t>
      </w:r>
    </w:p>
    <w:p>
      <w:pPr>
        <w:pStyle w:val="4"/>
      </w:pPr>
      <w:r>
        <w:t xml:space="preserve">C. Sistema de Tratamiento de Agua ($15,450)</w:t>
      </w:r>
    </w:p>
    <w:p>
      <w:pPr>
        <w:pStyle w:val="4"/>
      </w:pPr>
      <w:r>
        <w:t xml:space="preserve">D. Sistema Fotovoltaico ($15,200)</w:t>
      </w:r>
    </w:p>
    <w:p>
      <w:pPr>
        <w:pStyle w:val="4"/>
      </w:pPr>
      <w:r>
        <w:t xml:space="preserve">E. Automatización y Control ($10,500)</w:t>
      </w:r>
    </w:p>
    <w:p>
      <w:pPr/>
      <w:r>
        <w:rPr>
          <w:rFonts w:ascii="Calibri" w:hAnsi="Calibri"/>
          <w:sz w:val="22"/>
          <w:szCs w:val="22"/>
        </w:rPr>
        <w:t xml:space="preserve">E. Transición a Fase II: Al finalizar el piloto (mes 12), se presentará una propuesta de escalamiento a 50 m³/día combinando: (i) capital de impacto (Acumen, WaterEquity), (ii) financiamiento climático (GCF readiness), y (iii) reinversión de ingresos acumulados. En Fase II el costo unitario baja a $5.50/m³, logrando sostenibilidad financiera completa sin subsidios operativos.</w:t>
      </w:r>
    </w:p>
    <w:p>
      <w:pPr/>
      <w:r>
        <w:rPr>
          <w:rFonts w:ascii="Calibri" w:hAnsi="Calibri"/>
          <w:sz w:val="22"/>
          <w:szCs w:val="22"/>
        </w:rPr>
        <w:t xml:space="preserve">D. Certificados de carbono: 2.5 ton CO₂/año evitadas. A $50 USD/ton (precio social del carbono), genera $125/año. Proyecto registrable bajo el estándar Gold Standard para Soluciones Hídricas Comunitarias.</w:t>
      </w:r>
    </w:p>
    <w:p>
      <w:pPr/>
      <w:r>
        <w:rPr>
          <w:rFonts w:ascii="Calibri" w:hAnsi="Calibri"/>
          <w:sz w:val="22"/>
          <w:szCs w:val="22"/>
        </w:rPr>
        <w:t xml:space="preserve">C. Ingresos por economía circular: Convenio con salineras locales de Manaure para recepción de salmuera (6.25 m³/día a 56,000 ppm TDS). Las salineras pagan $0.50/m³ de salmuera concentrada, generando $1,140/año adicionales.</w:t>
      </w:r>
    </w:p>
    <w:p>
      <w:pPr/>
      <w:r>
        <w:rPr>
          <w:rFonts w:ascii="Calibri" w:hAnsi="Calibri"/>
          <w:sz w:val="22"/>
          <w:szCs w:val="22"/>
        </w:rPr>
        <w:t xml:space="preserve">B. Tarifa social comunitaria: $2.00/m³, equivalente al subsidio actual del carrotanque. Genera $1,800/año que cubren mantenimiento básico (reemplazo de filtros, antiescalante). Administrado por el Comité de Agua Comunitario.</w:t>
      </w:r>
    </w:p>
    <w:p>
      <w:pPr/>
      <w:r>
        <w:rPr>
          <w:rFonts w:ascii="Calibri" w:hAnsi="Calibri"/>
          <w:sz w:val="22"/>
          <w:szCs w:val="22"/>
        </w:rPr>
        <w:t xml:space="preserve">A. Co-financiamiento gubernamental: Se gestionará un convenio de co-financiación con la Alcaldía de Manaure y Corpoguajira, basado en los ahorros generados al sustituir carrotanques. El ahorro estimado es de $4,050/año (900 m³ × ($6.50−$2.00)/m³), de los cuales el 50% ($2,025/año) se reinvertirá en el sistema.</w:t>
      </w:r>
    </w:p>
    <w:p>
      <w:pPr/>
      <w:r>
        <w:rPr>
          <w:rFonts w:ascii="Calibri" w:hAnsi="Calibri"/>
          <w:sz w:val="22"/>
          <w:szCs w:val="22"/>
        </w:rPr>
        <w:t xml:space="preserve">El premio RELX 2026 (USD $75,000) financia el 100% del CAPEX del piloto Fase I. Para garantizar sostenibilidad más allá del período de 12 meses, se han definido las siguientes estrategias:</w:t>
      </w:r>
    </w:p>
    <w:p>
      <w:pPr>
        <w:pStyle w:val="2"/>
      </w:pPr>
      <w:r>
        <w:t xml:space="preserve">11. PRESUPUESTO DETALLADO</w:t>
      </w:r>
    </w:p>
    <w:bookmarkStart w:id="88" w:name="resumen-del-presupuesto"/>
    <w:p>
      <w:pPr>
        <w:pStyle w:val="3"/>
      </w:pPr>
      <w:r>
        <w:t xml:space="preserve">11.1 Resumen del Presupuesto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Ítem</w:t>
            </w:r>
          </w:p>
        </w:tc>
        <w:tc>
          <w:tcPr/>
          <w:p>
            <w:pPr>
              <w:pStyle w:val="Compact"/>
              <w:jc w:val="left"/>
            </w:pPr>
            <w:r>
              <w:t xml:space="preserve">Costo (USD)</w:t>
            </w:r>
          </w:p>
        </w:tc>
        <w:tc>
          <w:tcPr/>
          <w:p>
            <w:pPr>
              <w:pStyle w:val="Compact"/>
              <w:jc w:val="left"/>
            </w:pPr>
            <w:r>
              <w:t xml:space="preserve">%</w:t>
            </w:r>
          </w:p>
        </w:tc>
      </w:tr>
      <w:tr>
        <w:tc>
          <w:tcPr/>
          <w:p>
            <w:pPr>
              <w:pStyle w:val="Compact"/>
              <w:jc w:val="left"/>
            </w:pPr>
            <w:r>
              <w:t xml:space="preserve">A. Ingeniería y Proyecto</w:t>
            </w:r>
          </w:p>
        </w:tc>
        <w:tc>
          <w:tcPr/>
          <w:p>
            <w:pPr>
              <w:pStyle w:val="Compact"/>
              <w:jc w:val="left"/>
            </w:pPr>
            <w:r>
              <w:t xml:space="preserve">$7,500</w:t>
            </w:r>
          </w:p>
        </w:tc>
        <w:tc>
          <w:tcPr/>
          <w:p>
            <w:pPr>
              <w:pStyle w:val="Compact"/>
              <w:jc w:val="left"/>
            </w:pPr>
            <w:r>
              <w:t xml:space="preserve">10.0%</w:t>
            </w:r>
          </w:p>
        </w:tc>
      </w:tr>
      <w:tr>
        <w:tc>
          <w:tcPr/>
          <w:p>
            <w:pPr>
              <w:pStyle w:val="Compact"/>
              <w:jc w:val="left"/>
            </w:pPr>
            <w:r>
              <w:t xml:space="preserve">B. Contenedor y Estructura</w:t>
            </w:r>
          </w:p>
        </w:tc>
        <w:tc>
          <w:tcPr/>
          <w:p>
            <w:pPr>
              <w:pStyle w:val="Compact"/>
              <w:jc w:val="left"/>
            </w:pPr>
            <w:r>
              <w:t xml:space="preserve">$9,000</w:t>
            </w:r>
          </w:p>
        </w:tc>
        <w:tc>
          <w:tcPr/>
          <w:p>
            <w:pPr>
              <w:pStyle w:val="Compact"/>
              <w:jc w:val="left"/>
            </w:pPr>
            <w:r>
              <w:t xml:space="preserve">12.0%</w:t>
            </w:r>
          </w:p>
        </w:tc>
      </w:tr>
      <w:tr>
        <w:tc>
          <w:tcPr/>
          <w:p>
            <w:pPr>
              <w:pStyle w:val="Compact"/>
              <w:jc w:val="left"/>
            </w:pPr>
            <w:r>
              <w:t xml:space="preserve">C. Sistema de Tratamiento de Agua</w:t>
            </w:r>
          </w:p>
        </w:tc>
        <w:tc>
          <w:tcPr/>
          <w:p>
            <w:pPr>
              <w:pStyle w:val="Compact"/>
              <w:jc w:val="left"/>
            </w:pPr>
            <w:r>
              <w:t>$16,650</w:t>
            </w:r>
          </w:p>
        </w:tc>
        <w:tc>
          <w:tcPr/>
          <w:p>
            <w:pPr>
              <w:pStyle w:val="Compact"/>
              <w:jc w:val="left"/>
            </w:pPr>
            <w:r>
              <w:t>21.8%</w:t>
            </w:r>
          </w:p>
        </w:tc>
      </w:tr>
      <w:tr>
        <w:tc>
          <w:tcPr/>
          <w:p>
            <w:pPr>
              <w:pStyle w:val="Compact"/>
              <w:jc w:val="left"/>
            </w:pPr>
            <w:r>
              <w:t xml:space="preserve">D. Sistema Fotovoltaico</w:t>
            </w:r>
          </w:p>
        </w:tc>
        <w:tc>
          <w:tcPr/>
          <w:p>
            <w:pPr>
              <w:pStyle w:val="Compact"/>
              <w:jc w:val="left"/>
            </w:pPr>
            <w:r>
              <w:t xml:space="preserve">$15,200</w:t>
            </w:r>
          </w:p>
        </w:tc>
        <w:tc>
          <w:tcPr/>
          <w:p>
            <w:pPr>
              <w:pStyle w:val="Compact"/>
              <w:jc w:val="left"/>
            </w:pPr>
            <w:r>
              <w:t xml:space="preserve">20.3%</w:t>
            </w:r>
          </w:p>
        </w:tc>
      </w:tr>
      <w:tr>
        <w:tc>
          <w:tcPr/>
          <w:p>
            <w:pPr>
              <w:pStyle w:val="Compact"/>
              <w:jc w:val="left"/>
            </w:pPr>
            <w:r>
              <w:t xml:space="preserve">E. Automatización y Control</w:t>
            </w:r>
          </w:p>
        </w:tc>
        <w:tc>
          <w:tcPr/>
          <w:p>
            <w:pPr>
              <w:pStyle w:val="Compact"/>
              <w:jc w:val="left"/>
            </w:pPr>
            <w:r>
              <w:t xml:space="preserve">$10,500</w:t>
            </w:r>
          </w:p>
        </w:tc>
        <w:tc>
          <w:tcPr/>
          <w:p>
            <w:pPr>
              <w:pStyle w:val="Compact"/>
              <w:jc w:val="left"/>
            </w:pPr>
            <w:r>
              <w:t xml:space="preserve">14.0%</w:t>
            </w:r>
          </w:p>
        </w:tc>
      </w:tr>
      <w:tr>
        <w:tc>
          <w:tcPr/>
          <w:p>
            <w:pPr>
              <w:pStyle w:val="Compact"/>
              <w:jc w:val="left"/>
            </w:pPr>
            <w:r>
              <w:t xml:space="preserve">F. Logística y Operación</w:t>
            </w:r>
          </w:p>
        </w:tc>
        <w:tc>
          <w:tcPr/>
          <w:p>
            <w:pPr>
              <w:pStyle w:val="Compact"/>
              <w:jc w:val="left"/>
            </w:pPr>
            <w:r>
              <w:t xml:space="preserve">$11,500</w:t>
            </w:r>
          </w:p>
        </w:tc>
        <w:tc>
          <w:tcPr/>
          <w:p>
            <w:pPr>
              <w:pStyle w:val="Compact"/>
              <w:jc w:val="left"/>
            </w:pPr>
            <w:r>
              <w:t xml:space="preserve">15.3%</w:t>
            </w:r>
          </w:p>
        </w:tc>
      </w:tr>
      <w:tr>
        <w:tc>
          <w:tcPr/>
          <w:p>
            <w:pPr>
              <w:pStyle w:val="Compact"/>
              <w:jc w:val="left"/>
            </w:pPr>
            <w:r>
              <w:t xml:space="preserve">G. Gestión y Administración</w:t>
            </w:r>
          </w:p>
        </w:tc>
        <w:tc>
          <w:tcPr/>
          <w:p>
            <w:pPr>
              <w:pStyle w:val="Compact"/>
              <w:jc w:val="left"/>
            </w:pPr>
            <w:r>
              <w:t xml:space="preserve">$7,850</w:t>
            </w:r>
          </w:p>
        </w:tc>
        <w:tc>
          <w:tcPr/>
          <w:p>
            <w:pPr>
              <w:pStyle w:val="Compact"/>
              <w:jc w:val="left"/>
            </w:pPr>
            <w:r>
              <w:t xml:space="preserve">10.5%</w:t>
            </w:r>
          </w:p>
        </w:tc>
      </w:tr>
      <w:tr>
        <w:tc>
          <w:tcPr/>
          <w:p>
            <w:pPr>
              <w:pStyle w:val="Compact"/>
              <w:jc w:val="left"/>
            </w:pPr>
            <w:r>
              <w:rPr>
                <w:b/>
                <w:bCs/>
              </w:rPr>
              <w:t xml:space="preserve">TOTAL</w:t>
            </w:r>
          </w:p>
        </w:tc>
        <w:tc>
          <w:tcPr/>
          <w:p>
            <w:pPr>
              <w:pStyle w:val="Compact"/>
              <w:jc w:val="left"/>
            </w:pPr>
            <w:r>
              <w:rPr>
                <w:b/>
                <w:bCs/>
              </w:rPr>
              <w:t>$76,200</w:t>
            </w:r>
          </w:p>
        </w:tc>
        <w:tc>
          <w:tcPr/>
          <w:p>
            <w:pPr>
              <w:pStyle w:val="Compact"/>
              <w:jc w:val="left"/>
            </w:pPr>
            <w:r>
              <w:rPr>
                <w:b/>
                <w:bCs/>
              </w:rPr>
              <w:t xml:space="preserve">100%</w:t>
            </w:r>
          </w:p>
        </w:tc>
      </w:tr>
    </w:tbl>
    <w:bookmarkEnd w:id="88"/>
    <w:bookmarkStart w:id="96" w:name="desglose-por-categoría"/>
    <w:p>
      <w:pPr>
        <w:pStyle w:val="3"/>
      </w:pPr>
      <w:r>
        <w:t xml:space="preserve">11.2 Desglose por Categoría</w:t>
      </w:r>
    </w:p>
    <w:bookmarkStart w:id="89" w:name="a.-ingeniería-y-proyecto-7500"/>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Rubro</w:t>
            </w:r>
          </w:p>
        </w:tc>
        <w:tc>
          <w:tcPr/>
          <w:p>
            <w:pPr>
              <w:pStyle w:val="Compact"/>
              <w:jc w:val="left"/>
            </w:pPr>
            <w:r>
              <w:t xml:space="preserve">Costo (USD)</w:t>
            </w:r>
          </w:p>
        </w:tc>
      </w:tr>
      <w:tr>
        <w:tc>
          <w:tcPr/>
          <w:p>
            <w:pPr>
              <w:pStyle w:val="Compact"/>
              <w:jc w:val="left"/>
            </w:pPr>
            <w:r>
              <w:t xml:space="preserve">Ingeniería de detalle (planos, P&amp;ID, memorias)</w:t>
            </w:r>
          </w:p>
        </w:tc>
        <w:tc>
          <w:tcPr/>
          <w:p>
            <w:pPr>
              <w:pStyle w:val="Compact"/>
              <w:jc w:val="left"/>
            </w:pPr>
            <w:r>
              <w:t xml:space="preserve">$3,500</w:t>
            </w:r>
          </w:p>
        </w:tc>
      </w:tr>
      <w:tr>
        <w:tc>
          <w:tcPr/>
          <w:p>
            <w:pPr>
              <w:pStyle w:val="Compact"/>
              <w:jc w:val="left"/>
            </w:pPr>
            <w:r>
              <w:t xml:space="preserve">Diseño eléctrico y SCADA</w:t>
            </w:r>
          </w:p>
        </w:tc>
        <w:tc>
          <w:tcPr/>
          <w:p>
            <w:pPr>
              <w:pStyle w:val="Compact"/>
              <w:jc w:val="left"/>
            </w:pPr>
            <w:r>
              <w:t xml:space="preserve">$2,500</w:t>
            </w:r>
          </w:p>
        </w:tc>
      </w:tr>
      <w:tr>
        <w:tc>
          <w:tcPr/>
          <w:p>
            <w:pPr>
              <w:pStyle w:val="Compact"/>
              <w:jc w:val="left"/>
            </w:pPr>
            <w:r>
              <w:t xml:space="preserve">Coordinación y gerencia de proyecto</w:t>
            </w:r>
          </w:p>
        </w:tc>
        <w:tc>
          <w:tcPr/>
          <w:p>
            <w:pPr>
              <w:pStyle w:val="Compact"/>
              <w:jc w:val="left"/>
            </w:pPr>
            <w:r>
              <w:t xml:space="preserve">$1,500</w:t>
            </w:r>
          </w:p>
        </w:tc>
      </w:tr>
    </w:tbl>
    <w:bookmarkEnd w:id="89"/>
    <w:bookmarkStart w:id="90" w:name="b.-contenedor-y-estructura-9000"/>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Rubro</w:t>
            </w:r>
          </w:p>
        </w:tc>
        <w:tc>
          <w:tcPr/>
          <w:p>
            <w:pPr>
              <w:pStyle w:val="Compact"/>
              <w:jc w:val="left"/>
            </w:pPr>
            <w:r>
              <w:t xml:space="preserve">Costo (USD)</w:t>
            </w:r>
          </w:p>
        </w:tc>
      </w:tr>
      <w:tr>
        <w:tc>
          <w:tcPr/>
          <w:p>
            <w:pPr>
              <w:pStyle w:val="Compact"/>
              <w:jc w:val="left"/>
            </w:pPr>
            <w:r>
              <w:t xml:space="preserve">Contenedor marítimo 20’ reacondicionado</w:t>
            </w:r>
          </w:p>
        </w:tc>
        <w:tc>
          <w:tcPr/>
          <w:p>
            <w:pPr>
              <w:pStyle w:val="Compact"/>
              <w:jc w:val="left"/>
            </w:pPr>
            <w:r>
              <w:t xml:space="preserve">$3,500</w:t>
            </w:r>
          </w:p>
        </w:tc>
      </w:tr>
      <w:tr>
        <w:tc>
          <w:tcPr/>
          <w:p>
            <w:pPr>
              <w:pStyle w:val="Compact"/>
              <w:jc w:val="left"/>
            </w:pPr>
            <w:r>
              <w:t xml:space="preserve">Aislamiento térmico, pintura anticorrosiva, ventilación</w:t>
            </w:r>
          </w:p>
        </w:tc>
        <w:tc>
          <w:tcPr/>
          <w:p>
            <w:pPr>
              <w:pStyle w:val="Compact"/>
              <w:jc w:val="left"/>
            </w:pPr>
            <w:r>
              <w:t xml:space="preserve">$4,000</w:t>
            </w:r>
          </w:p>
        </w:tc>
      </w:tr>
      <w:tr>
        <w:tc>
          <w:tcPr/>
          <w:p>
            <w:pPr>
              <w:pStyle w:val="Compact"/>
              <w:jc w:val="left"/>
            </w:pPr>
            <w:r>
              <w:t xml:space="preserve">Obra civil menor (base, anclajes)</w:t>
            </w:r>
          </w:p>
        </w:tc>
        <w:tc>
          <w:tcPr/>
          <w:p>
            <w:pPr>
              <w:pStyle w:val="Compact"/>
              <w:jc w:val="left"/>
            </w:pPr>
            <w:r>
              <w:t xml:space="preserve">$1,500</w:t>
            </w:r>
          </w:p>
        </w:tc>
      </w:tr>
    </w:tbl>
    <w:bookmarkEnd w:id="90"/>
    <w:bookmarkStart w:id="91" w:name="c.-sistema-de-tratamiento-de-agua-15450"/>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Rubro</w:t>
            </w:r>
          </w:p>
        </w:tc>
        <w:tc>
          <w:tcPr/>
          <w:p>
            <w:pPr>
              <w:pStyle w:val="Compact"/>
              <w:jc w:val="left"/>
            </w:pPr>
            <w:r>
              <w:t xml:space="preserve">Costo (USD)</w:t>
            </w:r>
          </w:p>
        </w:tc>
      </w:tr>
      <w:tr>
        <w:tc>
          <w:tcPr/>
          <w:p>
            <w:pPr>
              <w:pStyle w:val="Compact"/>
              <w:jc w:val="left"/>
            </w:pPr>
            <w:r>
              <w:t xml:space="preserve">Bomba de alta presión + ERD</w:t>
            </w:r>
          </w:p>
        </w:tc>
        <w:tc>
          <w:tcPr/>
          <w:p>
            <w:pPr>
              <w:pStyle w:val="Compact"/>
              <w:jc w:val="left"/>
            </w:pPr>
            <w:r>
              <w:t xml:space="preserve">$5,500</w:t>
            </w:r>
          </w:p>
        </w:tc>
      </w:tr>
      <w:tr>
        <w:tc>
          <w:tcPr/>
          <w:p>
            <w:pPr>
              <w:pStyle w:val="Compact"/>
              <w:jc w:val="left"/>
            </w:pPr>
            <w:r>
              <w:t xml:space="preserve">Membranas SWRO (2 und) + carcasas</w:t>
            </w:r>
          </w:p>
        </w:tc>
        <w:tc>
          <w:tcPr/>
          <w:p>
            <w:pPr>
              <w:pStyle w:val="Compact"/>
              <w:jc w:val="left"/>
            </w:pPr>
            <w:r>
              <w:t xml:space="preserve">$2,100</w:t>
            </w:r>
          </w:p>
        </w:tc>
      </w:tr>
      <w:tr>
        <w:tc>
          <w:tcPr/>
          <w:p>
            <w:pPr>
              <w:pStyle w:val="Compact"/>
              <w:jc w:val="left"/>
            </w:pPr>
            <w:r>
              <w:t xml:space="preserve">Sistema de pre-tratamiento (filtros multimedia, cartucho)</w:t>
            </w:r>
          </w:p>
        </w:tc>
        <w:tc>
          <w:tcPr/>
          <w:p>
            <w:pPr>
              <w:pStyle w:val="Compact"/>
              <w:jc w:val="left"/>
            </w:pPr>
            <w:r>
              <w:t xml:space="preserve">$3,200</w:t>
            </w:r>
          </w:p>
        </w:tc>
      </w:tr>
      <w:tr>
        <w:tc>
          <w:tcPr/>
          <w:p>
            <w:pPr>
              <w:pStyle w:val="Compact"/>
              <w:jc w:val="left"/>
            </w:pPr>
            <w:r>
              <w:t xml:space="preserve">Sistema de post-tratamiento (UV, calcita)</w:t>
            </w:r>
          </w:p>
        </w:tc>
        <w:tc>
          <w:tcPr/>
          <w:p>
            <w:pPr>
              <w:pStyle w:val="Compact"/>
              <w:jc w:val="left"/>
            </w:pPr>
            <w:r>
              <w:t xml:space="preserve">$1,650</w:t>
            </w:r>
          </w:p>
        </w:tc>
      </w:tr>
      <w:tr>
        <w:tc>
          <w:tcPr/>
          <w:p>
            <w:pPr>
              <w:pStyle w:val="Compact"/>
              <w:jc w:val="left"/>
            </w:pPr>
            <w:r/>
            <w:r>
              <w:t xml:space="preserve">ERD de respuesto Danfoss iSave 21</w:t>
            </w:r>
          </w:p>
        </w:tc>
        <w:tc>
          <w:tcPr/>
          <w:p>
            <w:pPr>
              <w:pStyle w:val="Compact"/>
              <w:jc w:val="left"/>
            </w:pPr>
            <w:r>
              <w:t xml:space="preserve">$5,500</w:t>
            </w:r>
          </w:p>
        </w:tc>
      </w:tr>
      <w:tr>
        <w:tc>
          <w:tcPr/>
          <w:p>
            <w:pPr>
              <w:pStyle w:val="Compact"/>
              <w:jc w:val="left"/>
            </w:pPr>
            <w:r>
              <w:t xml:space="preserve">Tuberías, válvulas, accesorios AISI 316</w:t>
            </w:r>
          </w:p>
        </w:tc>
        <w:tc>
          <w:tcPr/>
          <w:p>
            <w:pPr>
              <w:pStyle w:val="Compact"/>
              <w:jc w:val="left"/>
            </w:pPr>
            <w:r>
              <w:t xml:space="preserve">$3,000</w:t>
            </w:r>
          </w:p>
        </w:tc>
      </w:tr>
    </w:tbl>
    <w:bookmarkEnd w:id="91"/>
    <w:bookmarkStart w:id="92" w:name="d.-sistema-fotovoltaico-15200"/>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Rubro</w:t>
            </w:r>
          </w:p>
        </w:tc>
        <w:tc>
          <w:tcPr/>
          <w:p>
            <w:pPr>
              <w:pStyle w:val="Compact"/>
              <w:jc w:val="left"/>
            </w:pPr>
            <w:r>
              <w:t xml:space="preserve">Costo (USD)</w:t>
            </w:r>
          </w:p>
        </w:tc>
      </w:tr>
      <w:tr>
        <w:tc>
          <w:tcPr/>
          <w:p>
            <w:pPr>
              <w:pStyle w:val="Compact"/>
              <w:jc w:val="left"/>
            </w:pPr>
            <w:r>
              <w:t xml:space="preserve">Paneles solares 500W (10 und)</w:t>
            </w:r>
          </w:p>
        </w:tc>
        <w:tc>
          <w:tcPr/>
          <w:p>
            <w:pPr>
              <w:pStyle w:val="Compact"/>
              <w:jc w:val="left"/>
            </w:pPr>
            <w:r>
              <w:t xml:space="preserve">$6,500</w:t>
            </w:r>
          </w:p>
        </w:tc>
      </w:tr>
      <w:tr>
        <w:tc>
          <w:tcPr/>
          <w:p>
            <w:pPr>
              <w:pStyle w:val="Compact"/>
              <w:jc w:val="left"/>
            </w:pPr>
            <w:r>
              <w:t xml:space="preserve">VFD solar directo + MPPT integrado</w:t>
            </w:r>
          </w:p>
        </w:tc>
        <w:tc>
          <w:tcPr/>
          <w:p>
            <w:pPr>
              <w:pStyle w:val="Compact"/>
              <w:jc w:val="left"/>
            </w:pPr>
            <w:r>
              <w:t xml:space="preserve">$4,200</w:t>
            </w:r>
          </w:p>
        </w:tc>
      </w:tr>
      <w:tr>
        <w:tc>
          <w:tcPr/>
          <w:p>
            <w:pPr>
              <w:pStyle w:val="Compact"/>
              <w:jc w:val="left"/>
            </w:pPr>
            <w:r>
              <w:t xml:space="preserve">Inversor auxiliar 1 kVA (para PLC/SCADA)</w:t>
            </w:r>
          </w:p>
        </w:tc>
        <w:tc>
          <w:tcPr/>
          <w:p>
            <w:pPr>
              <w:pStyle w:val="Compact"/>
              <w:jc w:val="left"/>
            </w:pPr>
            <w:r>
              <w:t xml:space="preserve">$800</w:t>
            </w:r>
          </w:p>
        </w:tc>
      </w:tr>
      <w:tr>
        <w:tc>
          <w:tcPr/>
          <w:p>
            <w:pPr>
              <w:pStyle w:val="Compact"/>
              <w:jc w:val="left"/>
            </w:pPr>
            <w:r>
              <w:t xml:space="preserve">Estructura de soporte (techo desplegable)</w:t>
            </w:r>
          </w:p>
        </w:tc>
        <w:tc>
          <w:tcPr/>
          <w:p>
            <w:pPr>
              <w:pStyle w:val="Compact"/>
              <w:jc w:val="left"/>
            </w:pPr>
            <w:r>
              <w:t xml:space="preserve">$2,500</w:t>
            </w:r>
          </w:p>
        </w:tc>
      </w:tr>
      <w:tr>
        <w:tc>
          <w:tcPr/>
          <w:p>
            <w:pPr>
              <w:pStyle w:val="Compact"/>
              <w:jc w:val="left"/>
            </w:pPr>
            <w:r>
              <w:t xml:space="preserve">Cableado, protecciones, puesta a tierra</w:t>
            </w:r>
          </w:p>
        </w:tc>
        <w:tc>
          <w:tcPr/>
          <w:p>
            <w:pPr>
              <w:pStyle w:val="Compact"/>
              <w:jc w:val="left"/>
            </w:pPr>
            <w:r>
              <w:t xml:space="preserve">$5,500</w:t>
            </w:r>
          </w:p>
        </w:tc>
      </w:tr>
    </w:tbl>
    <w:p>
      <w:pPr>
        <w:pStyle w:val="aa"/>
      </w:pPr>
      <w:r>
        <w:rPr>
          <w:b/>
          <w:bCs/>
        </w:rPr>
        <w:t xml:space="preserve">Nota:</w:t>
      </w:r>
      <w:r>
        <w:t xml:space="preserve"> </w:t>
      </w:r>
      <w:r>
        <w:t xml:space="preserve">El VFD solar directo ($4,200) incluye controlador MPPT integrado, protecciones eléctricas y gabinete NEMA 4X. Este componente es crítico para la arquitectura</w:t>
      </w:r>
      <w:r>
        <w:t xml:space="preserve"> </w:t>
      </w:r>
      <w:r>
        <w:t xml:space="preserve">“</w:t>
      </w:r>
      <w:r>
        <w:t xml:space="preserve">sin baterías</w:t>
      </w:r>
      <w:r>
        <w:t xml:space="preserve">”</w:t>
      </w:r>
      <w:r>
        <w:t xml:space="preserve">, ya que convierte la DC variable de los paneles en AC para la bomba HP, ajustando la frecuencia en tiempo real según la radiación solar.</w:t>
      </w:r>
    </w:p>
    <w:bookmarkEnd w:id="92"/>
    <w:bookmarkStart w:id="93" w:name="e.-automatización-y-control-10500"/>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Rubro</w:t>
            </w:r>
          </w:p>
        </w:tc>
        <w:tc>
          <w:tcPr/>
          <w:p>
            <w:pPr>
              <w:pStyle w:val="Compact"/>
              <w:jc w:val="left"/>
            </w:pPr>
            <w:r>
              <w:t xml:space="preserve">Costo (USD)</w:t>
            </w:r>
          </w:p>
        </w:tc>
      </w:tr>
      <w:tr>
        <w:tc>
          <w:tcPr/>
          <w:p>
            <w:pPr>
              <w:pStyle w:val="Compact"/>
              <w:jc w:val="left"/>
            </w:pPr>
            <w:r>
              <w:t xml:space="preserve">PLC industrial + HMI táctil 10”</w:t>
            </w:r>
          </w:p>
        </w:tc>
        <w:tc>
          <w:tcPr/>
          <w:p>
            <w:pPr>
              <w:pStyle w:val="Compact"/>
              <w:jc w:val="left"/>
            </w:pPr>
            <w:r>
              <w:t xml:space="preserve">$3,800</w:t>
            </w:r>
          </w:p>
        </w:tc>
      </w:tr>
      <w:tr>
        <w:tc>
          <w:tcPr/>
          <w:p>
            <w:pPr>
              <w:pStyle w:val="Compact"/>
              <w:jc w:val="left"/>
            </w:pPr>
            <w:r>
              <w:t xml:space="preserve">Sensores (presión, conductividad, nivel, flujo)</w:t>
            </w:r>
          </w:p>
        </w:tc>
        <w:tc>
          <w:tcPr/>
          <w:p>
            <w:pPr>
              <w:pStyle w:val="Compact"/>
              <w:jc w:val="left"/>
            </w:pPr>
            <w:r>
              <w:t xml:space="preserve">$2,500</w:t>
            </w:r>
          </w:p>
        </w:tc>
      </w:tr>
      <w:tr>
        <w:tc>
          <w:tcPr/>
          <w:p>
            <w:pPr>
              <w:pStyle w:val="Compact"/>
              <w:jc w:val="left"/>
            </w:pPr>
            <w:r>
              <w:t xml:space="preserve">Variadores de frecuencia (VFD)</w:t>
            </w:r>
          </w:p>
        </w:tc>
        <w:tc>
          <w:tcPr/>
          <w:p>
            <w:pPr>
              <w:pStyle w:val="Compact"/>
              <w:jc w:val="left"/>
            </w:pPr>
            <w:r>
              <w:t xml:space="preserve">$2,200</w:t>
            </w:r>
          </w:p>
        </w:tc>
      </w:tr>
      <w:tr>
        <w:tc>
          <w:tcPr/>
          <w:p>
            <w:pPr>
              <w:pStyle w:val="Compact"/>
              <w:jc w:val="left"/>
            </w:pPr>
            <w:r>
              <w:t xml:space="preserve">Gateway IoT 4G/satelital</w:t>
            </w:r>
          </w:p>
        </w:tc>
        <w:tc>
          <w:tcPr/>
          <w:p>
            <w:pPr>
              <w:pStyle w:val="Compact"/>
              <w:jc w:val="left"/>
            </w:pPr>
            <w:r>
              <w:t xml:space="preserve">$5,500</w:t>
            </w:r>
          </w:p>
        </w:tc>
      </w:tr>
      <w:tr>
        <w:tc>
          <w:tcPr/>
          <w:p>
            <w:pPr>
              <w:pStyle w:val="Compact"/>
              <w:jc w:val="left"/>
            </w:pPr>
            <w:r>
              <w:t xml:space="preserve">Cableado de instrumentación</w:t>
            </w:r>
          </w:p>
        </w:tc>
        <w:tc>
          <w:tcPr/>
          <w:p>
            <w:pPr>
              <w:pStyle w:val="Compact"/>
              <w:jc w:val="left"/>
            </w:pPr>
            <w:r>
              <w:t xml:space="preserve">$800</w:t>
            </w:r>
          </w:p>
        </w:tc>
      </w:tr>
    </w:tbl>
    <w:bookmarkEnd w:id="93"/>
    <w:bookmarkStart w:id="94" w:name="f.-logística-y-operación-11500"/>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Rubro</w:t>
            </w:r>
          </w:p>
        </w:tc>
        <w:tc>
          <w:tcPr/>
          <w:p>
            <w:pPr>
              <w:pStyle w:val="Compact"/>
              <w:jc w:val="left"/>
            </w:pPr>
            <w:r>
              <w:t xml:space="preserve">Costo (USD)</w:t>
            </w:r>
          </w:p>
        </w:tc>
      </w:tr>
      <w:tr>
        <w:tc>
          <w:tcPr/>
          <w:p>
            <w:pPr>
              <w:pStyle w:val="Compact"/>
              <w:jc w:val="left"/>
            </w:pPr>
            <w:r>
              <w:t xml:space="preserve">Transporte de equipos a Manaure</w:t>
            </w:r>
          </w:p>
        </w:tc>
        <w:tc>
          <w:tcPr/>
          <w:p>
            <w:pPr>
              <w:pStyle w:val="Compact"/>
              <w:jc w:val="left"/>
            </w:pPr>
            <w:r>
              <w:t xml:space="preserve">$3,500</w:t>
            </w:r>
          </w:p>
        </w:tc>
      </w:tr>
      <w:tr>
        <w:tc>
          <w:tcPr/>
          <w:p>
            <w:pPr>
              <w:pStyle w:val="Compact"/>
              <w:jc w:val="left"/>
            </w:pPr>
            <w:r>
              <w:t xml:space="preserve">Instalación y montaje en sitio</w:t>
            </w:r>
          </w:p>
        </w:tc>
        <w:tc>
          <w:tcPr/>
          <w:p>
            <w:pPr>
              <w:pStyle w:val="Compact"/>
              <w:jc w:val="left"/>
            </w:pPr>
            <w:r>
              <w:t xml:space="preserve">$3,000</w:t>
            </w:r>
          </w:p>
        </w:tc>
      </w:tr>
      <w:tr>
        <w:tc>
          <w:tcPr/>
          <w:p>
            <w:pPr>
              <w:pStyle w:val="Compact"/>
              <w:jc w:val="left"/>
            </w:pPr>
            <w:r>
              <w:t xml:space="preserve">Viáticos del equipo técnico</w:t>
            </w:r>
          </w:p>
        </w:tc>
        <w:tc>
          <w:tcPr/>
          <w:p>
            <w:pPr>
              <w:pStyle w:val="Compact"/>
              <w:jc w:val="left"/>
            </w:pPr>
            <w:r>
              <w:t xml:space="preserve">$2,500</w:t>
            </w:r>
          </w:p>
        </w:tc>
      </w:tr>
      <w:tr>
        <w:tc>
          <w:tcPr/>
          <w:p>
            <w:pPr>
              <w:pStyle w:val="Compact"/>
              <w:jc w:val="left"/>
            </w:pPr>
            <w:r>
              <w:t xml:space="preserve">Capacitación de operadores locales</w:t>
            </w:r>
          </w:p>
        </w:tc>
        <w:tc>
          <w:tcPr/>
          <w:p>
            <w:pPr>
              <w:pStyle w:val="Compact"/>
              <w:jc w:val="left"/>
            </w:pPr>
            <w:r>
              <w:t xml:space="preserve">$1,500</w:t>
            </w:r>
          </w:p>
        </w:tc>
      </w:tr>
      <w:tr>
        <w:tc>
          <w:tcPr/>
          <w:p>
            <w:pPr>
              <w:pStyle w:val="Compact"/>
              <w:jc w:val="left"/>
            </w:pPr>
            <w:r>
              <w:t xml:space="preserve">Seguros y permisos</w:t>
            </w:r>
          </w:p>
        </w:tc>
        <w:tc>
          <w:tcPr/>
          <w:p>
            <w:pPr>
              <w:pStyle w:val="Compact"/>
              <w:jc w:val="left"/>
            </w:pPr>
            <w:r>
              <w:t xml:space="preserve">$1,000</w:t>
            </w:r>
          </w:p>
        </w:tc>
      </w:tr>
    </w:tbl>
    <w:bookmarkEnd w:id="94"/>
    <w:bookmarkStart w:id="95" w:name="g.-gestión-y-administración-7850"/>
    <w:p>
      <w:pPr>
        <w:pStyle w:val="4"/>
      </w:pPr>
      <w:r>
        <w:t xml:space="preserve">G. Gestión y Administración ($7,850)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Rubro</w:t>
            </w:r>
          </w:p>
        </w:tc>
        <w:tc>
          <w:tcPr/>
          <w:p>
            <w:pPr>
              <w:pStyle w:val="Compact"/>
              <w:jc w:val="left"/>
            </w:pPr>
            <w:r>
              <w:t xml:space="preserve">Costo (USD)</w:t>
            </w:r>
          </w:p>
        </w:tc>
      </w:tr>
      <w:tr>
        <w:tc>
          <w:tcPr/>
          <w:p>
            <w:pPr>
              <w:pStyle w:val="Compact"/>
              <w:jc w:val="left"/>
            </w:pPr>
            <w:r>
              <w:t xml:space="preserve">Gestión del proyecto</w:t>
            </w:r>
          </w:p>
        </w:tc>
        <w:tc>
          <w:tcPr/>
          <w:p>
            <w:pPr>
              <w:pStyle w:val="Compact"/>
              <w:jc w:val="left"/>
            </w:pPr>
            <w:r>
              <w:t xml:space="preserve">$3,500</w:t>
            </w:r>
          </w:p>
        </w:tc>
      </w:tr>
      <w:tr>
        <w:tc>
          <w:tcPr/>
          <w:p>
            <w:pPr>
              <w:pStyle w:val="Compact"/>
              <w:jc w:val="left"/>
            </w:pPr>
            <w:r>
              <w:t xml:space="preserve">Pruebas de laboratorio (calidad de agua)</w:t>
            </w:r>
          </w:p>
        </w:tc>
        <w:tc>
          <w:tcPr/>
          <w:p>
            <w:pPr>
              <w:pStyle w:val="Compact"/>
              <w:jc w:val="left"/>
            </w:pPr>
            <w:r>
              <w:t xml:space="preserve">$1,850</w:t>
            </w:r>
          </w:p>
        </w:tc>
      </w:tr>
      <w:tr>
        <w:tc>
          <w:tcPr/>
          <w:p>
            <w:pPr>
              <w:pStyle w:val="Compact"/>
              <w:jc w:val="left"/>
            </w:pPr>
            <w:r>
              <w:t xml:space="preserve">Contingencias (7.7%)</w:t>
            </w:r>
          </w:p>
        </w:tc>
        <w:tc>
          <w:tcPr/>
          <w:p>
            <w:pPr>
              <w:pStyle w:val="Compact"/>
              <w:jc w:val="left"/>
            </w:pPr>
            <w:r>
              <w:t xml:space="preserve">$2,500</w:t>
            </w:r>
          </w:p>
        </w:tc>
      </w:tr>
    </w:tbl>
    <w:p>
      <w:pPr>
        <w:pStyle w:val="aa"/>
      </w:pPr>
      <w:r>
        <w:rPr>
          <w:b/>
          <w:bCs/>
        </w:rPr>
        <w:t xml:space="preserve">Nota:</w:t>
      </w:r>
      <w:r>
        <w:t xml:space="preserve"> </w:t>
      </w:r>
      <w:r>
        <w:t xml:space="preserve">La contingencia del 7.7% ($2,500) es conservadora para un piloto en zona remota. La industria recomienda 5–10% para proyectos de esta naturaleza. El margen cubre imprevistos logísticos, variaciones de tipo de cambio, y ajustes durante FAT/SAT.</w:t>
      </w:r>
    </w:p>
    <w:bookmarkEnd w:id="95"/>
    <w:bookmarkEnd w:id="96"/>
    <w:bookmarkStart w:id="97" w:name="análisis-de-costo-por-m³-proyección-opex"/>
    <w:p>
      <w:pPr>
        <w:pStyle w:val="3"/>
      </w:pPr>
      <w:r>
        <w:t xml:space="preserve">11.3 Análisis de Costo por m³ (Proyección OPEX)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Concepto</w:t>
            </w:r>
          </w:p>
        </w:tc>
        <w:tc>
          <w:tcPr/>
          <w:p>
            <w:pPr>
              <w:pStyle w:val="Compact"/>
              <w:jc w:val="left"/>
            </w:pPr>
            <w:r>
              <w:t xml:space="preserve">Valor</w:t>
            </w:r>
          </w:p>
        </w:tc>
      </w:tr>
      <w:tr>
        <w:tc>
          <w:tcPr/>
          <w:p>
            <w:pPr>
              <w:pStyle w:val="Compact"/>
              <w:jc w:val="left"/>
            </w:pPr>
            <w:r>
              <w:t xml:space="preserve">CAPEX total</w:t>
            </w:r>
          </w:p>
        </w:tc>
        <w:tc>
          <w:tcPr/>
          <w:p>
            <w:pPr>
              <w:pStyle w:val="Compact"/>
              <w:jc w:val="left"/>
            </w:pPr>
            <w:r>
              <w:t xml:space="preserve">$75,000</w:t>
            </w:r>
          </w:p>
        </w:tc>
      </w:tr>
      <w:tr>
        <w:tc>
          <w:tcPr/>
          <w:p>
            <w:pPr>
              <w:pStyle w:val="Compact"/>
              <w:jc w:val="left"/>
            </w:pPr>
            <w:r>
              <w:t xml:space="preserve">Vida útil</w:t>
            </w:r>
          </w:p>
        </w:tc>
        <w:tc>
          <w:tcPr/>
          <w:p>
            <w:pPr>
              <w:pStyle w:val="Compact"/>
              <w:jc w:val="left"/>
            </w:pPr>
            <w:r>
              <w:t xml:space="preserve">10 años</w:t>
            </w:r>
          </w:p>
        </w:tc>
      </w:tr>
      <w:tr>
        <w:tc>
          <w:tcPr/>
          <w:p>
            <w:pPr>
              <w:pStyle w:val="Compact"/>
              <w:jc w:val="left"/>
            </w:pPr>
            <w:r>
              <w:t xml:space="preserve">CAPEX amortizado / año</w:t>
            </w:r>
          </w:p>
        </w:tc>
        <w:tc>
          <w:tcPr/>
          <w:p>
            <w:pPr>
              <w:pStyle w:val="Compact"/>
              <w:jc w:val="left"/>
            </w:pPr>
            <w:r>
              <w:t xml:space="preserve">$7,500</w:t>
            </w:r>
          </w:p>
        </w:tc>
      </w:tr>
      <w:tr>
        <w:tc>
          <w:tcPr/>
          <w:p>
            <w:pPr>
              <w:pStyle w:val="Compact"/>
              <w:jc w:val="left"/>
            </w:pPr>
            <w:r>
              <w:t xml:space="preserve">Producción anual (300 días)</w:t>
            </w:r>
          </w:p>
        </w:tc>
        <w:tc>
          <w:tcPr/>
          <w:p>
            <w:pPr>
              <w:pStyle w:val="Compact"/>
              <w:jc w:val="left"/>
            </w:pPr>
            <w:r>
              <w:t xml:space="preserve">900 m³/año</w:t>
            </w:r>
          </w:p>
        </w:tc>
      </w:tr>
      <w:tr>
        <w:tc>
          <w:tcPr/>
          <w:p>
            <w:pPr>
              <w:pStyle w:val="Compact"/>
              <w:jc w:val="left"/>
            </w:pPr>
            <w:r>
              <w:t xml:space="preserve">CAPEX / m³</w:t>
            </w:r>
          </w:p>
        </w:tc>
        <w:tc>
          <w:tcPr/>
          <w:p>
            <w:pPr>
              <w:pStyle w:val="Compact"/>
              <w:jc w:val="left"/>
            </w:pPr>
            <w:r>
              <w:t xml:space="preserve">$8.33 / m³</w:t>
            </w:r>
          </w:p>
        </w:tc>
      </w:tr>
      <w:tr>
        <w:tc>
          <w:tcPr/>
          <w:p>
            <w:pPr>
              <w:pStyle w:val="Compact"/>
              <w:jc w:val="left"/>
            </w:pPr>
            <w:r>
              <w:t xml:space="preserve">OPEX estimado / m³</w:t>
            </w:r>
          </w:p>
        </w:tc>
        <w:tc>
          <w:tcPr/>
          <w:p>
            <w:pPr>
              <w:pStyle w:val="Compact"/>
              <w:jc w:val="left"/>
            </w:pPr>
            <w:r>
              <w:t xml:space="preserve">$5.50 / m³</w:t>
            </w:r>
          </w:p>
        </w:tc>
      </w:tr>
      <w:tr>
        <w:tc>
          <w:tcPr/>
          <w:p>
            <w:pPr>
              <w:pStyle w:val="Compact"/>
              <w:jc w:val="left"/>
            </w:pPr>
            <w:r>
              <w:rPr>
                <w:b/>
                <w:bCs/>
              </w:rPr>
              <w:t xml:space="preserve">Costo total estimado / m³</w:t>
            </w:r>
          </w:p>
        </w:tc>
        <w:tc>
          <w:tcPr/>
          <w:p>
            <w:pPr>
              <w:pStyle w:val="Compact"/>
              <w:jc w:val="left"/>
            </w:pPr>
            <w:r>
              <w:rPr>
                <w:b/>
                <w:bCs/>
              </w:rPr>
              <w:t xml:space="preserve">$13.83 / m³</w:t>
            </w:r>
          </w:p>
        </w:tc>
      </w:tr>
      <w:tr>
        <w:tc>
          <w:tcPr/>
          <w:p>
            <w:pPr>
              <w:pStyle w:val="Compact"/>
              <w:jc w:val="left"/>
            </w:pPr>
            <w:r>
              <w:t xml:space="preserve">Costo del agua en carrotanque (Manaure, con subsidio)</w:t>
            </w:r>
          </w:p>
        </w:tc>
        <w:tc>
          <w:tcPr/>
          <w:p>
            <w:pPr>
              <w:pStyle w:val="Compact"/>
              <w:jc w:val="left"/>
            </w:pPr>
            <w:r>
              <w:t xml:space="preserve">$2.00 / m³</w:t>
            </w:r>
          </w:p>
        </w:tc>
      </w:tr>
      <w:tr>
        <w:tc>
          <w:tcPr/>
          <w:p>
            <w:pPr>
              <w:pStyle w:val="Compact"/>
              <w:jc w:val="left"/>
            </w:pPr>
            <w:r>
              <w:t xml:space="preserve">Costo del agua en carrotanque (sin subsidio)</w:t>
            </w:r>
          </w:p>
        </w:tc>
        <w:tc>
          <w:tcPr/>
          <w:p>
            <w:pPr>
              <w:pStyle w:val="Compact"/>
              <w:jc w:val="left"/>
            </w:pPr>
            <w:r>
              <w:t xml:space="preserve">$5.00–8.00 / m³</w:t>
            </w:r>
          </w:p>
        </w:tc>
      </w:tr>
    </w:tbl>
    <w:p>
      <w:pPr>
        <w:pStyle w:val="aa"/>
      </w:pPr>
      <w:r>
        <w:rPr>
          <w:b/>
          <w:bCs/>
        </w:rPr>
        <w:t xml:space="preserve">Análisis de sostenibilidad económica:</w:t>
      </w:r>
    </w:p>
    <w:p>
      <w:pPr>
        <w:pStyle w:val="aa"/>
      </w:pPr>
      <w:r>
        <w:rPr>
          <w:b/>
        </w:rPr>
        <w:t xml:space="preserve">Análisis de sostenibilidad económica: </w:t>
      </w:r>
      <w:r>
        <w:t>AQUA-8 en Fase I tiene un costo unitario de $13.83/m³ que refleja la inversión inicial en infraestructura de capital (CAPEX). Sin embargo, el valor generado trasciende el costo nominal: autonomía hídrica permanente (eliminando dependencia logística del carrotanque), generación de empleo local verde, reducción de enfermedades diarreicas infantiles, y cero emisiones de CO₂. En Fase II (50 m³/día), el costo unitario baja a $5.50/m³ — competitivo incluso con el carrotanque subsidiado — gracias a economías de escala.</w:t>
      </w:r>
    </w:p>
    <w:p>
      <w:pPr>
        <w:pStyle w:val="Compact"/>
        <w:numPr>
          <w:ilvl w:val="0"/>
          <w:numId w:val="1007"/>
        </w:numPr>
      </w:pPr>
      <w:r>
        <w:rPr>
          <w:b/>
          <w:bCs/>
        </w:rPr>
        <w:t xml:space="preserve">Autonomía hídrica:</w:t>
      </w:r>
      <w:r>
        <w:t xml:space="preserve"> </w:t>
      </w:r>
      <w:r>
        <w:t xml:space="preserve">El carrotanque no siempre llega (temporadas secas, vías intransitables, paros de transportadores). AQUA-8 produce agua in situ, eliminando dependencia logística.</w:t>
      </w:r>
    </w:p>
    <w:p>
      <w:pPr>
        <w:pStyle w:val="Compact"/>
        <w:numPr>
          <w:ilvl w:val="0"/>
          <w:numId w:val="1007"/>
        </w:numPr>
      </w:pPr>
      <w:r>
        <w:rPr>
          <w:b/>
          <w:bCs/>
        </w:rPr>
        <w:t xml:space="preserve">Soberanía alimentaria:</w:t>
      </w:r>
      <w:r>
        <w:t xml:space="preserve"> </w:t>
      </w:r>
      <w:r>
        <w:t xml:space="preserve">El agua de AQUA-8 permite irrigación de huertos familiares Wayúu, reduciendo desnutrición infantil.</w:t>
      </w:r>
    </w:p>
    <w:p>
      <w:pPr>
        <w:pStyle w:val="Compact"/>
        <w:numPr>
          <w:ilvl w:val="0"/>
          <w:numId w:val="1007"/>
        </w:numPr>
      </w:pPr>
      <w:r>
        <w:rPr>
          <w:b/>
          <w:bCs/>
        </w:rPr>
        <w:t xml:space="preserve">Empleo local:</w:t>
      </w:r>
      <w:r>
        <w:t xml:space="preserve"> </w:t>
      </w:r>
      <w:r>
        <w:t xml:space="preserve">1 operador capacitado + mantenimiento local genera ingresos en la comunidad.</w:t>
      </w:r>
    </w:p>
    <w:p>
      <w:pPr>
        <w:pStyle w:val="Compact"/>
        <w:numPr>
          <w:ilvl w:val="0"/>
          <w:numId w:val="1007"/>
        </w:numPr>
      </w:pPr>
      <w:r>
        <w:rPr>
          <w:b/>
          <w:bCs/>
        </w:rPr>
        <w:t xml:space="preserve">Escalamiento:</w:t>
      </w:r>
      <w:r>
        <w:t xml:space="preserve"> </w:t>
      </w:r>
      <w:r>
        <w:t xml:space="preserve">En Fase II (50 m³/día), el costo baja a $5.50–6.50/m³ por economías de escala, haciendo AQUA-8 competitivo incluso con subsidio.</w:t>
      </w:r>
    </w:p>
    <w:p>
      <w:pPr>
        <w:pStyle w:val="Compact"/>
        <w:numPr>
          <w:ilvl w:val="0"/>
          <w:numId w:val="1007"/>
        </w:numPr>
      </w:pPr>
      <w:r>
        <w:rPr>
          <w:b/>
          <w:bCs/>
        </w:rPr>
        <w:t xml:space="preserve">Costo ambiental:</w:t>
      </w:r>
      <w:r>
        <w:t xml:space="preserve"> </w:t>
      </w:r>
      <w:r>
        <w:t xml:space="preserve">El carrotanque genera 2.5 ton CO₂/año (transporte diésel). AQUA-8 genera 0 ton CO₂/año.</w:t>
      </w:r>
    </w:p>
    <w:p>
      <w:pPr>
        <w:pStyle w:val="Heading 3"/>
      </w:pPr>
      <w:r>
        <w:rPr>
          <w:b/>
          <w:rFonts w:ascii="Calibri" w:hAnsi="Calibri"/>
          <w:sz w:val="28"/>
          <w:szCs w:val="28"/>
        </w:rPr>
        <w:t xml:space="preserve">11.4 Análisis de Valor Presente Neto (VPN) y Retorno Social de Inversión (SROI)</w:t>
      </w:r>
    </w:p>
    <w:p>
      <w:pPr/>
      <w:r>
        <w:rPr>
          <w:b/>
        </w:rPr>
        <w:t xml:space="preserve">Nota aclaratoria sobre la comparación de costos: </w:t>
      </w:r>
      <w:r>
        <w:t>El costo total de AQUA-8 ($13.83/m³) incluye CAPEX amortizado ($8.33/m³) y OPEX ($5.50/m³). En el análisis VPN, el beneficio se calcula usando el costo del carrotanque sin subsidio ($6.50/m³) como ahorro evitado, no el costo de AQUA-8. Esto es conceptualmente correcto: el VPN mide si la inversión genera valor comparado con la alternativa (status quo: carrotanque). El VPN financiero es negativo porque el CAPEX es alto en Fase I (escala piloto). Sin embargo, el VPN social —que incorpora salud, empleo y carbono— reduce la brecha, y en Fase II (50 m³/día) el costo unitario baja a $5.50/m³, haciendo el proyecto financieramente viable con economías de escala.</w:t>
      </w:r>
    </w:p>
    <w:p>
      <w:pPr>
        <w:pStyle w:val="Heading 3"/>
      </w:pPr>
      <w:r>
        <w:rPr>
          <w:b/>
          <w:rFonts w:ascii="Calibri" w:hAnsi="Calibri"/>
          <w:sz w:val="28"/>
          <w:szCs w:val="28"/>
        </w:rPr>
        <w:t xml:space="preserve">11.5 Matriz de Riesgos Técnicos</w:t>
      </w:r>
    </w:p>
    <w:p>
      <w:pPr/>
      <w:r>
        <w:rPr>
          <w:rFonts w:ascii="Calibri" w:hAnsi="Calibri"/>
          <w:sz w:val="22"/>
          <w:szCs w:val="22"/>
        </w:rPr>
        <w:t xml:space="preserve">La siguiente matriz identifica y evalúa los riesgos técnicos del proyecto, con su probabilidad (P), impacto (I), nivel de riesgo (P × I), y estrategia de mitigación. Escala: 1 (bajo) a 5 (extremo).</w:t>
      </w:r>
    </w:p>
    <w:tbl>
      <w:tblPr>
        <w:tblStyle w:val="Table"/>
        <w:tblW w:type="auto" w:w="0"/>
      </w:tblPr>
      <w:tblGrid>
        <w:gridCol w:w="3000"/>
        <w:gridCol w:w="800"/>
        <w:gridCol w:w="800"/>
        <w:gridCol w:w="1200"/>
        <w:gridCol w:w="4000"/>
      </w:tblGrid>
      <w:tr>
        <w:tc>
          <w:p>
            <w:r>
              <w:rPr>
                <w:b/>
              </w:rPr>
              <w:t xml:space="preserve">Riesgo</w:t>
            </w:r>
          </w:p>
        </w:tc>
        <w:tc>
          <w:p>
            <w:r>
              <w:rPr>
                <w:b/>
              </w:rPr>
              <w:t xml:space="preserve">P</w:t>
            </w:r>
          </w:p>
        </w:tc>
        <w:tc>
          <w:p>
            <w:r>
              <w:rPr>
                <w:b/>
              </w:rPr>
              <w:t xml:space="preserve">I</w:t>
            </w:r>
          </w:p>
        </w:tc>
        <w:tc>
          <w:p>
            <w:r>
              <w:rPr>
                <w:b/>
              </w:rPr>
              <w:t xml:space="preserve">Nivel</w:t>
            </w:r>
          </w:p>
        </w:tc>
        <w:tc>
          <w:p>
            <w:r>
              <w:rPr>
                <w:b/>
              </w:rPr>
              <w:t xml:space="preserve">Mitigación</w:t>
            </w:r>
          </w:p>
        </w:tc>
      </w:tr>
      <w:tr>
        <w:tc>
          <w:p>
            <w:r>
              <w:t xml:space="preserve">Falla del ERD isobárico</w:t>
            </w:r>
          </w:p>
        </w:tc>
        <w:tc>
          <w:p>
            <w:r>
              <w:t xml:space="preserve">3</w:t>
            </w:r>
          </w:p>
        </w:tc>
        <w:tc>
          <w:p>
            <w:r>
              <w:t xml:space="preserve">4</w:t>
            </w:r>
          </w:p>
        </w:tc>
        <w:tc>
          <w:p>
            <w:r>
              <w:t xml:space="preserve">12 (Alto)</w:t>
            </w:r>
          </w:p>
        </w:tc>
        <w:tc>
          <w:p>
            <w:r>
              <w:t xml:space="preserve">Bypass hidráulico + modo degradado + repuesto Danfoss iSave 21 en sitio + monitoreo predictivo SCADA</w:t>
            </w:r>
          </w:p>
        </w:tc>
      </w:tr>
      <w:tr>
        <w:tc>
          <w:p>
            <w:r>
              <w:t xml:space="preserve">Nublados extendidos (&gt;5 días)</w:t>
            </w:r>
          </w:p>
        </w:tc>
        <w:tc>
          <w:p>
            <w:r>
              <w:t xml:space="preserve">3</w:t>
            </w:r>
          </w:p>
        </w:tc>
        <w:tc>
          <w:p>
            <w:r>
              <w:t xml:space="preserve">4</w:t>
            </w:r>
          </w:p>
        </w:tc>
        <w:tc>
          <w:p>
            <w:r>
              <w:t xml:space="preserve">12 (Alto)</w:t>
            </w:r>
          </w:p>
        </w:tc>
        <w:tc>
          <w:p>
            <w:r>
              <w:t xml:space="preserve">Racionamiento inteligente + tanque 5,000 L + alertas comunitarias + ampliación a 167,000 L en Fase II</w:t>
            </w:r>
          </w:p>
        </w:tc>
      </w:tr>
      <w:tr>
        <w:tc>
          <w:p>
            <w:r>
              <w:t xml:space="preserve">Obstrucción de toma submarina</w:t>
            </w:r>
          </w:p>
        </w:tc>
        <w:tc>
          <w:p>
            <w:r>
              <w:t xml:space="preserve">3</w:t>
            </w:r>
          </w:p>
        </w:tc>
        <w:tc>
          <w:p>
            <w:r>
              <w:t xml:space="preserve">3</w:t>
            </w:r>
          </w:p>
        </w:tc>
        <w:tc>
          <w:p>
            <w:r>
              <w:t xml:space="preserve">9 (Medio)</w:t>
            </w:r>
          </w:p>
        </w:tc>
        <w:tc>
          <w:p>
            <w:r>
              <w:t xml:space="preserve">Vel. entrada &lt; 0.15 m/s + sensor ΔP + inspección bimensual</w:t>
            </w:r>
          </w:p>
        </w:tc>
      </w:tr>
      <w:tr>
        <w:tc>
          <w:p>
            <w:r>
              <w:t xml:space="preserve">Falla de membrana (ensuciamiento)</w:t>
            </w:r>
          </w:p>
        </w:tc>
        <w:tc>
          <w:p>
            <w:r>
              <w:t xml:space="preserve">2</w:t>
            </w:r>
          </w:p>
        </w:tc>
        <w:tc>
          <w:p>
            <w:r>
              <w:t xml:space="preserve">4</w:t>
            </w:r>
          </w:p>
        </w:tc>
        <w:tc>
          <w:p>
            <w:r>
              <w:t xml:space="preserve">8 (Medio)</w:t>
            </w:r>
          </w:p>
        </w:tc>
        <w:tc>
          <w:p>
            <w:r>
              <w:t xml:space="preserve">Pre-tratamiento SDI &lt; 3 + CIP c/6 meses + repuesto SW30HRLE-4040 en sitio</w:t>
            </w:r>
          </w:p>
        </w:tc>
      </w:tr>
      <w:tr>
        <w:tc>
          <w:p>
            <w:r>
              <w:t xml:space="preserve">Vandalismo de tubería HDPE</w:t>
            </w:r>
          </w:p>
        </w:tc>
        <w:tc>
          <w:p>
            <w:r>
              <w:t xml:space="preserve">3</w:t>
            </w:r>
          </w:p>
        </w:tc>
        <w:tc>
          <w:p>
            <w:r>
              <w:t xml:space="preserve">2</w:t>
            </w:r>
          </w:p>
        </w:tc>
        <w:tc>
          <w:p>
            <w:r>
              <w:t xml:space="preserve">6 (Medio)</w:t>
            </w:r>
          </w:p>
        </w:tc>
        <w:tc>
          <w:p>
            <w:r>
              <w:t xml:space="preserve">Enterramiento + color camuflaje + custodios Wayúu comunitarios</w:t>
            </w:r>
          </w:p>
        </w:tc>
      </w:tr>
      <w:tr>
        <w:tc>
          <w:p>
            <w:r>
              <w:t xml:space="preserve">Falla del VFD solar directo</w:t>
            </w:r>
          </w:p>
        </w:tc>
        <w:tc>
          <w:p>
            <w:r>
              <w:t xml:space="preserve">2</w:t>
            </w:r>
          </w:p>
        </w:tc>
        <w:tc>
          <w:p>
            <w:r>
              <w:t xml:space="preserve">4</w:t>
            </w:r>
          </w:p>
        </w:tc>
        <w:tc>
          <w:p>
            <w:r>
              <w:t xml:space="preserve">8 (Medio)</w:t>
            </w:r>
          </w:p>
        </w:tc>
        <w:tc>
          <w:p>
            <w:r>
              <w:t xml:space="preserve">Modo bypass + VFD respaldo manual + UPS para SCADA</w:t>
            </w:r>
          </w:p>
        </w:tc>
      </w:tr>
      <w:tr>
        <w:tc>
          <w:p>
            <w:r>
              <w:t xml:space="preserve">Corte comunicaciones IoT (&gt;48h)</w:t>
            </w:r>
          </w:p>
        </w:tc>
        <w:tc>
          <w:p>
            <w:r>
              <w:t xml:space="preserve">3</w:t>
            </w:r>
          </w:p>
        </w:tc>
        <w:tc>
          <w:p>
            <w:r>
              <w:t xml:space="preserve">2</w:t>
            </w:r>
          </w:p>
        </w:tc>
        <w:tc>
          <w:p>
            <w:r>
              <w:t xml:space="preserve">6 (Medio)</w:t>
            </w:r>
          </w:p>
        </w:tc>
        <w:tc>
          <w:p>
            <w:r>
              <w:t xml:space="preserve">Operación offline 100% + buffer datos local + reconexión automática</w:t>
            </w:r>
          </w:p>
        </w:tc>
      </w:tr>
      <w:tr>
        <w:tc>
          <w:p>
            <w:r>
              <w:t xml:space="preserve">Turbiedad agua de mar &gt; 30 NTU</w:t>
            </w:r>
          </w:p>
        </w:tc>
        <w:tc>
          <w:p>
            <w:r>
              <w:t xml:space="preserve">2</w:t>
            </w:r>
          </w:p>
        </w:tc>
        <w:tc>
          <w:p>
            <w:r>
              <w:t xml:space="preserve">3</w:t>
            </w:r>
          </w:p>
        </w:tc>
        <w:tc>
          <w:p>
            <w:r>
              <w:t xml:space="preserve">6 (Medio)</w:t>
            </w:r>
          </w:p>
        </w:tc>
        <w:tc>
          <w:p>
            <w:r>
              <w:t xml:space="preserve">Filtro autolimpiante + cartuchos repuesto + ajuste antiescalante</w:t>
            </w:r>
          </w:p>
        </w:tc>
      </w:tr>
      <w:tr>
        <w:tc>
          <w:p>
            <w:r>
              <w:t xml:space="preserve">Fuga salina en módulo seco (D)</w:t>
            </w:r>
          </w:p>
        </w:tc>
        <w:tc>
          <w:p>
            <w:r>
              <w:t xml:space="preserve">2</w:t>
            </w:r>
          </w:p>
        </w:tc>
        <w:tc>
          <w:p>
            <w:r>
              <w:t xml:space="preserve">5</w:t>
            </w:r>
          </w:p>
        </w:tc>
        <w:tc>
          <w:p>
            <w:r>
              <w:t xml:space="preserve">10 (Alto)</w:t>
            </w:r>
          </w:p>
        </w:tc>
        <w:tc>
          <w:p>
            <w:r>
              <w:t xml:space="preserve">Separación húmedo/seco + piso drenaje + sensores humedad + alarmas</w:t>
            </w:r>
          </w:p>
        </w:tc>
      </w:tr>
      <w:tr>
        <w:tc>
          <w:p>
            <w:r>
              <w:t xml:space="preserve">Incumplimiento cronograma logístico</w:t>
            </w:r>
          </w:p>
        </w:tc>
        <w:tc>
          <w:p>
            <w:r>
              <w:t xml:space="preserve">3</w:t>
            </w:r>
          </w:p>
        </w:tc>
        <w:tc>
          <w:p>
            <w:r>
              <w:t xml:space="preserve">3</w:t>
            </w:r>
          </w:p>
        </w:tc>
        <w:tc>
          <w:p>
            <w:r>
              <w:t xml:space="preserve">9 (Medio)</w:t>
            </w:r>
          </w:p>
        </w:tc>
        <w:tc>
          <w:p>
            <w:r>
              <w:t xml:space="preserve">Ruta mapeada + proveedores locales + holgura 2 semanas</w:t>
            </w:r>
          </w:p>
        </w:tc>
      </w:tr>
    </w:tbl>
    <w:p>
      <w:pPr/>
      <w:r>
        <w:rPr>
          <w:rFonts w:ascii="Calibri" w:hAnsi="Calibri"/>
          <w:sz w:val="22"/>
          <w:szCs w:val="22"/>
        </w:rPr>
        <w:t xml:space="preserve">Valor social total generado en 10 años (sin descontar): Beneficio neto anual ($900) + Beneficio social anual ($5,625) = $6,525/año × 10 años = $65,250. Inversión inicial: $75,000. SROI = $65,250 / $75,000 = 0.87:1. Por cada dólar invertido, se generan $0.87 en valor social medible. Si se incluye el valor del escalamiento a Fase II (50 m³/día, costo unitario $5.50/m³), el VPN social se vuelve positivo a partir del año 4 de operación de Fase II.</w:t>
      </w:r>
    </w:p>
    <w:p>
      <w:pPr/>
      <w:r>
        <w:rPr>
          <w:rFonts w:ascii="Calibri" w:hAnsi="Calibri"/>
          <w:sz w:val="22"/>
          <w:szCs w:val="22"/>
        </w:rPr>
        <w:t xml:space="preserve">Análisis de Retorno Social de Inversión (SROI):</w:t>
      </w:r>
    </w:p>
    <w:p>
      <w:pPr/>
      <w:r>
        <w:rPr>
          <w:rFonts w:ascii="Calibri" w:hAnsi="Calibri"/>
          <w:sz w:val="22"/>
          <w:szCs w:val="22"/>
        </w:rPr>
        <w:t xml:space="preserve">Incorporando beneficios sociales cuantificables: (1) Ahorro en salud pública: Reducción de enfermedades diarreicas agudas (EDA) en niños Wayúu. Costo promedio de atención por EDA: $50 USD. 50 casos evitados/año = $2,500/año. (2) Valor de emisiones de CO₂ evitadas: 2.5 ton CO₂/año × $50 USD/ton (precio social del carbono) = $125/año. (3) Empleo local: 1 operador capacitado × $3,000/año (salario local) = $3,000/año en ingresos comunitarios. Beneficio social anual adicional = $2,500 + $125 + $3,000 = $5,625/año. Beneficio social total anual = $900 + $5,625 = $6,525/año. VPN social (10 años, 8%) = −$75,000 + Σ_{t=1}^{10} $6,525/(1.08)^t = −$75,000 + $43,779 = −$31,221.</w:t>
      </w:r>
    </w:p>
    <w:p>
      <w:pPr/>
      <w:r>
        <w:rPr>
          <w:rFonts w:ascii="Calibri" w:hAnsi="Calibri"/>
          <w:sz w:val="22"/>
          <w:szCs w:val="22"/>
        </w:rPr>
        <w:t xml:space="preserve">Cálculo de VPN social ampliado (incorporando externalidades):</w:t>
      </w:r>
    </w:p>
    <w:p>
      <w:pPr/>
      <w:r>
        <w:rPr>
          <w:rFonts w:ascii="Calibri" w:hAnsi="Calibri"/>
          <w:sz w:val="22"/>
          <w:szCs w:val="22"/>
        </w:rPr>
        <w:t xml:space="preserve">Beneficio anual por agua producida = 900 m³ × $6.50/m³ = $5,850/año (equivalente al ahorro por no comprar agua de carrotanque). Costo anual OPEX = $4,950/año. Beneficio neto anual = $5,850 − $4,950 = $900/año. VPN financiero (10 años, 8%) = −$75,000 + Σ_{t=1}^{10} $900/(1.08)^t = −$75,000 + $6,039 = −$68,961. El VPN financiero es negativo en Fase I, confirmando que el proyecto no es rentable desde una perspectiva puramente financiera.</w:t>
      </w:r>
    </w:p>
    <w:p>
      <w:pPr/>
      <w:r>
        <w:rPr>
          <w:rFonts w:ascii="Calibri" w:hAnsi="Calibri"/>
          <w:sz w:val="22"/>
          <w:szCs w:val="22"/>
        </w:rPr>
        <w:t xml:space="preserve">Cálculo de VPN financiero (solo ahorro en agua):</w:t>
      </w:r>
    </w:p>
    <w:p>
      <w:pPr/>
      <w:r>
        <w:rPr>
          <w:rFonts w:ascii="Calibri" w:hAnsi="Calibri"/>
          <w:sz w:val="22"/>
          <w:szCs w:val="22"/>
        </w:rPr>
        <w:t xml:space="preserve">Supuestos del análisis VPN: Vida útil del sistema: 10 años. Tasa de descuento social: 8% anual (tasa recomendada por el DNP para proyectos de infraestructura social en Colombia). Producción anual: 900 m³/año (300 días operativos). Costo de operación y mantenimiento (OPEX): $5.50/m³, equivalente a $4,950/año. Valor del agua de carrotanque sin subsidio: $6.50/m³ (punto medio del rango $5.00–8.00 USD/m³).</w:t>
      </w:r>
    </w:p>
    <w:p>
      <w:pPr/>
      <w:r>
        <w:rPr>
          <w:rFonts w:ascii="Calibri" w:hAnsi="Calibri"/>
          <w:sz w:val="22"/>
          <w:szCs w:val="22"/>
        </w:rPr>
        <w:t xml:space="preserve">El análisis de costo por m³ ($13.83/m³ en Fase I) es superior al carrotanque subsidiado ($2.00/m³), lo cual requiere un análisis de Valor Presente Neto (VPN) que incorpore los beneficios intangibles y el valor social del proyecto.</w:t>
      </w:r>
    </w:p>
    <w:bookmarkEnd w:id="97"/>
    <w:bookmarkEnd w:id="98"/>
    <w:bookmarkStart w:id="102" w:name="indicadores-de-impacto-y-sostenibilidad"/>
    <w:p>
      <w:pPr>
        <w:pStyle w:val="2"/>
      </w:pPr>
      <w:r>
        <w:t xml:space="preserve">12. INDICADORES DE IMPACTO Y SOSTENIBILIDAD</w:t>
      </w:r>
    </w:p>
    <w:bookmarkStart w:id="99" w:name="indicadores-de-impacto-directo"/>
    <w:p>
      <w:pPr>
        <w:pStyle w:val="3"/>
      </w:pPr>
      <w:r>
        <w:t xml:space="preserve">12.1 Indicadores de Impacto Directo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Indicador</w:t>
            </w:r>
          </w:p>
        </w:tc>
        <w:tc>
          <w:tcPr/>
          <w:p>
            <w:pPr>
              <w:pStyle w:val="Compact"/>
              <w:jc w:val="left"/>
            </w:pPr>
            <w:r>
              <w:t xml:space="preserve">Meta Fase I (Piloto)</w:t>
            </w:r>
          </w:p>
        </w:tc>
        <w:tc>
          <w:tcPr/>
          <w:p>
            <w:pPr>
              <w:pStyle w:val="Compact"/>
              <w:jc w:val="left"/>
            </w:pPr>
            <w:r>
              <w:t xml:space="preserve">Meta Fase II (50 m³/día)</w:t>
            </w:r>
          </w:p>
        </w:tc>
      </w:tr>
      <w:tr>
        <w:tc>
          <w:tcPr/>
          <w:p>
            <w:pPr>
              <w:pStyle w:val="Compact"/>
              <w:jc w:val="left"/>
            </w:pPr>
            <w:r>
              <w:t xml:space="preserve">Agua potable producida</w:t>
            </w:r>
          </w:p>
        </w:tc>
        <w:tc>
          <w:tcPr/>
          <w:p>
            <w:pPr>
              <w:pStyle w:val="Compact"/>
              <w:jc w:val="left"/>
            </w:pPr>
            <w:r>
              <w:t>3.0 m³/día (900 m³/año)</w:t>
            </w:r>
          </w:p>
        </w:tc>
        <w:tc>
          <w:tcPr/>
          <w:p>
            <w:pPr>
              <w:pStyle w:val="Compact"/>
              <w:jc w:val="left"/>
            </w:pPr>
            <w:r>
              <w:t xml:space="preserve">50 m³/día</w:t>
            </w:r>
          </w:p>
        </w:tc>
      </w:tr>
      <w:tr>
        <w:tc>
          <w:tcPr/>
          <w:p>
            <w:pPr>
              <w:pStyle w:val="Compact"/>
              <w:jc w:val="left"/>
            </w:pPr>
            <w:r>
              <w:t xml:space="preserve">Personas beneficiadas</w:t>
            </w:r>
          </w:p>
        </w:tc>
        <w:tc>
          <w:tcPr/>
          <w:p>
            <w:pPr>
              <w:pStyle w:val="Compact"/>
              <w:jc w:val="left"/>
            </w:pPr>
            <w:r>
              <w:t xml:space="preserve">100–150 personas</w:t>
            </w:r>
          </w:p>
        </w:tc>
        <w:tc>
          <w:tcPr/>
          <w:p>
            <w:pPr>
              <w:pStyle w:val="Compact"/>
              <w:jc w:val="left"/>
            </w:pPr>
            <w:r>
              <w:t xml:space="preserve">1,500–2,500 personas</w:t>
            </w:r>
          </w:p>
        </w:tc>
      </w:tr>
      <w:tr>
        <w:tc>
          <w:tcPr/>
          <w:p>
            <w:pPr>
              <w:pStyle w:val="Compact"/>
              <w:jc w:val="left"/>
            </w:pPr>
            <w:r>
              <w:t xml:space="preserve">Calidad del agua</w:t>
            </w:r>
          </w:p>
        </w:tc>
        <w:tc>
          <w:tcPr/>
          <w:p>
            <w:pPr>
              <w:pStyle w:val="Compact"/>
              <w:jc w:val="left"/>
            </w:pPr>
            <w:r>
              <w:t xml:space="preserve">&lt; 500 ppm TDS</w:t>
            </w:r>
          </w:p>
        </w:tc>
        <w:tc>
          <w:tcPr/>
          <w:p>
            <w:pPr>
              <w:pStyle w:val="Compact"/>
              <w:jc w:val="left"/>
            </w:pPr>
            <w:r>
              <w:t xml:space="preserve">&lt; 500 ppm TDS</w:t>
            </w:r>
          </w:p>
        </w:tc>
      </w:tr>
      <w:tr>
        <w:tc>
          <w:tcPr/>
          <w:p>
            <w:pPr>
              <w:pStyle w:val="Compact"/>
              <w:jc w:val="left"/>
            </w:pPr>
            <w:r>
              <w:t xml:space="preserve">Consumo energético tren RO</w:t>
            </w:r>
          </w:p>
        </w:tc>
        <w:tc>
          <w:tcPr/>
          <w:p>
            <w:pPr>
              <w:pStyle w:val="Compact"/>
              <w:jc w:val="left"/>
            </w:pPr>
            <w:r>
              <w:t xml:space="preserve">&lt; 3.0 kWh/m³</w:t>
            </w:r>
          </w:p>
        </w:tc>
        <w:tc>
          <w:tcPr/>
          <w:p>
            <w:pPr>
              <w:pStyle w:val="Compact"/>
              <w:jc w:val="left"/>
            </w:pPr>
            <w:r>
              <w:t xml:space="preserve">&lt; 3.0 kWh/m³</w:t>
            </w:r>
          </w:p>
        </w:tc>
      </w:tr>
      <w:tr>
        <w:tc>
          <w:tcPr/>
          <w:p>
            <w:pPr>
              <w:pStyle w:val="Compact"/>
              <w:jc w:val="left"/>
            </w:pPr>
            <w:r>
              <w:t xml:space="preserve">Consumo energético sistema completo</w:t>
            </w:r>
          </w:p>
        </w:tc>
        <w:tc>
          <w:tcPr/>
          <w:p>
            <w:pPr>
              <w:pStyle w:val="Compact"/>
              <w:jc w:val="left"/>
            </w:pPr>
            <w:r>
              <w:t xml:space="preserve">&lt; 6.0 kWh/m³</w:t>
            </w:r>
          </w:p>
        </w:tc>
        <w:tc>
          <w:tcPr/>
          <w:p>
            <w:pPr>
              <w:pStyle w:val="Compact"/>
              <w:jc w:val="left"/>
            </w:pPr>
            <w:r>
              <w:t xml:space="preserve">&lt; 5.0 kWh/m³</w:t>
            </w:r>
          </w:p>
        </w:tc>
      </w:tr>
      <w:tr>
        <w:tc>
          <w:tcPr/>
          <w:p>
            <w:pPr>
              <w:pStyle w:val="Compact"/>
              <w:jc w:val="left"/>
            </w:pPr>
            <w:r>
              <w:t xml:space="preserve">Reducción de CO₂ vs. diésel</w:t>
            </w:r>
          </w:p>
        </w:tc>
        <w:tc>
          <w:tcPr/>
          <w:p>
            <w:pPr>
              <w:pStyle w:val="Compact"/>
              <w:jc w:val="left"/>
            </w:pPr>
            <w:r>
              <w:t xml:space="preserve">2.5 ton CO₂/año</w:t>
            </w:r>
          </w:p>
        </w:tc>
        <w:tc>
          <w:tcPr/>
          <w:p>
            <w:pPr>
              <w:pStyle w:val="Compact"/>
              <w:jc w:val="left"/>
            </w:pPr>
            <w:r>
              <w:t xml:space="preserve">25 ton CO₂/año</w:t>
            </w:r>
          </w:p>
        </w:tc>
      </w:tr>
      <w:tr>
        <w:tc>
          <w:tcPr/>
          <w:p>
            <w:pPr>
              <w:pStyle w:val="Compact"/>
              <w:jc w:val="left"/>
            </w:pPr>
            <w:r>
              <w:t xml:space="preserve">Salmuera valorizada</w:t>
            </w:r>
          </w:p>
        </w:tc>
        <w:tc>
          <w:tcPr/>
          <w:p>
            <w:pPr>
              <w:pStyle w:val="Compact"/>
              <w:jc w:val="left"/>
            </w:pPr>
            <w:r>
              <w:t xml:space="preserve">Acuerdo con salineras locales</w:t>
            </w:r>
          </w:p>
        </w:tc>
        <w:tc>
          <w:tcPr/>
          <w:p>
            <w:pPr>
              <w:pStyle w:val="Compact"/>
              <w:jc w:val="left"/>
            </w:pPr>
            <w:r>
              <w:t xml:space="preserve">Acuerdo con salineras locales</w:t>
            </w:r>
          </w:p>
        </w:tc>
      </w:tr>
    </w:tbl>
    <w:p>
      <w:pPr>
        <w:pStyle w:val="aa"/>
      </w:pPr>
      <w:r>
        <w:rPr>
          <w:b/>
          <w:bCs/>
        </w:rPr>
        <w:t xml:space="preserve">Nota sobre personas beneficiadas:</w:t>
      </w:r>
      <w:r>
        <w:t xml:space="preserve"> </w:t>
      </w:r>
      <w:r>
        <w:t xml:space="preserve">El cálculo se basa en 3,000 L/día ÷ 20–30 L/persona/día (consumo humano + actividades productivas Wayúu, incluyendo ganado caprino). 20 L/persona/día = 150 personas; 30 L/persona/día = 100 personas.</w:t>
      </w:r>
    </w:p>
    <w:bookmarkEnd w:id="99"/>
    <w:bookmarkStart w:id="100" w:name="indicadores-de-desempeño-del-sistema"/>
    <w:p>
      <w:pPr>
        <w:pStyle w:val="3"/>
      </w:pPr>
      <w:r>
        <w:t xml:space="preserve">12.2 Indicadores de Desempeño del Sistema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Indicador</w:t>
            </w:r>
          </w:p>
        </w:tc>
        <w:tc>
          <w:tcPr/>
          <w:p>
            <w:pPr>
              <w:pStyle w:val="Compact"/>
              <w:jc w:val="left"/>
            </w:pPr>
            <w:r>
              <w:t xml:space="preserve">Meta</w:t>
            </w:r>
          </w:p>
        </w:tc>
      </w:tr>
      <w:tr>
        <w:tc>
          <w:tcPr/>
          <w:p>
            <w:pPr>
              <w:pStyle w:val="Compact"/>
              <w:jc w:val="left"/>
            </w:pPr>
            <w:r>
              <w:t xml:space="preserve">Disponibilidad del sistema (uptime)</w:t>
            </w:r>
          </w:p>
        </w:tc>
        <w:tc>
          <w:tcPr/>
          <w:p>
            <w:pPr>
              <w:pStyle w:val="Compact"/>
              <w:jc w:val="left"/>
            </w:pPr>
            <w:r>
              <w:t xml:space="preserve">&gt; 95% (durante horas de sol)</w:t>
            </w:r>
          </w:p>
        </w:tc>
      </w:tr>
      <w:tr>
        <w:tc>
          <w:tcPr/>
          <w:p>
            <w:pPr>
              <w:pStyle w:val="Compact"/>
              <w:jc w:val="left"/>
            </w:pPr>
            <w:r>
              <w:t xml:space="preserve">Factor de planta</w:t>
            </w:r>
          </w:p>
        </w:tc>
        <w:tc>
          <w:tcPr/>
          <w:p>
            <w:pPr>
              <w:pStyle w:val="Compact"/>
              <w:jc w:val="left"/>
            </w:pPr>
            <w:r>
              <w:t xml:space="preserve">~33% (8h producción / 24h)</w:t>
            </w:r>
          </w:p>
        </w:tc>
      </w:tr>
      <w:tr>
        <w:tc>
          <w:tcPr/>
          <w:p>
            <w:pPr>
              <w:pStyle w:val="Compact"/>
              <w:jc w:val="left"/>
            </w:pPr>
            <w:r>
              <w:t xml:space="preserve">Tiempo de instalación en sitio</w:t>
            </w:r>
          </w:p>
        </w:tc>
        <w:tc>
          <w:tcPr/>
          <w:p>
            <w:pPr>
              <w:pStyle w:val="Compact"/>
              <w:jc w:val="left"/>
            </w:pPr>
            <w:r>
              <w:t xml:space="preserve">&lt; 8 horas</w:t>
            </w:r>
          </w:p>
        </w:tc>
      </w:tr>
      <w:tr>
        <w:tc>
          <w:tcPr/>
          <w:p>
            <w:pPr>
              <w:pStyle w:val="Compact"/>
              <w:jc w:val="left"/>
            </w:pPr>
            <w:r>
              <w:t xml:space="preserve">Rechazo de sales</w:t>
            </w:r>
          </w:p>
        </w:tc>
        <w:tc>
          <w:tcPr/>
          <w:p>
            <w:pPr>
              <w:pStyle w:val="Compact"/>
              <w:jc w:val="left"/>
            </w:pPr>
            <w:r>
              <w:t xml:space="preserve">&gt; 99%</w:t>
            </w:r>
          </w:p>
        </w:tc>
      </w:tr>
      <w:tr>
        <w:tc>
          <w:tcPr/>
          <w:p>
            <w:pPr>
              <w:pStyle w:val="Compact"/>
              <w:jc w:val="left"/>
            </w:pPr>
            <w:r>
              <w:t xml:space="preserve">Recuperación del sistema</w:t>
            </w:r>
          </w:p>
        </w:tc>
        <w:tc>
          <w:tcPr/>
          <w:p>
            <w:pPr>
              <w:pStyle w:val="Compact"/>
              <w:jc w:val="left"/>
            </w:pPr>
            <w:r>
              <w:t xml:space="preserve">37.5%</w:t>
            </w:r>
          </w:p>
        </w:tc>
      </w:tr>
      <w:tr>
        <w:tc>
          <w:tcPr/>
          <w:p>
            <w:pPr>
              <w:pStyle w:val="Compact"/>
              <w:jc w:val="left"/>
            </w:pPr>
            <w:r>
              <w:t xml:space="preserve">Eficiencia del ERD</w:t>
            </w:r>
          </w:p>
        </w:tc>
        <w:tc>
          <w:tcPr/>
          <w:p>
            <w:pPr>
              <w:pStyle w:val="Compact"/>
              <w:jc w:val="left"/>
            </w:pPr>
            <w:r>
              <w:t xml:space="preserve">&gt; 90%</w:t>
            </w:r>
          </w:p>
        </w:tc>
      </w:tr>
      <w:tr>
        <w:tc>
          <w:tcPr/>
          <w:p>
            <w:pPr>
              <w:pStyle w:val="Compact"/>
              <w:jc w:val="left"/>
            </w:pPr>
            <w:r>
              <w:t xml:space="preserve">Uptime de SCADA/monitoreo</w:t>
            </w:r>
          </w:p>
        </w:tc>
        <w:tc>
          <w:tcPr/>
          <w:p>
            <w:pPr>
              <w:pStyle w:val="Compact"/>
              <w:jc w:val="left"/>
            </w:pPr>
            <w:r>
              <w:t xml:space="preserve">100% (gracias a UPS 24V)</w:t>
            </w:r>
          </w:p>
        </w:tc>
      </w:tr>
    </w:tbl>
    <w:bookmarkEnd w:id="100"/>
    <w:bookmarkStart w:id="101" w:name="alineación-con-requisitos-relx"/>
    <w:p>
      <w:pPr>
        <w:pStyle w:val="3"/>
      </w:pPr>
      <w:r>
        <w:t xml:space="preserve">12.3 Alineación con Requisitos RELX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Requisito RELX</w:t>
            </w:r>
          </w:p>
        </w:tc>
        <w:tc>
          <w:tcPr/>
          <w:p>
            <w:pPr>
              <w:pStyle w:val="Compact"/>
              <w:jc w:val="left"/>
            </w:pPr>
            <w:r>
              <w:t xml:space="preserve">Cómo lo Cumple AQUA-8</w:t>
            </w:r>
          </w:p>
        </w:tc>
      </w:tr>
      <w:tr>
        <w:tc>
          <w:tcPr/>
          <w:p>
            <w:pPr>
              <w:pStyle w:val="Compact"/>
              <w:jc w:val="left"/>
            </w:pPr>
            <w:r>
              <w:rPr>
                <w:b/>
                <w:bCs/>
              </w:rPr>
              <w:t xml:space="preserve">REQ-1: Innovación</w:t>
            </w:r>
          </w:p>
        </w:tc>
        <w:tc>
          <w:tcPr/>
          <w:p>
            <w:pPr>
              <w:pStyle w:val="Compact"/>
              <w:jc w:val="left"/>
            </w:pPr>
            <w:r>
              <w:t xml:space="preserve">RO solar sin baterías + modularidad LEGO + SCADA/AI + economía circular salmuera</w:t>
            </w:r>
          </w:p>
        </w:tc>
      </w:tr>
      <w:tr>
        <w:tc>
          <w:tcPr/>
          <w:p>
            <w:pPr>
              <w:pStyle w:val="Compact"/>
              <w:jc w:val="left"/>
            </w:pPr>
            <w:r>
              <w:rPr>
                <w:b/>
                <w:bCs/>
              </w:rPr>
              <w:t xml:space="preserve">REQ-2: Impacto medible</w:t>
            </w:r>
          </w:p>
        </w:tc>
        <w:tc>
          <w:tcPr/>
          <w:p>
            <w:pPr>
              <w:pStyle w:val="Compact"/>
              <w:jc w:val="left"/>
            </w:pPr>
            <w:r>
              <w:t xml:space="preserve">100–150 personas, 3 m³/día, 2.5 ton CO₂ evitadas, SCADA tiempo real</w:t>
            </w:r>
          </w:p>
        </w:tc>
      </w:tr>
      <w:tr>
        <w:tc>
          <w:tcPr/>
          <w:p>
            <w:pPr>
              <w:pStyle w:val="Compact"/>
              <w:jc w:val="left"/>
            </w:pPr>
            <w:r>
              <w:rPr>
                <w:b/>
                <w:bCs/>
              </w:rPr>
              <w:t xml:space="preserve">REQ-3: Evidencia funcionamiento</w:t>
            </w:r>
          </w:p>
        </w:tc>
        <w:tc>
          <w:tcPr/>
          <w:p>
            <w:pPr>
              <w:pStyle w:val="Compact"/>
              <w:jc w:val="left"/>
            </w:pPr>
            <w:r>
              <w:t xml:space="preserve">6 casos documentados, FEED completo, simulación PLC operativa</w:t>
            </w:r>
          </w:p>
        </w:tc>
      </w:tr>
      <w:tr>
        <w:tc>
          <w:tcPr/>
          <w:p>
            <w:pPr>
              <w:pStyle w:val="Compact"/>
              <w:jc w:val="left"/>
            </w:pPr>
            <w:r>
              <w:rPr>
                <w:b/>
                <w:bCs/>
              </w:rPr>
              <w:t xml:space="preserve">REQ-4: Escalamiento</w:t>
            </w:r>
          </w:p>
        </w:tc>
        <w:tc>
          <w:tcPr/>
          <w:p>
            <w:pPr>
              <w:pStyle w:val="Compact"/>
              <w:jc w:val="left"/>
            </w:pPr>
            <w:r>
              <w:t xml:space="preserve">Arquitectura modular: 3 → 50 → 500 m³/día agregando contenedores</w:t>
            </w:r>
          </w:p>
        </w:tc>
      </w:tr>
      <w:tr>
        <w:tc>
          <w:tcPr/>
          <w:p>
            <w:pPr>
              <w:pStyle w:val="Compact"/>
              <w:jc w:val="left"/>
            </w:pPr>
            <w:r>
              <w:rPr>
                <w:b/>
                <w:bCs/>
              </w:rPr>
              <w:t xml:space="preserve">REQ-5: Presupuesto</w:t>
            </w:r>
          </w:p>
        </w:tc>
        <w:tc>
          <w:tcPr/>
          <w:p>
            <w:pPr>
              <w:pStyle w:val="Compact"/>
              <w:jc w:val="left"/>
            </w:pPr>
            <w:r>
              <w:t xml:space="preserve">USD $75,000 desglosados en 7 categorías con 30+ rubros justificados</w:t>
            </w:r>
          </w:p>
        </w:tc>
      </w:tr>
      <w:tr>
        <w:tc>
          <w:tcPr/>
          <w:p>
            <w:pPr>
              <w:pStyle w:val="Compact"/>
              <w:jc w:val="left"/>
            </w:pPr>
            <w:r>
              <w:rPr>
                <w:b/>
                <w:bCs/>
              </w:rPr>
              <w:t xml:space="preserve">REQ-6: Diferenciación</w:t>
            </w:r>
          </w:p>
        </w:tc>
        <w:tc>
          <w:tcPr/>
          <w:p>
            <w:pPr>
              <w:pStyle w:val="Compact"/>
              <w:jc w:val="left"/>
            </w:pPr>
            <w:r>
              <w:t xml:space="preserve">100% solar sin baterías, VFD solar directo, ERD, contenedor transportable, AQUA-AI predictivo</w:t>
            </w:r>
          </w:p>
        </w:tc>
      </w:tr>
      <w:tr>
        <w:tc>
          <w:tcPr/>
          <w:p>
            <w:pPr>
              <w:pStyle w:val="Compact"/>
              <w:jc w:val="left"/>
            </w:pPr>
            <w:r>
              <w:rPr>
                <w:b/>
                <w:bCs/>
              </w:rPr>
              <w:t xml:space="preserve">REQ-7: Indicadores</w:t>
            </w:r>
          </w:p>
        </w:tc>
        <w:tc>
          <w:tcPr/>
          <w:p>
            <w:pPr>
              <w:pStyle w:val="Compact"/>
              <w:jc w:val="left"/>
            </w:pPr>
            <w:r>
              <w:t xml:space="preserve">Metas numéricas claras para cada dimensión de impacto</w:t>
            </w:r>
          </w:p>
        </w:tc>
      </w:tr>
    </w:tbl>
    <w:bookmarkEnd w:id="101"/>
    <w:bookmarkEnd w:id="102"/>
    <w:bookmarkStart w:id="103" w:name="diferenciación-tecnológica"/>
    <w:p>
      <w:pPr>
        <w:pStyle w:val="2"/>
      </w:pPr>
      <w:r>
        <w:t xml:space="preserve">13. DIFERENCIACIÓN TECNOLÓGICA</w:t>
      </w:r>
    </w:p>
    <w:p>
      <w:pPr>
        <w:pStyle w:val="Heading 4"/>
      </w:pPr>
      <w:r>
        <w:rPr>
          <w:b/>
          <w:rFonts w:ascii="Calibri" w:hAnsi="Calibri"/>
          <w:sz w:val="24"/>
          <w:szCs w:val="24"/>
        </w:rPr>
        <w:t xml:space="preserve">Ventaja Competitiva Sostenible (Moat)</w:t>
      </w:r>
    </w:p>
    <w:p>
      <w:pPr/>
      <w:r>
        <w:rPr>
          <w:rFonts w:ascii="Calibri" w:hAnsi="Calibri"/>
          <w:sz w:val="22"/>
          <w:szCs w:val="22"/>
        </w:rPr>
        <w:t xml:space="preserve">4. Sin baterías, sin vendor lock-in: La arquitectura Water-as-Battery elimina el reemplazo de baterías (costo oculto de $5,000–8,000 cada 5–8 años en sistemas solares convencionales). Además, al usar componentes estándar industriales (VFD, PLC, membranas) en lugar de sistemas integrados propietarios, el mantenimiento puede ser realizado por técnicos locales sin contratos de servicio exclusivos.</w:t>
      </w:r>
    </w:p>
    <w:p>
      <w:pPr/>
      <w:r>
        <w:rPr>
          <w:rFonts w:ascii="Calibri" w:hAnsi="Calibri"/>
          <w:sz w:val="22"/>
          <w:szCs w:val="22"/>
        </w:rPr>
        <w:t xml:space="preserve">3. Co-diseño comunitario Wayúu: A diferencia de soluciones importadas (Elemental Watermakers es holandés, Fluence es estadounidense/israelí), AQUA-8 es diseñado en Colombia con y para comunidades Wayúu. Esto asegura pertinencia cultural, apropiación comunitaria y sostenibilidad a largo plazo.</w:t>
      </w:r>
    </w:p>
    <w:p>
      <w:pPr/>
      <w:r>
        <w:rPr>
          <w:rFonts w:ascii="Calibri" w:hAnsi="Calibri"/>
          <w:sz w:val="22"/>
          <w:szCs w:val="22"/>
        </w:rPr>
        <w:t xml:space="preserve">2. Economía circular de salmuera integrada: Ningún competidor comercial ha integrado la descarga cero de salmuera con producción salinera local como parte del modelo de negocio. Nuestro acuerdo con las salineras de Manaure convierte un pasivo ambiental (salmuera) en un activo económico (sal marina artesanal).</w:t>
      </w:r>
    </w:p>
    <w:p>
      <w:pPr/>
      <w:r>
        <w:rPr>
          <w:rFonts w:ascii="Calibri" w:hAnsi="Calibri"/>
          <w:sz w:val="22"/>
          <w:szCs w:val="22"/>
        </w:rPr>
        <w:t xml:space="preserve">1. Open Engineering: Toda la documentación técnica (planos 3D, P&amp;ID, código SCADA, memorias de cálculo) se publicará bajo licencia Creative Commons BY-SA. Esto permite que cualquier comunidad costera del mundo pueda fabricar, adaptar y mejorar el sistema sin pagar regalías. Elemental Watermakers y Fluence son propietarios — nosotros somos abiertos. Esto es particularmente atractivo para ONGs, gobiernos locales y agencias de cooperación internacional que necesitan soluciones sin vendor lock-in.</w:t>
      </w:r>
    </w:p>
    <w:p>
      <w:pPr/>
      <w:r>
        <w:rPr>
          <w:rFonts w:ascii="Calibri" w:hAnsi="Calibri"/>
          <w:sz w:val="22"/>
          <w:szCs w:val="22"/>
        </w:rPr>
        <w:t xml:space="preserve">AQUA-8 compite con soluciones comerciales como Elemental Watermakers y Fluence NIROBOX. Nuestra ventaja sostenible se construye sobre cuatro pilares que los competidores no pueden replicar fácilmente: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Dimensión</w:t>
            </w:r>
          </w:p>
        </w:tc>
        <w:tc>
          <w:tcPr/>
          <w:p>
            <w:pPr>
              <w:pStyle w:val="Compact"/>
              <w:jc w:val="left"/>
            </w:pPr>
            <w:r>
              <w:t xml:space="preserve">Soluciones Convencionales</w:t>
            </w:r>
          </w:p>
        </w:tc>
        <w:tc>
          <w:tcPr/>
          <w:p>
            <w:pPr>
              <w:pStyle w:val="Compact"/>
              <w:jc w:val="left"/>
            </w:pPr>
            <w:r>
              <w:t xml:space="preserve">AQUA-8 AMDS</w:t>
            </w:r>
          </w:p>
        </w:tc>
      </w:tr>
      <w:tr>
        <w:tc>
          <w:tcPr/>
          <w:p>
            <w:pPr>
              <w:pStyle w:val="Compact"/>
              <w:jc w:val="left"/>
            </w:pPr>
            <w:r>
              <w:rPr>
                <w:b/>
                <w:bCs/>
              </w:rPr>
              <w:t xml:space="preserve">Fuente de energía</w:t>
            </w:r>
          </w:p>
        </w:tc>
        <w:tc>
          <w:tcPr/>
          <w:p>
            <w:pPr>
              <w:pStyle w:val="Compact"/>
              <w:jc w:val="left"/>
            </w:pPr>
            <w:r>
              <w:t xml:space="preserve">Red eléctrica o diésel</w:t>
            </w:r>
          </w:p>
        </w:tc>
        <w:tc>
          <w:tcPr/>
          <w:p>
            <w:pPr>
              <w:pStyle w:val="Compact"/>
              <w:jc w:val="left"/>
            </w:pPr>
            <w:r>
              <w:t xml:space="preserve">100% solar fotovoltaica (5.0 kWp)</w:t>
            </w:r>
          </w:p>
        </w:tc>
      </w:tr>
      <w:tr>
        <w:tc>
          <w:tcPr/>
          <w:p>
            <w:pPr>
              <w:pStyle w:val="Compact"/>
              <w:jc w:val="left"/>
            </w:pPr>
            <w:r>
              <w:rPr>
                <w:b/>
                <w:bCs/>
              </w:rPr>
              <w:t xml:space="preserve">Almacenamiento de energía</w:t>
            </w:r>
          </w:p>
        </w:tc>
        <w:tc>
          <w:tcPr/>
          <w:p>
            <w:pPr>
              <w:pStyle w:val="Compact"/>
              <w:jc w:val="left"/>
            </w:pPr>
            <w:r>
              <w:t xml:space="preserve">Baterías electroquímicas (reemplazo cada 5–8 años)</w:t>
            </w:r>
          </w:p>
        </w:tc>
        <w:tc>
          <w:tcPr/>
          <w:p>
            <w:pPr>
              <w:pStyle w:val="Compact"/>
              <w:jc w:val="left"/>
            </w:pPr>
            <w:r>
              <w:rPr>
                <w:b/>
                <w:bCs/>
              </w:rPr>
              <w:t xml:space="preserve">“</w:t>
            </w:r>
            <w:r>
              <w:rPr>
                <w:b/>
                <w:bCs/>
              </w:rPr>
              <w:t xml:space="preserve">Water-as-Battery</w:t>
            </w:r>
            <w:r>
              <w:rPr>
                <w:b/>
                <w:bCs/>
              </w:rPr>
              <w:t xml:space="preserve">”</w:t>
            </w:r>
            <w:r>
              <w:t xml:space="preserve"> </w:t>
            </w:r>
            <w:r>
              <w:t xml:space="preserve">(tanque 5,000 L, sin degradación)</w:t>
            </w:r>
          </w:p>
        </w:tc>
      </w:tr>
      <w:tr>
        <w:tc>
          <w:tcPr/>
          <w:p>
            <w:pPr>
              <w:pStyle w:val="Compact"/>
              <w:jc w:val="left"/>
            </w:pPr>
            <w:r>
              <w:rPr>
                <w:b/>
                <w:bCs/>
              </w:rPr>
              <w:t xml:space="preserve">Arquitectura eléctrica</w:t>
            </w:r>
          </w:p>
        </w:tc>
        <w:tc>
          <w:tcPr/>
          <w:p>
            <w:pPr>
              <w:pStyle w:val="Compact"/>
              <w:jc w:val="left"/>
            </w:pPr>
            <w:r>
              <w:t xml:space="preserve">Inversor AC + baterías + VFD</w:t>
            </w:r>
          </w:p>
        </w:tc>
        <w:tc>
          <w:tcPr/>
          <w:p>
            <w:pPr>
              <w:pStyle w:val="Compact"/>
              <w:jc w:val="left"/>
            </w:pPr>
            <w:r>
              <w:rPr>
                <w:b/>
                <w:bCs/>
              </w:rPr>
              <w:t xml:space="preserve">VFD solar directo (DC-coupled)</w:t>
            </w:r>
            <w:r>
              <w:t xml:space="preserve"> </w:t>
            </w:r>
            <w:r>
              <w:t xml:space="preserve">sin inversor intermedio</w:t>
            </w:r>
          </w:p>
        </w:tc>
      </w:tr>
      <w:tr>
        <w:tc>
          <w:tcPr/>
          <w:p>
            <w:pPr>
              <w:pStyle w:val="Compact"/>
              <w:jc w:val="left"/>
            </w:pPr>
            <w:r>
              <w:rPr>
                <w:b/>
                <w:bCs/>
              </w:rPr>
              <w:t xml:space="preserve">Arquitectura</w:t>
            </w:r>
          </w:p>
        </w:tc>
        <w:tc>
          <w:tcPr/>
          <w:p>
            <w:pPr>
              <w:pStyle w:val="Compact"/>
              <w:jc w:val="left"/>
            </w:pPr>
            <w:r>
              <w:t xml:space="preserve">Monolítica / compacta</w:t>
            </w:r>
          </w:p>
        </w:tc>
        <w:tc>
          <w:tcPr/>
          <w:p>
            <w:pPr>
              <w:pStyle w:val="Compact"/>
              <w:jc w:val="left"/>
            </w:pPr>
            <w:r>
              <w:t xml:space="preserve">Modular LEGO (4 módulos)</w:t>
            </w:r>
          </w:p>
        </w:tc>
      </w:tr>
      <w:tr>
        <w:tc>
          <w:tcPr/>
          <w:p>
            <w:pPr>
              <w:pStyle w:val="Compact"/>
              <w:jc w:val="left"/>
            </w:pPr>
            <w:r>
              <w:rPr>
                <w:b/>
                <w:bCs/>
              </w:rPr>
              <w:t xml:space="preserve">Instalación</w:t>
            </w:r>
          </w:p>
        </w:tc>
        <w:tc>
          <w:tcPr/>
          <w:p>
            <w:pPr>
              <w:pStyle w:val="Compact"/>
              <w:jc w:val="left"/>
            </w:pPr>
            <w:r>
              <w:t xml:space="preserve">Meses (obra civil, cimentación)</w:t>
            </w:r>
          </w:p>
        </w:tc>
        <w:tc>
          <w:tcPr/>
          <w:p>
            <w:pPr>
              <w:pStyle w:val="Compact"/>
              <w:jc w:val="left"/>
            </w:pPr>
            <w:r>
              <w:t xml:space="preserve">&lt; 8 horas (sin obra civil)</w:t>
            </w:r>
          </w:p>
        </w:tc>
      </w:tr>
      <w:tr>
        <w:tc>
          <w:tcPr/>
          <w:p>
            <w:pPr>
              <w:pStyle w:val="Compact"/>
              <w:jc w:val="left"/>
            </w:pPr>
            <w:r>
              <w:rPr>
                <w:b/>
                <w:bCs/>
              </w:rPr>
              <w:t xml:space="preserve">Mantenimiento</w:t>
            </w:r>
          </w:p>
        </w:tc>
        <w:tc>
          <w:tcPr/>
          <w:p>
            <w:pPr>
              <w:pStyle w:val="Compact"/>
              <w:jc w:val="left"/>
            </w:pPr>
            <w:r>
              <w:t xml:space="preserve">Requiere desarme total</w:t>
            </w:r>
          </w:p>
        </w:tc>
        <w:tc>
          <w:tcPr/>
          <w:p>
            <w:pPr>
              <w:pStyle w:val="Compact"/>
              <w:jc w:val="left"/>
            </w:pPr>
            <w:r>
              <w:t xml:space="preserve">Módulos independientes</w:t>
            </w:r>
          </w:p>
        </w:tc>
      </w:tr>
      <w:tr>
        <w:tc>
          <w:tcPr/>
          <w:p>
            <w:pPr>
              <w:pStyle w:val="Compact"/>
              <w:jc w:val="left"/>
            </w:pPr>
            <w:r>
              <w:rPr>
                <w:b/>
                <w:bCs/>
              </w:rPr>
              <w:t xml:space="preserve">Monitoreo</w:t>
            </w:r>
          </w:p>
        </w:tc>
        <w:tc>
          <w:tcPr/>
          <w:p>
            <w:pPr>
              <w:pStyle w:val="Compact"/>
              <w:jc w:val="left"/>
            </w:pPr>
            <w:r>
              <w:t xml:space="preserve">Presencial</w:t>
            </w:r>
          </w:p>
        </w:tc>
        <w:tc>
          <w:tcPr/>
          <w:p>
            <w:pPr>
              <w:pStyle w:val="Compact"/>
              <w:jc w:val="left"/>
            </w:pPr>
            <w:r>
              <w:t xml:space="preserve">SCADA remoto IoT (4G/satélite)</w:t>
            </w:r>
          </w:p>
        </w:tc>
      </w:tr>
      <w:tr>
        <w:tc>
          <w:tcPr/>
          <w:p>
            <w:pPr>
              <w:pStyle w:val="Compact"/>
              <w:jc w:val="left"/>
            </w:pPr>
            <w:r>
              <w:rPr>
                <w:b/>
                <w:bCs/>
              </w:rPr>
              <w:t xml:space="preserve">Salmuera</w:t>
            </w:r>
          </w:p>
        </w:tc>
        <w:tc>
          <w:tcPr/>
          <w:p>
            <w:pPr>
              <w:pStyle w:val="Compact"/>
              <w:jc w:val="left"/>
            </w:pPr>
            <w:r>
              <w:t xml:space="preserve">Descarga al mar</w:t>
            </w:r>
          </w:p>
        </w:tc>
        <w:tc>
          <w:tcPr/>
          <w:p>
            <w:pPr>
              <w:pStyle w:val="Compact"/>
              <w:jc w:val="left"/>
            </w:pPr>
            <w:r>
              <w:t xml:space="preserve">Economía circular (salinas locales)</w:t>
            </w:r>
          </w:p>
        </w:tc>
      </w:tr>
      <w:tr>
        <w:tc>
          <w:tcPr/>
          <w:p>
            <w:pPr>
              <w:pStyle w:val="Compact"/>
              <w:jc w:val="left"/>
            </w:pPr>
            <w:r>
              <w:rPr>
                <w:b/>
                <w:bCs/>
              </w:rPr>
              <w:t xml:space="preserve">Costo energético tren RO</w:t>
            </w:r>
          </w:p>
        </w:tc>
        <w:tc>
          <w:tcPr/>
          <w:p>
            <w:pPr>
              <w:pStyle w:val="Compact"/>
              <w:jc w:val="left"/>
            </w:pPr>
            <w:r>
              <w:t xml:space="preserve">4.5–6.0 kWh/m³</w:t>
            </w:r>
          </w:p>
        </w:tc>
        <w:tc>
          <w:tcPr/>
          <w:p>
            <w:pPr>
              <w:pStyle w:val="Compact"/>
              <w:jc w:val="left"/>
            </w:pPr>
            <w:r>
              <w:rPr>
                <w:b/>
                <w:bCs/>
              </w:rPr>
              <w:t xml:space="preserve">2.60 kWh/m³</w:t>
            </w:r>
            <w:r>
              <w:t xml:space="preserve"> </w:t>
            </w:r>
            <w:r>
              <w:t xml:space="preserve">(con ERD)</w:t>
            </w:r>
          </w:p>
        </w:tc>
      </w:tr>
      <w:tr>
        <w:tc>
          <w:tcPr/>
          <w:p>
            <w:pPr>
              <w:pStyle w:val="Compact"/>
              <w:jc w:val="left"/>
            </w:pPr>
            <w:r>
              <w:rPr>
                <w:b/>
                <w:bCs/>
              </w:rPr>
              <w:t xml:space="preserve">Costo energético sistema completo</w:t>
            </w:r>
          </w:p>
        </w:tc>
        <w:tc>
          <w:tcPr/>
          <w:p>
            <w:pPr>
              <w:pStyle w:val="Compact"/>
              <w:jc w:val="left"/>
            </w:pPr>
            <w:r>
              <w:t xml:space="preserve">6.0–8.0 kWh/m³</w:t>
            </w:r>
          </w:p>
        </w:tc>
        <w:tc>
          <w:tcPr/>
          <w:p>
            <w:pPr>
              <w:pStyle w:val="Compact"/>
              <w:jc w:val="left"/>
            </w:pPr>
            <w:r>
              <w:rPr>
                <w:b/>
                <w:bCs/>
              </w:rPr>
              <w:t xml:space="preserve">5.45 kWh/m³</w:t>
            </w:r>
            <w:r>
              <w:t xml:space="preserve"> </w:t>
            </w:r>
            <w:r>
              <w:t xml:space="preserve">(optimizable a 4.4 kWh/m³)</w:t>
            </w:r>
          </w:p>
        </w:tc>
      </w:tr>
      <w:tr>
        <w:tc>
          <w:tcPr/>
          <w:p>
            <w:pPr>
              <w:pStyle w:val="Compact"/>
              <w:jc w:val="left"/>
            </w:pPr>
            <w:r>
              <w:rPr>
                <w:b/>
                <w:bCs/>
              </w:rPr>
              <w:t xml:space="preserve">Transporte</w:t>
            </w:r>
          </w:p>
        </w:tc>
        <w:tc>
          <w:tcPr/>
          <w:p>
            <w:pPr>
              <w:pStyle w:val="Compact"/>
              <w:jc w:val="left"/>
            </w:pPr>
            <w:r>
              <w:t xml:space="preserve">Dificultoso</w:t>
            </w:r>
          </w:p>
        </w:tc>
        <w:tc>
          <w:tcPr/>
          <w:p>
            <w:pPr>
              <w:pStyle w:val="Compact"/>
              <w:jc w:val="left"/>
            </w:pPr>
            <w:r>
              <w:t xml:space="preserve">Contenedor ISO estándar</w:t>
            </w:r>
          </w:p>
        </w:tc>
      </w:tr>
      <w:tr>
        <w:tc>
          <w:tcPr/>
          <w:p>
            <w:pPr>
              <w:pStyle w:val="Compact"/>
              <w:jc w:val="left"/>
            </w:pPr>
            <w:r>
              <w:rPr>
                <w:b/>
                <w:bCs/>
              </w:rPr>
              <w:t xml:space="preserve">Vida útil sistema</w:t>
            </w:r>
          </w:p>
        </w:tc>
        <w:tc>
          <w:tcPr/>
          <w:p>
            <w:pPr>
              <w:pStyle w:val="Compact"/>
              <w:jc w:val="left"/>
            </w:pPr>
            <w:r>
              <w:t xml:space="preserve">10–15 años (baterías limitan)</w:t>
            </w:r>
          </w:p>
        </w:tc>
        <w:tc>
          <w:tcPr/>
          <w:p>
            <w:pPr>
              <w:pStyle w:val="Compact"/>
              <w:jc w:val="left"/>
            </w:pPr>
            <w:r>
              <w:rPr>
                <w:b/>
                <w:bCs/>
              </w:rPr>
              <w:t xml:space="preserve">20–25 años</w:t>
            </w:r>
            <w:r>
              <w:t xml:space="preserve"> </w:t>
            </w:r>
            <w:r>
              <w:t xml:space="preserve">(paneles 25 años, sin baterías que reemplazar)</w:t>
            </w:r>
          </w:p>
        </w:tc>
      </w:tr>
    </w:tbl>
    <w:bookmarkEnd w:id="103"/>
    <w:bookmarkStart w:id="104" w:name="Xdbb3b76d7c5b645b7a61019e5101b58734d2b55"/>
    <w:p>
      <w:pPr>
        <w:pStyle w:val="2"/>
      </w:pPr>
      <w:r>
        <w:t xml:space="preserve">14. ALINEACIÓN CON LOS OBJETIVOS DE DESARROLLO SOSTENIBLE</w:t>
      </w:r>
    </w:p>
    <w:p>
      <w:pPr>
        <w:pStyle w:val="Heading 4"/>
      </w:pPr>
      <w:r>
        <w:rPr>
          <w:b/>
          <w:rFonts w:ascii="Calibri" w:hAnsi="Calibri"/>
          <w:sz w:val="24"/>
          <w:szCs w:val="24"/>
        </w:rPr>
        <w:t xml:space="preserve">14.1 Componente de Innovación Oceánica (ODS 14)</w:t>
      </w:r>
    </w:p>
    <w:p>
      <w:pPr/>
      <w:r>
        <w:rPr>
          <w:rFonts w:ascii="Calibri" w:hAnsi="Calibri"/>
          <w:sz w:val="22"/>
          <w:szCs w:val="22"/>
        </w:rPr>
        <w:t xml:space="preserve">• Monitoreo ambiental: Se instalará un sensor de calidad de agua costera (turbiedad, salinidad, pH) en el punto de descarga de la salmuera a las salineras, con datos abiertos en tiempo real.</w:t>
      </w:r>
    </w:p>
    <w:p>
      <w:pPr/>
      <w:r>
        <w:rPr>
          <w:rFonts w:ascii="Calibri" w:hAnsi="Calibri"/>
          <w:sz w:val="22"/>
          <w:szCs w:val="22"/>
        </w:rPr>
        <w:t xml:space="preserve">• Economía azul: La integración con salineras locales fortalece la economía costera tradicional Wayúu, generando ingresos complementarios y preservando el conocimiento ancestral de producción de sal.</w:t>
      </w:r>
    </w:p>
    <w:p>
      <w:pPr/>
      <w:r>
        <w:rPr>
          <w:rFonts w:ascii="Calibri" w:hAnsi="Calibri"/>
          <w:sz w:val="22"/>
          <w:szCs w:val="22"/>
        </w:rPr>
        <w:t xml:space="preserve">• Protección de ecosistemas marinos: La toma submarina a 200 m de la costa utiliza rejilla de baja velocidad (&lt; 0.15 m/s) que minimiza la captura incidental de larvas y organismos marinos (impingement).</w:t>
      </w:r>
    </w:p>
    <w:p>
      <w:pPr/>
      <w:r>
        <w:rPr>
          <w:rFonts w:ascii="Calibri" w:hAnsi="Calibri"/>
          <w:sz w:val="22"/>
          <w:szCs w:val="22"/>
        </w:rPr>
        <w:t xml:space="preserve">• Cero descarga de salmuera al océano: A diferencia del 95% de las plantas desalinizadoras del mundo que vierten salmuera directamente al mar (afectando praderas de pastos marinos, corales y comunidades bentónicas), AQUA-8 desvía el 100% de la salmuera a salineras locales para producción artesanal de sal.</w:t>
      </w:r>
    </w:p>
    <w:p>
      <w:pPr/>
      <w:r>
        <w:rPr>
          <w:rFonts w:ascii="Calibri" w:hAnsi="Calibri"/>
          <w:sz w:val="22"/>
          <w:szCs w:val="22"/>
        </w:rPr>
        <w:t xml:space="preserve">AQUA-8 califica para la categoría de Innovación Oceánica de RELX al abordar directamente la contaminación marina por salmuera y la protección de ecosistemas costeros: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ODS</w:t>
            </w:r>
          </w:p>
        </w:tc>
        <w:tc>
          <w:tcPr/>
          <w:p>
            <w:pPr>
              <w:pStyle w:val="Compact"/>
              <w:jc w:val="left"/>
            </w:pPr>
            <w:r>
              <w:t xml:space="preserve">Contribución de AQUA-8</w:t>
            </w:r>
          </w:p>
        </w:tc>
      </w:tr>
      <w:tr>
        <w:tc>
          <w:tcPr/>
          <w:p>
            <w:pPr>
              <w:pStyle w:val="Compact"/>
              <w:jc w:val="left"/>
            </w:pPr>
            <w:r>
              <w:rPr>
                <w:b/>
                <w:bCs/>
              </w:rPr>
              <w:t xml:space="preserve">ODS 6</w:t>
            </w:r>
            <w:r>
              <w:t xml:space="preserve"> </w:t>
            </w:r>
            <w:r>
              <w:t xml:space="preserve">— Agua limpia y saneamiento</w:t>
            </w:r>
          </w:p>
        </w:tc>
        <w:tc>
          <w:tcPr/>
          <w:p>
            <w:pPr>
              <w:pStyle w:val="Compact"/>
              <w:jc w:val="left"/>
            </w:pPr>
            <w:r>
              <w:t xml:space="preserve">Produce 3,000 L/día de agua potable para comunidades sin acceso seguro</w:t>
            </w:r>
            <w:r>
              <w:t xml:space="preserve"> El acceso al agua permite que los niños Wayúu asistan a la escuela en lugar de dedicar 3+ horas diarias a la recolección de agua, reduciendo la deserción escolar y mejorando la asistencia infantil.</w:t>
            </w:r>
          </w:p>
        </w:tc>
      </w:tr>
      <w:tr>
        <w:tc>
          <w:tcPr/>
          <w:p>
            <w:pPr>
              <w:pStyle w:val="Compact"/>
              <w:jc w:val="left"/>
            </w:pPr>
            <w:r>
              <w:rPr>
                <w:b/>
                <w:bCs/>
              </w:rPr>
              <w:t xml:space="preserve">ODS 7</w:t>
            </w:r>
            <w:r>
              <w:t xml:space="preserve"> </w:t>
            </w:r>
            <w:r>
              <w:t xml:space="preserve">— Energía asequible y no contaminante</w:t>
            </w:r>
          </w:p>
        </w:tc>
        <w:tc>
          <w:tcPr/>
          <w:p>
            <w:pPr>
              <w:pStyle w:val="Compact"/>
              <w:jc w:val="left"/>
            </w:pPr>
            <w:r>
              <w:t xml:space="preserve">100% solar fotovoltaica, sin baterías ni combustibles fósiles</w:t>
            </w:r>
          </w:p>
        </w:tc>
      </w:tr>
      <w:tr>
        <w:tc>
          <w:tcPr/>
          <w:p>
            <w:pPr>
              <w:pStyle w:val="Compact"/>
              <w:jc w:val="left"/>
            </w:pPr>
            <w:r>
              <w:rPr>
                <w:b/>
                <w:bCs/>
              </w:rPr>
              <w:t xml:space="preserve">ODS 9</w:t>
            </w:r>
            <w:r>
              <w:t xml:space="preserve"> </w:t>
            </w:r>
            <w:r>
              <w:t xml:space="preserve">— Industria, innovación e infraestructura</w:t>
            </w:r>
          </w:p>
        </w:tc>
        <w:tc>
          <w:tcPr/>
          <w:p>
            <w:pPr>
              <w:pStyle w:val="Compact"/>
              <w:jc w:val="left"/>
            </w:pPr>
            <w:r>
              <w:t xml:space="preserve">Plataforma modular con SCADA, IoT y arquitectura LEGO industrial</w:t>
            </w:r>
          </w:p>
        </w:tc>
      </w:tr>
      <w:tr>
        <w:tc>
          <w:tcPr/>
          <w:p>
            <w:pPr>
              <w:pStyle w:val="Compact"/>
              <w:jc w:val="left"/>
            </w:pPr>
            <w:r>
              <w:rPr>
                <w:b/>
                <w:bCs/>
              </w:rPr>
              <w:t xml:space="preserve">ODS 13</w:t>
            </w:r>
            <w:r>
              <w:t xml:space="preserve"> </w:t>
            </w:r>
            <w:r>
              <w:t xml:space="preserve">— Acción por el clima</w:t>
            </w:r>
          </w:p>
        </w:tc>
        <w:tc>
          <w:tcPr/>
          <w:p>
            <w:pPr>
              <w:pStyle w:val="Compact"/>
              <w:jc w:val="left"/>
            </w:pPr>
            <w:r>
              <w:t xml:space="preserve">2.5 ton CO₂/año evitadas vs. plantas diésel. Energía 100% renovable</w:t>
            </w:r>
          </w:p>
        </w:tc>
      </w:tr>
      <w:tr>
        <w:tc>
          <w:tcPr/>
          <w:p>
            <w:pPr>
              <w:pStyle w:val="Compact"/>
              <w:jc w:val="left"/>
            </w:pPr>
            <w:r>
              <w:rPr>
                <w:b/>
                <w:bCs/>
              </w:rPr>
              <w:t xml:space="preserve">ODS 14</w:t>
            </w:r>
            <w:r>
              <w:t xml:space="preserve"> </w:t>
            </w:r>
            <w:r>
              <w:t xml:space="preserve">— Vida submarina</w:t>
            </w:r>
          </w:p>
        </w:tc>
        <w:tc>
          <w:tcPr/>
          <w:p>
            <w:pPr>
              <w:pStyle w:val="Compact"/>
              <w:jc w:val="left"/>
            </w:pPr>
            <w:r>
              <w:t xml:space="preserve">Cero descarga de salmuera al océano. Economía circular con salineras</w:t>
            </w:r>
          </w:p>
        </w:tc>
      </w:tr>
      <w:tr>
        <w:tc>
          <w:tcPr/>
          <w:p>
            <w:pPr>
              <w:pStyle w:val="Compact"/>
              <w:jc w:val="left"/>
            </w:pPr>
            <w:r>
              <w:rPr>
                <w:b/>
                <w:bCs/>
              </w:rPr>
              <w:t xml:space="preserve">ODS 17</w:t>
            </w:r>
            <w:r>
              <w:t xml:space="preserve"> </w:t>
            </w:r>
            <w:r>
              <w:t xml:space="preserve">— Alianzas para lograr los objetivos</w:t>
            </w:r>
          </w:p>
        </w:tc>
        <w:tc>
          <w:tcPr/>
          <w:p>
            <w:pPr>
              <w:pStyle w:val="Compact"/>
              <w:jc w:val="left"/>
            </w:pPr>
            <w:r>
              <w:t xml:space="preserve">Colaboración multidisciplinaria: ingeniería, Wayúu, Corpoguajira</w:t>
            </w:r>
          </w:p>
        </w:tc>
      </w:tr>
    </w:tbl>
    <w:bookmarkEnd w:id="104"/>
    <w:bookmarkStart w:id="105" w:name="conclusiones"/>
    <w:p>
      <w:pPr>
        <w:pStyle w:val="2"/>
      </w:pPr>
      <w:r>
        <w:t xml:space="preserve">15. CONCLUSIONES</w:t>
      </w:r>
    </w:p>
    <w:p>
      <w:pPr>
        <w:numPr>
          <w:ilvl w:val="0"/>
          <w:numId w:val="1008"/>
        </w:numPr>
      </w:pPr>
      <w:r>
        <w:t xml:space="preserve">AQUA-8 AMDS es una solución técnicamente viable, económicamente accesible y ambientalmente sostenible para la crisis de agua potable en comunidades costeras aisladas.</w:t>
      </w:r>
    </w:p>
    <w:p>
      <w:pPr>
        <w:numPr>
          <w:ilvl w:val="0"/>
          <w:numId w:val="1008"/>
        </w:numPr>
      </w:pPr>
      <w:r>
        <w:t xml:space="preserve">El diseño modular en contenedores ISO 20’ permite escalar la producción desde 3 m³/día (Fase I) hasta 500 m³/día (Fase III) simplemente agregando módulos idénticos.</w:t>
      </w:r>
    </w:p>
    <w:p>
      <w:pPr>
        <w:numPr>
          <w:ilvl w:val="0"/>
          <w:numId w:val="1008"/>
        </w:numPr>
      </w:pPr>
      <w:r>
        <w:t xml:space="preserve">La operación 100% solar sin baterías (arquitectura</w:t>
      </w:r>
      <w:r>
        <w:t xml:space="preserve"> </w:t>
      </w:r>
      <w:r>
        <w:t xml:space="preserve">“</w:t>
      </w:r>
      <w:r>
        <w:t xml:space="preserve">Water-as-Battery</w:t>
      </w:r>
      <w:r>
        <w:t xml:space="preserve">”</w:t>
      </w:r>
      <w:r>
        <w:t xml:space="preserve">) reduce significativamente el CAPEX, elimina la dependencia de combustibles fósiles, simplifica el mantenimiento y extiende la vida útil del sistema a 20–25 años.</w:t>
      </w:r>
    </w:p>
    <w:p>
      <w:pPr>
        <w:numPr>
          <w:ilvl w:val="0"/>
          <w:numId w:val="1008"/>
        </w:numPr>
      </w:pPr>
      <w:r>
        <w:t xml:space="preserve">Los 6 casos de referencia documentados —desde Jordania hasta Portugal— demuestran que la tecnología RO solar en contenedores es una realidad industrial probada, no un concepto teórico.</w:t>
      </w:r>
    </w:p>
    <w:p>
      <w:pPr>
        <w:numPr>
          <w:ilvl w:val="0"/>
          <w:numId w:val="1008"/>
        </w:numPr>
      </w:pPr>
      <w:r>
        <w:t xml:space="preserve">El presupuesto de USD $75,000 está desglosado en 7 categorías y 30+ rubros, cada uno justificado técnicamente, garantizando la ejecución completa del piloto.</w:t>
      </w:r>
    </w:p>
    <w:p>
      <w:pPr>
        <w:numPr>
          <w:ilvl w:val="0"/>
          <w:numId w:val="1008"/>
        </w:numPr>
      </w:pPr>
      <w:r>
        <w:t xml:space="preserve">El proyecto beneficiará directamente a 100–150 personas de la comunidad Wayúu en Manaure, La Guajira, generando transferencia tecnológica, empleos verdes y autonomía hídrica.</w:t>
      </w:r>
    </w:p>
    <w:p>
      <w:pPr/>
      <w:r>
        <w:rPr>
          <w:rFonts w:ascii="Calibri" w:hAnsi="Calibri"/>
          <w:sz w:val="22"/>
          <w:szCs w:val="22"/>
        </w:rPr>
        <w:t xml:space="preserve">Solicitamos USD $75,000 al RELX Environmental Challenge 2026 para financiar la fabricación, transporte, instalación y puesta en marcha del piloto AQUA-8 en Manaure, La Guajira. Esta inversión inicial desbloquea la Fase II (50 m³/día, $5.50/m³), donde el sistema alcanza sostenibilidad financiera completa y puede replicarse en comunidades costeras de todo el mundo.</w:t>
      </w:r>
    </w:p>
    <w:bookmarkEnd w:id="105"/>
    <w:bookmarkStart w:id="110" w:name="referencias"/>
    <w:p>
      <w:pPr>
        <w:pStyle w:val="2"/>
      </w:pPr>
      <w:r>
        <w:t xml:space="preserve">16. REFERENCIAS</w:t>
      </w:r>
    </w:p>
    <w:bookmarkStart w:id="106" w:name="publicaciones-científicas"/>
    <w:p>
      <w:pPr>
        <w:pStyle w:val="3"/>
      </w:pPr>
      <w:r>
        <w:t xml:space="preserve">16.1 Publicaciones Científicas</w:t>
      </w:r>
    </w:p>
    <w:p>
      <w:pPr>
        <w:numPr>
          <w:ilvl w:val="0"/>
          <w:numId w:val="1009"/>
        </w:numPr>
      </w:pPr>
      <w:r>
        <w:t xml:space="preserve">Banat, F., Qiblawey, H., &amp; Al-Nasser, Q. (2012). Design and Operation of Small-Scale Photovoltaic-Driven Reverse Osmosis (PV-RO) Desalination Plant for Water Supply in Rural Areas.</w:t>
      </w:r>
      <w:r>
        <w:t xml:space="preserve"> </w:t>
      </w:r>
      <w:r>
        <w:rPr>
          <w:i/>
          <w:iCs/>
        </w:rPr>
        <w:t xml:space="preserve">Computational Water, Energy, and Environmental Engineering</w:t>
      </w:r>
      <w:r>
        <w:t xml:space="preserve">, 1, 31–36.</w:t>
      </w:r>
    </w:p>
    <w:p>
      <w:pPr>
        <w:numPr>
          <w:ilvl w:val="0"/>
          <w:numId w:val="1009"/>
        </w:numPr>
      </w:pPr>
      <w:r>
        <w:t xml:space="preserve">Tigrine, Z. et al. (2023). Feasibility Study of a Reverse Osmosis Desalination Unit Powered by Photovoltaic Panels for a Sustainable Water Supply in Algeria.</w:t>
      </w:r>
      <w:r>
        <w:t xml:space="preserve"> </w:t>
      </w:r>
      <w:r>
        <w:rPr>
          <w:i/>
          <w:iCs/>
        </w:rPr>
        <w:t xml:space="preserve">Sustainability</w:t>
      </w:r>
      <w:r>
        <w:t xml:space="preserve">, 15(19), 14189. DOI: 10.3390/su151914189</w:t>
      </w:r>
    </w:p>
    <w:p>
      <w:pPr>
        <w:numPr>
          <w:ilvl w:val="0"/>
          <w:numId w:val="1009"/>
        </w:numPr>
      </w:pPr>
      <w:r>
        <w:t xml:space="preserve">Curto, D. et al. (2024). Solar-Powered Desalination as a Sustainable Long-Term Solution for the Water Scarcity Problem: Case Studies in Portugal.</w:t>
      </w:r>
      <w:r>
        <w:t xml:space="preserve"> </w:t>
      </w:r>
      <w:r>
        <w:rPr>
          <w:i/>
          <w:iCs/>
        </w:rPr>
        <w:t xml:space="preserve">Water</w:t>
      </w:r>
      <w:r>
        <w:t xml:space="preserve">, 16(15), 2140. DOI: 10.3390/w16152140</w:t>
      </w:r>
    </w:p>
    <w:bookmarkEnd w:id="106"/>
    <w:bookmarkStart w:id="107" w:name="reportes-técnicos-y-white-papers"/>
    <w:p>
      <w:pPr>
        <w:pStyle w:val="3"/>
      </w:pPr>
      <w:r>
        <w:t xml:space="preserve">16.2 Reportes Técnicos y White Papers</w:t>
      </w:r>
    </w:p>
    <w:p>
      <w:pPr>
        <w:numPr>
          <w:ilvl w:val="0"/>
          <w:numId w:val="1010"/>
        </w:numPr>
      </w:pPr>
      <w:r>
        <w:t xml:space="preserve">Elemental Watermakers (2024).</w:t>
      </w:r>
      <w:r>
        <w:t xml:space="preserve"> </w:t>
      </w:r>
      <w:r>
        <w:rPr>
          <w:i/>
          <w:iCs/>
        </w:rPr>
        <w:t xml:space="preserve">Plug &amp; Play Solar Desalination — White Paper Técnico</w:t>
      </w:r>
      <w:r>
        <w:t xml:space="preserve">. Sistema PV directo sin baterías.</w:t>
      </w:r>
    </w:p>
    <w:p>
      <w:pPr>
        <w:numPr>
          <w:ilvl w:val="0"/>
          <w:numId w:val="1010"/>
        </w:numPr>
      </w:pPr>
      <w:r>
        <w:t xml:space="preserve">Fluence Corp (2025).</w:t>
      </w:r>
      <w:r>
        <w:t xml:space="preserve"> </w:t>
      </w:r>
      <w:r>
        <w:rPr>
          <w:i/>
          <w:iCs/>
        </w:rPr>
        <w:t xml:space="preserve">Desalination Case Studies — NIROBOX™</w:t>
      </w:r>
      <w:r>
        <w:t xml:space="preserve">.</w:t>
      </w:r>
    </w:p>
    <w:p>
      <w:pPr>
        <w:numPr>
          <w:ilvl w:val="0"/>
          <w:numId w:val="1010"/>
        </w:numPr>
      </w:pPr>
      <w:r>
        <w:t xml:space="preserve">FreightWaves (2020).</w:t>
      </w:r>
      <w:r>
        <w:t xml:space="preserve"> </w:t>
      </w:r>
      <w:r>
        <w:rPr>
          <w:i/>
          <w:iCs/>
        </w:rPr>
        <w:t xml:space="preserve">Containerized solar water farms provide clean water, jobs for locals</w:t>
      </w:r>
      <w:r>
        <w:t xml:space="preserve">.</w:t>
      </w:r>
    </w:p>
    <w:bookmarkEnd w:id="107"/>
    <w:bookmarkStart w:id="108" w:name="documentos-del-proyecto-aqua-8"/>
    <w:p>
      <w:pPr>
        <w:pStyle w:val="3"/>
      </w:pPr>
      <w:r>
        <w:t xml:space="preserve">16.3 Documentos del Proyecto AQUA-8</w:t>
      </w:r>
    </w:p>
    <w:p>
      <w:pPr>
        <w:pStyle w:val="Compact"/>
        <w:numPr>
          <w:ilvl w:val="0"/>
          <w:numId w:val="1011"/>
        </w:numPr>
      </w:pPr>
      <w:r>
        <w:t xml:space="preserve">AQ8-000 — Project Charter</w:t>
      </w:r>
    </w:p>
    <w:p>
      <w:pPr>
        <w:pStyle w:val="Compact"/>
        <w:numPr>
          <w:ilvl w:val="0"/>
          <w:numId w:val="1011"/>
        </w:numPr>
      </w:pPr>
      <w:r>
        <w:t xml:space="preserve">AQ8-002 — Arquitectura P&amp;ID</w:t>
      </w:r>
    </w:p>
    <w:p>
      <w:pPr>
        <w:pStyle w:val="Compact"/>
        <w:numPr>
          <w:ilvl w:val="0"/>
          <w:numId w:val="1011"/>
        </w:numPr>
      </w:pPr>
      <w:r>
        <w:t>AQ8-004 — Arquitectura Eléctrica — Sistema Fotovoltaico Autónomo DC-coupled</w:t>
      </w:r>
    </w:p>
    <w:p>
      <w:pPr>
        <w:pStyle w:val="Compact"/>
        <w:numPr>
          <w:ilvl w:val="0"/>
          <w:numId w:val="1011"/>
        </w:numPr>
      </w:pPr>
      <w:r>
        <w:t xml:space="preserve">AQ8-005 — Topología SCADA y Comunicaciones</w:t>
      </w:r>
    </w:p>
    <w:p>
      <w:pPr>
        <w:pStyle w:val="Compact"/>
        <w:numPr>
          <w:ilvl w:val="0"/>
          <w:numId w:val="1011"/>
        </w:numPr>
      </w:pPr>
      <w:r>
        <w:t xml:space="preserve">AQ8-008 — Arquitectura de Software (AQUA-CORE, AQUA-CLOUD, AQUA-AI)</w:t>
      </w:r>
    </w:p>
    <w:p>
      <w:pPr>
        <w:pStyle w:val="Compact"/>
        <w:numPr>
          <w:ilvl w:val="0"/>
          <w:numId w:val="1011"/>
        </w:numPr>
      </w:pPr>
      <w:r>
        <w:t xml:space="preserve">AQ8-009 — Roadmap Tecnológico 2026–2030</w:t>
      </w:r>
    </w:p>
    <w:p>
      <w:pPr>
        <w:pStyle w:val="Compact"/>
        <w:numPr>
          <w:ilvl w:val="0"/>
          <w:numId w:val="1011"/>
        </w:numPr>
      </w:pPr>
      <w:r>
        <w:t xml:space="preserve">AQ8-010 — Presupuesto Maestro</w:t>
      </w:r>
    </w:p>
    <w:p>
      <w:pPr>
        <w:pStyle w:val="Compact"/>
        <w:numPr>
          <w:ilvl w:val="0"/>
          <w:numId w:val="1011"/>
        </w:numPr>
      </w:pPr>
      <w:r>
        <w:t xml:space="preserve">AQ8-CALC-001 — Memoria de Cálculo — Bombas Eléctricas y Arreglo Solar</w:t>
      </w:r>
    </w:p>
    <w:bookmarkEnd w:id="108"/>
    <w:bookmarkStart w:id="109" w:name="normatividad"/>
    <w:p>
      <w:pPr>
        <w:pStyle w:val="3"/>
      </w:pPr>
      <w:r>
        <w:t xml:space="preserve">16.4 Normatividad</w:t>
      </w:r>
    </w:p>
    <w:p>
      <w:pPr>
        <w:pStyle w:val="Compact"/>
        <w:numPr>
          <w:ilvl w:val="0"/>
          <w:numId w:val="1012"/>
        </w:numPr>
      </w:pPr>
      <w:r>
        <w:t xml:space="preserve">Resolución 2115 de 2007 — Características del agua para consumo humano</w:t>
      </w:r>
    </w:p>
    <w:p>
      <w:pPr>
        <w:pStyle w:val="Compact"/>
        <w:numPr>
          <w:ilvl w:val="0"/>
          <w:numId w:val="1012"/>
        </w:numPr>
      </w:pPr>
      <w:r>
        <w:t xml:space="preserve">RETIE — Reglamento Técnico de Instalaciones Eléctricas</w:t>
      </w:r>
    </w:p>
    <w:p>
      <w:pPr>
        <w:pStyle w:val="Compact"/>
        <w:numPr>
          <w:ilvl w:val="0"/>
          <w:numId w:val="1012"/>
        </w:numPr>
      </w:pPr>
      <w:r>
        <w:t xml:space="preserve">RAS-2000 — Reglamento Técnico del Sector de Agua Potable y Saneamiento Básico</w:t>
      </w:r>
    </w:p>
    <w:p>
      <w:pPr>
        <w:pStyle w:val="Compact"/>
        <w:numPr>
          <w:ilvl w:val="0"/>
          <w:numId w:val="1012"/>
        </w:numPr>
      </w:pPr>
      <w:r>
        <w:t xml:space="preserve">IEC 61131-3 — Estándar de lenguajes de programación PLC</w:t>
      </w:r>
    </w:p>
    <w:bookmarkEnd w:id="109"/>
    <w:bookmarkEnd w:id="110"/>
    <w:bookmarkStart w:id="111" w:name="X8c76447b6669b7021398da587fe94bcb77c9d32"/>
    <w:p>
      <w:pPr>
        <w:pStyle w:val="2"/>
      </w:pPr>
      <w:r>
        <w:t xml:space="preserve">APÉNDICE A: Currículums del Equipo de Ingeniería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Miembro</w:t>
            </w:r>
          </w:p>
        </w:tc>
        <w:tc>
          <w:tcPr/>
          <w:p>
            <w:pPr>
              <w:pStyle w:val="Compact"/>
              <w:jc w:val="left"/>
            </w:pPr>
            <w:r>
              <w:t xml:space="preserve">Especialidad</w:t>
            </w:r>
          </w:p>
        </w:tc>
        <w:tc>
          <w:tcPr/>
          <w:p>
            <w:pPr>
              <w:pStyle w:val="Compact"/>
              <w:jc w:val="left"/>
            </w:pPr>
            <w:r>
              <w:t xml:space="preserve">Archivo</w:t>
            </w:r>
          </w:p>
        </w:tc>
      </w:tr>
      <w:tr>
        <w:tc>
          <w:tcPr/>
          <w:p>
            <w:pPr>
              <w:pStyle w:val="Compact"/>
              <w:jc w:val="left"/>
            </w:pPr>
            <w:r>
              <w:t xml:space="preserve">Alejandro Ochoa</w:t>
            </w:r>
          </w:p>
        </w:tc>
        <w:tc>
          <w:tcPr/>
          <w:p>
            <w:pPr>
              <w:pStyle w:val="Compact"/>
              <w:jc w:val="left"/>
            </w:pPr>
            <w:r>
              <w:t xml:space="preserve">Ingeniería Eléctrica</w:t>
            </w:r>
          </w:p>
        </w:tc>
        <w:tc>
          <w:tcPr/>
          <w:p>
            <w:pPr>
              <w:pStyle w:val="Compact"/>
              <w:jc w:val="left"/>
            </w:pPr>
            <w:r>
              <w:rPr>
                <w:rStyle w:val="VerbatimChar"/>
              </w:rPr>
              <w:t xml:space="preserve">equipo/Alejandro Ochoa -ing electricista.docx</w:t>
            </w:r>
          </w:p>
        </w:tc>
      </w:tr>
      <w:tr>
        <w:tc>
          <w:tcPr/>
          <w:p>
            <w:pPr>
              <w:pStyle w:val="Compact"/>
              <w:jc w:val="left"/>
            </w:pPr>
            <w:r>
              <w:t xml:space="preserve">Bertulfo Pérez</w:t>
            </w:r>
          </w:p>
        </w:tc>
        <w:tc>
          <w:tcPr/>
          <w:p>
            <w:pPr>
              <w:pStyle w:val="Compact"/>
              <w:jc w:val="left"/>
            </w:pPr>
            <w:r>
              <w:t xml:space="preserve">Ingeniería Ambiental</w:t>
            </w:r>
          </w:p>
        </w:tc>
        <w:tc>
          <w:tcPr/>
          <w:p>
            <w:pPr>
              <w:pStyle w:val="Compact"/>
              <w:jc w:val="left"/>
            </w:pPr>
            <w:r>
              <w:rPr>
                <w:rStyle w:val="VerbatimChar"/>
              </w:rPr>
              <w:t xml:space="preserve">equipo/Bertulfo Pérez-ing ambiental.docx</w:t>
            </w:r>
          </w:p>
        </w:tc>
      </w:tr>
      <w:tr>
        <w:tc>
          <w:tcPr/>
          <w:p>
            <w:pPr>
              <w:pStyle w:val="Compact"/>
              <w:jc w:val="left"/>
            </w:pPr>
            <w:r>
              <w:t xml:space="preserve">Hugo A. Isaza</w:t>
            </w:r>
          </w:p>
        </w:tc>
        <w:tc>
          <w:tcPr/>
          <w:p>
            <w:pPr>
              <w:pStyle w:val="Compact"/>
              <w:jc w:val="left"/>
            </w:pPr>
            <w:r>
              <w:t xml:space="preserve">Economía</w:t>
            </w:r>
          </w:p>
        </w:tc>
        <w:tc>
          <w:tcPr/>
          <w:p>
            <w:pPr>
              <w:pStyle w:val="Compact"/>
              <w:jc w:val="left"/>
            </w:pPr>
            <w:r>
              <w:rPr>
                <w:rStyle w:val="VerbatimChar"/>
              </w:rPr>
              <w:t xml:space="preserve">equipo/Hugo A. Isaza -Economista.docx</w:t>
            </w:r>
          </w:p>
        </w:tc>
      </w:tr>
      <w:tr>
        <w:tc>
          <w:tcPr/>
          <w:p>
            <w:pPr>
              <w:pStyle w:val="Compact"/>
              <w:jc w:val="left"/>
            </w:pPr>
            <w:r>
              <w:t xml:space="preserve">Rubén D. Botero</w:t>
            </w:r>
          </w:p>
        </w:tc>
        <w:tc>
          <w:tcPr/>
          <w:p>
            <w:pPr>
              <w:pStyle w:val="Compact"/>
              <w:jc w:val="left"/>
            </w:pPr>
            <w:r>
              <w:t xml:space="preserve">Sociología</w:t>
            </w:r>
          </w:p>
        </w:tc>
        <w:tc>
          <w:tcPr/>
          <w:p>
            <w:pPr>
              <w:pStyle w:val="Compact"/>
              <w:jc w:val="left"/>
            </w:pPr>
            <w:r>
              <w:rPr>
                <w:rStyle w:val="VerbatimChar"/>
              </w:rPr>
              <w:t xml:space="preserve">equipo/Ruben D. Botero -Sociologo.docx</w:t>
            </w:r>
          </w:p>
        </w:tc>
      </w:tr>
    </w:tbl>
    <w:bookmarkEnd w:id="111"/>
    <w:bookmarkStart w:id="112" w:name="X6199dddc1fe3376f7b228c88f61e651360b8c91"/>
    <w:p>
      <w:pPr>
        <w:pStyle w:val="2"/>
      </w:pPr>
      <w:r>
        <w:t xml:space="preserve">APÉNDICE B: Fichas Técnicas de Casos de Referencia</w:t>
      </w:r>
    </w:p>
    <w:p>
      <w:pPr>
        <w:pStyle w:val="FirstParagraph"/>
      </w:pPr>
      <w:r>
        <w:t xml:space="preserve">Ver Sección 9.2 del presente documento para el detalle completo de los 6 casos de referencia.</w:t>
      </w:r>
    </w:p>
    <w:bookmarkEnd w:id="112"/>
    <w:bookmarkStart w:id="113" w:name="X91b0c67ec346e0a94f0652fc6b9c775e4c15e04"/>
    <w:p>
      <w:pPr>
        <w:pStyle w:val="2"/>
      </w:pPr>
      <w:r>
        <w:t xml:space="preserve">APÉNDICE C: Diagrama de Gantt — Cronograma Detallado</w:t>
      </w:r>
    </w:p>
    <w:p>
      <w:pPr>
        <w:pStyle w:val="SourceCode"/>
      </w:pPr>
      <w:r>
        <w:rPr>
          <w:rStyle w:val="VerbatimChar"/>
        </w:rPr>
        <w:t xml:space="preserve">Actividad                    | Mes 1 | Mes 2 | Mes 3 | Mes 4 | Mes 5 | Mes 6 | Mes 7-12 |</w:t>
      </w:r>
      <w:r>
        <w:br/>
      </w:r>
      <w:r>
        <w:rPr>
          <w:rStyle w:val="VerbatimChar"/>
        </w:rPr>
        <w:t xml:space="preserve">Ingeniería de detalle        | █████ | █████ |       |       |       |       |          |</w:t>
      </w:r>
      <w:r>
        <w:br/>
      </w:r>
      <w:r>
        <w:rPr>
          <w:rStyle w:val="VerbatimChar"/>
        </w:rPr>
        <w:t xml:space="preserve">Planos constructivos         | █████ | █████ |       |       |       |       |          |</w:t>
      </w:r>
      <w:r>
        <w:br/>
      </w:r>
      <w:r>
        <w:rPr>
          <w:rStyle w:val="VerbatimChar"/>
        </w:rPr>
        <w:t xml:space="preserve">Compra de equipos            |       | █████ | █████ |       |       |       |          |</w:t>
      </w:r>
      <w:r>
        <w:br/>
      </w:r>
      <w:r>
        <w:rPr>
          <w:rStyle w:val="VerbatimChar"/>
        </w:rPr>
        <w:t xml:space="preserve">Adecuación contenedores      |       |       | █████ | █████ |       |       |          |</w:t>
      </w:r>
      <w:r>
        <w:br/>
      </w:r>
      <w:r>
        <w:rPr>
          <w:rStyle w:val="VerbatimChar"/>
        </w:rPr>
        <w:t xml:space="preserve">Montaje sistema RO           |       |       | █████ | █████ |       |       |          |</w:t>
      </w:r>
      <w:r>
        <w:br/>
      </w:r>
      <w:r>
        <w:rPr>
          <w:rStyle w:val="VerbatimChar"/>
        </w:rPr>
        <w:t xml:space="preserve">Instalación paneles solares  |       |       |       | █████ |       |       |          |</w:t>
      </w:r>
      <w:r>
        <w:br/>
      </w:r>
      <w:r>
        <w:rPr>
          <w:rStyle w:val="VerbatimChar"/>
        </w:rPr>
        <w:t xml:space="preserve">Pruebas en fábrica (FAT)     |       |       |       |       | █████ |       |          |</w:t>
      </w:r>
      <w:r>
        <w:br/>
      </w:r>
      <w:r>
        <w:rPr>
          <w:rStyle w:val="VerbatimChar"/>
        </w:rPr>
        <w:t xml:space="preserve">Transporte a Manaure         |       |       |       |       |       | █████ |          |</w:t>
      </w:r>
      <w:r>
        <w:br/>
      </w:r>
      <w:r>
        <w:rPr>
          <w:rStyle w:val="VerbatimChar"/>
        </w:rPr>
        <w:t xml:space="preserve">Instalación en sitio (SAT)   |       |       |       |       |       | █████ |          |</w:t>
      </w:r>
      <w:r>
        <w:br/>
      </w:r>
      <w:r>
        <w:rPr>
          <w:rStyle w:val="VerbatimChar"/>
        </w:rPr>
        <w:t xml:space="preserve">Capacitación operadores      |       |       |       |       |       | █████ |          |</w:t>
      </w:r>
      <w:r>
        <w:br/>
      </w:r>
      <w:r>
        <w:rPr>
          <w:rStyle w:val="VerbatimChar"/>
        </w:rPr>
        <w:t xml:space="preserve">Operación piloto             |       |       |       |       |       |       | ████████ |</w:t>
      </w:r>
      <w:r>
        <w:br/>
      </w:r>
      <w:r>
        <w:rPr>
          <w:rStyle w:val="VerbatimChar"/>
        </w:rPr>
        <w:t xml:space="preserve">Reporte final RELX           |       |       |       |       |       |       |       ██ |</w:t>
      </w:r>
    </w:p>
    <w:p>
      <w:r>
        <w:pict>
          <v:rect style="width:0;height:1.5pt" o:hralign="center" o:hrstd="t" o:hr="t"/>
        </w:pict>
      </w:r>
    </w:p>
    <w:p>
      <w:pPr>
        <w:pStyle w:val="FirstParagraph"/>
      </w:pPr>
      <w:r>
        <w:rPr>
          <w:i/>
          <w:iCs/>
        </w:rPr>
        <w:t xml:space="preserve">Fin del documento AQ8-007 — Propuesta Técnica de Ingeniería</w:t>
      </w:r>
      <w:r>
        <w:t xml:space="preserve"> </w:t>
      </w:r>
      <w:r>
        <w:rPr>
          <w:i/>
          <w:iCs/>
        </w:rPr>
        <w:t xml:space="preserve">Equipo AQUA-8 / RELX — Julio 2026</w:t>
      </w:r>
      <w:r>
        <w:t xml:space="preserve"> </w:t>
      </w:r>
      <w:r>
        <w:rPr>
          <w:i/>
          <w:iCs/>
        </w:rPr>
        <w:t xml:space="preserve">Open Engineering — Conocimiento abierto para la autonomía hídrica</w:t>
      </w:r>
    </w:p>
    <w:p>
      <w:pPr>
        <w:pStyle w:val="Heading 3"/>
      </w:pPr>
      <w:r>
        <w:rPr>
          <w:b/>
          <w:rFonts w:ascii="Calibri" w:hAnsi="Calibri"/>
          <w:sz w:val="28"/>
          <w:szCs w:val="28"/>
        </w:rPr>
        <w:t xml:space="preserve">APÉNDICE D: Mapa de Actores Clave (Stakeholder Map) y Plan de Replicación</w:t>
      </w:r>
    </w:p>
    <w:p>
      <w:pPr/>
      <w:r>
        <w:rPr>
          <w:rFonts w:ascii="Calibri" w:hAnsi="Calibri"/>
          <w:sz w:val="22"/>
          <w:szCs w:val="22"/>
        </w:rPr>
        <w:t xml:space="preserve">El modelo de replicación AQUA-8 sigue el principio de 'franquicia social de código abierto': Los planos, memorias de cálculo y software SCADA se publican bajo licencia abierta (CC BY-SA). Cada comunidad recibe un kit de replicación que incluye: lista de materiales con proveedores locales, guía de instalación paso a paso, y acceso a la red de operadores AQUA-8 certificados. El equipo AQUA-8 retiene el rol de 'franchisor social': capacitación certificada, actualizaciones tecnológicas y control de calidad. Esto garantiza escalabilidad sin depender de financiamiento continuo del equipo desarrollador.</w:t>
      </w:r>
    </w:p>
    <w:p>
      <w:pPr/>
      <w:r>
        <w:rPr>
          <w:b/>
          <w:rFonts w:ascii="Calibri" w:hAnsi="Calibri"/>
          <w:sz w:val="22"/>
          <w:szCs w:val="22"/>
        </w:rPr>
        <w:t xml:space="preserve">D.3 Modelo de Franquicia Social (Open Source)</w:t>
      </w:r>
    </w:p>
    <w:p>
      <w:pPr/>
      <w:r>
        <w:rPr>
          <w:rFonts w:ascii="Calibri" w:hAnsi="Calibri"/>
          <w:sz w:val="22"/>
          <w:szCs w:val="22"/>
        </w:rPr>
        <w:t xml:space="preserve">Sitio 3 — Bahía Portete (Comunidad Wayúu, Puerto de exportación de carbón): Población: 800 hab. Comunidad afectada por minería de carbón. Radiación solar: 5.8 kWh/m²/día. Agua de mar: 35,500 ppm TDS. Capacidad objetivo: 3 m³/día (1 contenedor, réplica exacta del piloto). Costo estimado: $75,000 (mismo presupuesto, financiamiento por regalías mineras).</w:t>
      </w:r>
    </w:p>
    <w:p>
      <w:pPr/>
      <w:r>
        <w:rPr>
          <w:rFonts w:ascii="Calibri" w:hAnsi="Calibri"/>
          <w:sz w:val="22"/>
          <w:szCs w:val="22"/>
        </w:rPr>
        <w:t xml:space="preserve">Sitio 2 — Cabo de la Vela (Comunidad Wayúu rural): 150 km al norte de Manaure. Población: 1,500 hab. (estacional: 5,000 en temporada turística). Sin acceso a agua potable ni electricidad de red. Radiación solar: 6.2 kWh/m²/día (la más alta de Colombia). Agua de mar: 36,000 ppm TDS. Capacidad objetivo: 5 m³/día (2× contenedores). Costo estimado: $130,000.</w:t>
      </w:r>
    </w:p>
    <w:p>
      <w:pPr/>
      <w:r>
        <w:rPr>
          <w:rFonts w:ascii="Calibri" w:hAnsi="Calibri"/>
          <w:sz w:val="22"/>
          <w:szCs w:val="22"/>
        </w:rPr>
        <w:t>Sitio 1 — Riohacha (Distrito Especial): 60 km del piloto (vía terrestre). Población: 250,000 hab. Comunidad Wayúu periurbana (30,000 personas sin acceso a agua potable). Radiación solar: 5.3 kWh/m²/día. Agua de mar: 34,000 ppm TDS. Capacidad objetivo: 10 m³/día (3× contenedores). Costo estimado: $180,000. JAL (Junta Administradora Local) de Riohacha manifestó interés preliminar.</w:t>
      </w:r>
    </w:p>
    <w:p>
      <w:pPr/>
      <w:r>
        <w:rPr>
          <w:rFonts w:ascii="Calibri" w:hAnsi="Calibri"/>
          <w:sz w:val="22"/>
          <w:szCs w:val="22"/>
        </w:rPr>
        <w:t xml:space="preserve">Una vez validado el piloto en Manaure (Fase I, meses 1–12), se replicará el modelo AQUA-8 en tres comunidades costeras adicionales de La Guajira, seleccionadas por su similitud geográfica y socioeconómica:</w:t>
      </w:r>
    </w:p>
    <w:p>
      <w:pPr/>
      <w:r>
        <w:rPr>
          <w:b/>
          <w:rFonts w:ascii="Calibri" w:hAnsi="Calibri"/>
          <w:sz w:val="22"/>
          <w:szCs w:val="22"/>
        </w:rPr>
        <w:t xml:space="preserve">D.2 Plan de Replicación — 3 Sitios Potenciales Post-Piloto</w:t>
      </w:r>
    </w:p>
    <w:p>
      <w:pPr/>
      <w:r>
        <w:rPr>
          <w:rFonts w:ascii="Calibri" w:hAnsi="Calibri"/>
          <w:sz w:val="22"/>
          <w:szCs w:val="22"/>
        </w:rPr>
        <w:t xml:space="preserve">• IDEAM: Datos climáticos, estación meteorológica de referencia (código 23015020).</w:t>
      </w:r>
    </w:p>
    <w:p>
      <w:pPr/>
      <w:r>
        <w:rPr>
          <w:rFonts w:ascii="Calibri" w:hAnsi="Calibri"/>
          <w:sz w:val="22"/>
          <w:szCs w:val="22"/>
        </w:rPr>
        <w:t>• Universidad de La Guajira (UniGuajira): Monitoreo de calidad de agua, investigación aplicada, prácticas estudiantiles. Estatus: Convenio marco en negociación avanzada; carta de intención esperada para agosto 2026.</w:t>
      </w:r>
    </w:p>
    <w:p>
      <w:pPr/>
      <w:r>
        <w:rPr>
          <w:rFonts w:ascii="Calibri" w:hAnsi="Calibri"/>
          <w:sz w:val="22"/>
          <w:szCs w:val="22"/>
        </w:rPr>
        <w:t xml:space="preserve">• Alcaldía de Manaure: Co-financiamiento de OPEX, apoyo logístico, articulación con programas municipales de agua potable y saneamiento básico.</w:t>
      </w:r>
    </w:p>
    <w:p>
      <w:pPr/>
      <w:r>
        <w:rPr>
          <w:rFonts w:ascii="Calibri" w:hAnsi="Calibri"/>
          <w:sz w:val="22"/>
          <w:szCs w:val="22"/>
        </w:rPr>
        <w:t>• Salineras de Manaure (Asociación de Productores de Sal Marina): Acuerdo de recepción de salmuera para producción de sal artesanal. Estatus: Carta de intención firmada (julio 2026) — pendiente de adjuntar como anexo en versión final.</w:t>
      </w:r>
    </w:p>
    <w:p>
      <w:pPr/>
      <w:r>
        <w:rPr>
          <w:rFonts w:ascii="Calibri" w:hAnsi="Calibri"/>
          <w:sz w:val="22"/>
          <w:szCs w:val="22"/>
        </w:rPr>
        <w:t xml:space="preserve">• Corpoguajira: Permisos ambientales, monitoreo de calidad de agua, apoyo técnico. Estatus: Solicitud de permiso de captación de agua de mar en trámite (Resolución 0631/2015).</w:t>
      </w:r>
    </w:p>
    <w:p>
      <w:pPr/>
      <w:r>
        <w:rPr>
          <w:rFonts w:ascii="Calibri" w:hAnsi="Calibri"/>
          <w:sz w:val="22"/>
          <w:szCs w:val="22"/>
        </w:rPr>
        <w:t xml:space="preserve">• Comunidad Wayúu (Manaure): Co-diseño, gobernanza del agua, operación del sistema, tarifa social. Contacto: Autoridades tradicionales de Manaure (enlace: Rubén D. Botero, Sociólogo).</w:t>
      </w:r>
    </w:p>
    <w:p>
      <w:pPr/>
      <w:r>
        <w:rPr>
          <w:rFonts w:ascii="Calibri" w:hAnsi="Calibri"/>
          <w:sz w:val="22"/>
          <w:szCs w:val="22"/>
        </w:rPr>
        <w:t xml:space="preserve">El ecosistema del proyecto AQUA-8 involucra a los siguientes actores, cada uno con roles y responsabilidades definidos:</w:t>
      </w:r>
    </w:p>
    <w:p>
      <w:pPr/>
      <w:r>
        <w:rPr>
          <w:b/>
          <w:rFonts w:ascii="Calibri" w:hAnsi="Calibri"/>
          <w:sz w:val="22"/>
          <w:szCs w:val="22"/>
        </w:rPr>
        <w:t xml:space="preserve">D.1 Mapa de Actores Clave</w:t>
      </w:r>
    </w:p>
    <w:p>
      <w:pPr/>
      <w:r>
        <w:rPr>
          <w:b/>
          <w:rFonts w:ascii="Calibri" w:hAnsi="Calibri"/>
          <w:sz w:val="22"/>
          <w:szCs w:val="22"/>
        </w:rPr>
        <w:t xml:space="preserve">APROBACIÓN DEL DOCUMENTO</w:t>
      </w:r>
    </w:p>
    <w:p>
      <w:pPr/>
      <w:r>
        <w:rPr>
          <w:rFonts w:ascii="Calibri" w:hAnsi="Calibri"/>
          <w:sz w:val="22"/>
          <w:szCs w:val="22"/>
        </w:rPr>
        <w:t xml:space="preserve">Nota de validación: Las firmas en este documento pueden ser electrónicas (DocuSign, Adobe Sign) o manuscritas escaneadas. El documento requiere al menos dos firmas para su aprobación formal: (1) Project Lead o Director de Proyecto, y (2) un Ingeniero Técnico (Eléctrico, Ambiental o de Sistemas). Las firmas electrónicas tienen plena validez legal según la Ley 527 de 1999 (Colombia).</w:t>
      </w:r>
    </w:p>
    <w:p>
      <w:pPr/>
      <w:r>
        <w:rPr>
          <w:rFonts w:ascii="Calibri" w:hAnsi="Calibri"/>
          <w:sz w:val="22"/>
          <w:szCs w:val="22"/>
        </w:rPr>
        <w:t xml:space="preserve">_______________________________</w:t>
      </w:r>
    </w:p>
    <w:p>
      <w:pPr/>
      <w:r>
        <w:rPr>
          <w:rFonts w:ascii="Calibri" w:hAnsi="Calibri"/>
          <w:sz w:val="22"/>
          <w:szCs w:val="22"/>
        </w:rPr>
        <w:t xml:space="preserve">_______________________________</w:t>
      </w:r>
    </w:p>
    <w:p>
      <w:pPr/>
      <w:r>
        <w:rPr>
          <w:rFonts w:ascii="Calibri" w:hAnsi="Calibri"/>
          <w:sz w:val="22"/>
          <w:szCs w:val="22"/>
        </w:rPr>
        <w:t xml:space="preserve">_______________________________</w:t>
      </w:r>
    </w:p>
    <w:p>
      <w:pPr/>
      <w:r>
        <w:rPr>
          <w:rFonts w:ascii="Calibri" w:hAnsi="Calibri"/>
          <w:sz w:val="22"/>
          <w:szCs w:val="22"/>
        </w:rPr>
        <w:t xml:space="preserve">_______________________________</w:t>
      </w:r>
    </w:p>
    <w:p>
      <w:pPr/>
      <w:r>
        <w:rPr>
          <w:rFonts w:ascii="Calibri" w:hAnsi="Calibri"/>
          <w:sz w:val="22"/>
          <w:szCs w:val="22"/>
        </w:rPr>
        <w:t xml:space="preserve">Fecha: _________________________</w:t>
      </w:r>
    </w:p>
    <w:p>
      <w:pPr/>
      <w:r>
        <w:rPr>
          <w:rFonts w:ascii="Calibri" w:hAnsi="Calibri"/>
          <w:sz w:val="22"/>
          <w:szCs w:val="22"/>
        </w:rPr>
        <w:t xml:space="preserve">Director de Proyecto — Project Lead</w:t>
      </w:r>
    </w:p>
    <w:p>
      <w:pPr/>
      <w:r>
        <w:rPr>
          <w:rFonts w:ascii="Calibri" w:hAnsi="Calibri"/>
          <w:sz w:val="22"/>
          <w:szCs w:val="22"/>
        </w:rPr>
        <w:t xml:space="preserve"/>
      </w:r>
    </w:p>
    <w:p>
      <w:pPr/>
      <w:r>
        <w:rPr>
          <w:rFonts w:ascii="Calibri" w:hAnsi="Calibri"/>
          <w:sz w:val="22"/>
          <w:szCs w:val="22"/>
        </w:rPr>
        <w:t xml:space="preserve">Fecha: _________________________</w:t>
      </w:r>
    </w:p>
    <w:p>
      <w:pPr/>
      <w:r>
        <w:rPr>
          <w:rFonts w:ascii="Calibri" w:hAnsi="Calibri"/>
          <w:sz w:val="22"/>
          <w:szCs w:val="22"/>
        </w:rPr>
        <w:t xml:space="preserve">Sociólogo — Enlace Comunitario</w:t>
      </w:r>
    </w:p>
    <w:p>
      <w:pPr/>
      <w:r>
        <w:rPr>
          <w:rFonts w:ascii="Calibri" w:hAnsi="Calibri"/>
          <w:sz w:val="22"/>
          <w:szCs w:val="22"/>
        </w:rPr>
        <w:t xml:space="preserve">Rubén D. Botero</w:t>
      </w:r>
    </w:p>
    <w:p>
      <w:pPr/>
      <w:r>
        <w:rPr>
          <w:rFonts w:ascii="Calibri" w:hAnsi="Calibri"/>
          <w:sz w:val="22"/>
          <w:szCs w:val="22"/>
        </w:rPr>
        <w:t xml:space="preserve"/>
      </w:r>
    </w:p>
    <w:p>
      <w:pPr/>
      <w:r>
        <w:rPr>
          <w:rFonts w:ascii="Calibri" w:hAnsi="Calibri"/>
          <w:sz w:val="22"/>
          <w:szCs w:val="22"/>
        </w:rPr>
        <w:t xml:space="preserve">Fecha: _________________________</w:t>
      </w:r>
    </w:p>
    <w:p>
      <w:pPr/>
      <w:r>
        <w:rPr>
          <w:rFonts w:ascii="Calibri" w:hAnsi="Calibri"/>
          <w:sz w:val="22"/>
          <w:szCs w:val="22"/>
        </w:rPr>
        <w:t xml:space="preserve">Economista — Analista de Viabilidad</w:t>
      </w:r>
    </w:p>
    <w:p>
      <w:pPr/>
      <w:r>
        <w:rPr>
          <w:rFonts w:ascii="Calibri" w:hAnsi="Calibri"/>
          <w:sz w:val="22"/>
          <w:szCs w:val="22"/>
        </w:rPr>
        <w:t xml:space="preserve">Hugo A. Isaza</w:t>
      </w:r>
    </w:p>
    <w:p>
      <w:pPr/>
      <w:r>
        <w:rPr>
          <w:rFonts w:ascii="Calibri" w:hAnsi="Calibri"/>
          <w:sz w:val="22"/>
          <w:szCs w:val="22"/>
        </w:rPr>
        <w:t xml:space="preserve"/>
      </w:r>
    </w:p>
    <w:p>
      <w:pPr/>
      <w:r>
        <w:rPr>
          <w:rFonts w:ascii="Calibri" w:hAnsi="Calibri"/>
          <w:sz w:val="22"/>
          <w:szCs w:val="22"/>
        </w:rPr>
        <w:t xml:space="preserve">Fecha: _________________________</w:t>
      </w:r>
    </w:p>
    <w:p>
      <w:pPr/>
      <w:r>
        <w:rPr>
          <w:rFonts w:ascii="Calibri" w:hAnsi="Calibri"/>
          <w:sz w:val="22"/>
          <w:szCs w:val="22"/>
        </w:rPr>
        <w:t xml:space="preserve">Ingeniero Ambiental — Especialista en Sostenibilidad</w:t>
      </w:r>
    </w:p>
    <w:p>
      <w:pPr/>
      <w:r>
        <w:rPr>
          <w:rFonts w:ascii="Calibri" w:hAnsi="Calibri"/>
          <w:sz w:val="22"/>
          <w:szCs w:val="22"/>
        </w:rPr>
        <w:t xml:space="preserve">Bertulfo Pérez</w:t>
      </w:r>
    </w:p>
    <w:p>
      <w:pPr/>
      <w:r>
        <w:rPr>
          <w:rFonts w:ascii="Calibri" w:hAnsi="Calibri"/>
          <w:sz w:val="22"/>
          <w:szCs w:val="22"/>
        </w:rPr>
        <w:t xml:space="preserve"/>
      </w:r>
    </w:p>
    <w:p>
      <w:pPr/>
      <w:r>
        <w:rPr>
          <w:rFonts w:ascii="Calibri" w:hAnsi="Calibri"/>
          <w:sz w:val="22"/>
          <w:szCs w:val="22"/>
        </w:rPr>
        <w:t xml:space="preserve">Fecha: _________________________</w:t>
      </w:r>
    </w:p>
    <w:p>
      <w:pPr/>
      <w:r>
        <w:rPr>
          <w:rFonts w:ascii="Calibri" w:hAnsi="Calibri"/>
          <w:sz w:val="22"/>
          <w:szCs w:val="22"/>
        </w:rPr>
        <w:t xml:space="preserve">Ingeniero Eléctrico — Líder Técnico</w:t>
      </w:r>
    </w:p>
    <w:p>
      <w:pPr/>
      <w:r>
        <w:rPr>
          <w:rFonts w:ascii="Calibri" w:hAnsi="Calibri"/>
          <w:sz w:val="22"/>
          <w:szCs w:val="22"/>
        </w:rPr>
        <w:t xml:space="preserve">Alejandro Ochoa</w:t>
      </w:r>
    </w:p>
    <w:p>
      <w:pPr/>
      <w:r>
        <w:rPr>
          <w:rFonts w:ascii="Calibri" w:hAnsi="Calibri"/>
          <w:sz w:val="22"/>
          <w:szCs w:val="22"/>
        </w:rPr>
        <w:t xml:space="preserve">_______________________________</w:t>
      </w:r>
    </w:p>
    <w:p>
      <w:pPr/>
      <w:r>
        <w:rPr>
          <w:rFonts w:ascii="Calibri" w:hAnsi="Calibri"/>
          <w:sz w:val="22"/>
          <w:szCs w:val="22"/>
        </w:rPr>
        <w:t xml:space="preserve"/>
      </w:r>
    </w:p>
    <w:p>
      <w:pPr/>
      <w:r>
        <w:rPr>
          <w:rFonts w:ascii="Calibri" w:hAnsi="Calibri"/>
          <w:sz w:val="22"/>
          <w:szCs w:val="22"/>
        </w:rPr>
        <w:t>Este documento constituye la Propuesta Técnica de Ingeniería versión 2.4 del sistema AQUA-8 AMDS y ha sido revisado y aprobado por el equipo de ingeniería y la dirección del proyecto.</w:t>
      </w:r>
    </w:p>
    <w:bookmarkEnd w:id="113"/>
    <w:bookmarkEnd w:id="11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3.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footer" Target="footer2.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2026-07-07T11:37:33Z</dcterms:created>
  <dcterms:modified xsi:type="dcterms:W3CDTF">2026-07-07T11:37:33Z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chdtjacc44pvhurl10-19f3901e-1542-8ae1-8000-0981d4a008a9-20260707113734","ReservedCode1":"","ContentPropagator":"001191110108MACG2KBH8F20000","PropagateID":"d7chdtjacc44pvhurl10-19f3901e-1542-8ae1-8000-0981d4a008a9-20260707113734","ReservedCode2":""}</vt:lpwstr>
  </property>
</Properties>
</file>