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A0ADAC" w14:textId="77777777" w:rsidR="00F93385" w:rsidRDefault="00886F70" w:rsidP="00886F70">
      <w:pPr>
        <w:jc w:val="center"/>
        <w:rPr>
          <w:rFonts w:ascii="Arial" w:hAnsi="Arial" w:cs="Arial"/>
          <w:b/>
          <w:sz w:val="52"/>
        </w:rPr>
      </w:pPr>
      <w:r w:rsidRPr="00886F70">
        <w:rPr>
          <w:rFonts w:ascii="Arial" w:hAnsi="Arial" w:cs="Arial"/>
          <w:b/>
          <w:sz w:val="52"/>
        </w:rPr>
        <w:t>UNIVERSIDAD NACIONAL AUTONOMA DE MEXICO</w:t>
      </w:r>
    </w:p>
    <w:p w14:paraId="31339306" w14:textId="77777777" w:rsidR="00886F70" w:rsidRDefault="00886F70" w:rsidP="00886F70">
      <w:pPr>
        <w:jc w:val="center"/>
        <w:rPr>
          <w:rFonts w:ascii="Arial" w:hAnsi="Arial" w:cs="Arial"/>
          <w:b/>
          <w:sz w:val="52"/>
        </w:rPr>
      </w:pPr>
    </w:p>
    <w:p w14:paraId="229C2A78" w14:textId="77777777" w:rsidR="00886F70" w:rsidRDefault="00886F70" w:rsidP="00886F70">
      <w:pPr>
        <w:jc w:val="center"/>
        <w:rPr>
          <w:rFonts w:ascii="Arial" w:hAnsi="Arial" w:cs="Arial"/>
          <w:b/>
          <w:sz w:val="28"/>
        </w:rPr>
      </w:pPr>
      <w:r>
        <w:rPr>
          <w:rFonts w:ascii="Arial" w:hAnsi="Arial" w:cs="Arial"/>
          <w:b/>
          <w:sz w:val="28"/>
        </w:rPr>
        <w:t>FACULTAD DE CIENCIAS</w:t>
      </w:r>
    </w:p>
    <w:p w14:paraId="5C15F68A" w14:textId="77777777" w:rsidR="00886F70" w:rsidRDefault="00886F70" w:rsidP="00886F70">
      <w:pPr>
        <w:jc w:val="center"/>
        <w:rPr>
          <w:rFonts w:ascii="Arial" w:hAnsi="Arial" w:cs="Arial"/>
          <w:b/>
          <w:sz w:val="28"/>
        </w:rPr>
      </w:pPr>
      <w:r>
        <w:rPr>
          <w:rFonts w:ascii="Arial" w:hAnsi="Arial" w:cs="Arial"/>
          <w:b/>
          <w:sz w:val="28"/>
        </w:rPr>
        <w:t>DEMOGRAFIA</w:t>
      </w:r>
    </w:p>
    <w:p w14:paraId="519FE7C5" w14:textId="77777777" w:rsidR="00886F70" w:rsidRDefault="00886F70" w:rsidP="00886F70">
      <w:pPr>
        <w:jc w:val="center"/>
        <w:rPr>
          <w:rFonts w:ascii="Arial" w:hAnsi="Arial" w:cs="Arial"/>
          <w:b/>
          <w:sz w:val="28"/>
        </w:rPr>
      </w:pPr>
      <w:r>
        <w:rPr>
          <w:rFonts w:ascii="Arial" w:hAnsi="Arial" w:cs="Arial"/>
          <w:b/>
          <w:sz w:val="28"/>
        </w:rPr>
        <w:t>LABORATORIO 3</w:t>
      </w:r>
      <w:bookmarkStart w:id="0" w:name="_GoBack"/>
      <w:bookmarkEnd w:id="0"/>
    </w:p>
    <w:p w14:paraId="7E8B5006" w14:textId="79ABAB20" w:rsidR="00886F70" w:rsidRDefault="00DC5CA5" w:rsidP="00886F70">
      <w:pPr>
        <w:jc w:val="center"/>
        <w:rPr>
          <w:rFonts w:ascii="Arial" w:hAnsi="Arial" w:cs="Arial"/>
          <w:b/>
          <w:sz w:val="28"/>
        </w:rPr>
      </w:pPr>
      <w:r>
        <w:rPr>
          <w:rFonts w:ascii="Arial" w:hAnsi="Arial" w:cs="Arial"/>
          <w:b/>
          <w:sz w:val="28"/>
        </w:rPr>
        <w:t>Tultitlán</w:t>
      </w:r>
    </w:p>
    <w:p w14:paraId="4189DFC1" w14:textId="77777777" w:rsidR="00886F70" w:rsidRDefault="00886F70" w:rsidP="00886F70">
      <w:pPr>
        <w:jc w:val="center"/>
        <w:rPr>
          <w:rFonts w:ascii="Arial" w:hAnsi="Arial" w:cs="Arial"/>
          <w:b/>
          <w:sz w:val="28"/>
        </w:rPr>
      </w:pPr>
    </w:p>
    <w:p w14:paraId="6159C667" w14:textId="77777777" w:rsidR="00886F70" w:rsidRDefault="00886F70" w:rsidP="00886F70">
      <w:pPr>
        <w:jc w:val="center"/>
        <w:rPr>
          <w:rFonts w:ascii="Arial" w:hAnsi="Arial" w:cs="Arial"/>
          <w:b/>
          <w:sz w:val="28"/>
        </w:rPr>
      </w:pPr>
      <w:r>
        <w:rPr>
          <w:rFonts w:ascii="Arial" w:hAnsi="Arial" w:cs="Arial"/>
          <w:b/>
          <w:sz w:val="28"/>
        </w:rPr>
        <w:t>CAMACHO MEJIA ALEJANDRO AIMAR</w:t>
      </w:r>
    </w:p>
    <w:p w14:paraId="4C1D4EB6" w14:textId="762A69B5" w:rsidR="00886F70" w:rsidRDefault="00DC5CA5" w:rsidP="00886F70">
      <w:pPr>
        <w:jc w:val="center"/>
        <w:rPr>
          <w:rFonts w:ascii="Arial" w:hAnsi="Arial" w:cs="Arial"/>
          <w:b/>
          <w:sz w:val="28"/>
        </w:rPr>
      </w:pPr>
      <w:r>
        <w:rPr>
          <w:noProof/>
          <w:lang w:eastAsia="es-MX"/>
        </w:rPr>
        <w:drawing>
          <wp:anchor distT="0" distB="0" distL="114300" distR="114300" simplePos="0" relativeHeight="251674112" behindDoc="0" locked="0" layoutInCell="1" allowOverlap="1" wp14:anchorId="03233102" wp14:editId="54264D46">
            <wp:simplePos x="0" y="0"/>
            <wp:positionH relativeFrom="margin">
              <wp:align>right</wp:align>
            </wp:positionH>
            <wp:positionV relativeFrom="margin">
              <wp:posOffset>3698240</wp:posOffset>
            </wp:positionV>
            <wp:extent cx="5612130" cy="3741420"/>
            <wp:effectExtent l="0" t="0" r="7620" b="0"/>
            <wp:wrapSquare wrapText="bothSides"/>
            <wp:docPr id="33" name="Imagen 33" descr="Por Amor a Tulti – Asociación Civil – Tultitlán, Edo. de Mexico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or Amor a Tulti – Asociación Civil – Tultitlán, Edo. de Mexico 20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anchor>
        </w:drawing>
      </w:r>
    </w:p>
    <w:p w14:paraId="1B61682C" w14:textId="308840CB" w:rsidR="00886F70" w:rsidRDefault="00886F70" w:rsidP="00886F70">
      <w:pPr>
        <w:jc w:val="center"/>
        <w:rPr>
          <w:rFonts w:ascii="Arial" w:hAnsi="Arial" w:cs="Arial"/>
          <w:b/>
          <w:sz w:val="28"/>
        </w:rPr>
      </w:pPr>
    </w:p>
    <w:p w14:paraId="3D0C2D17" w14:textId="1D43CDA7" w:rsidR="00886F70" w:rsidRDefault="00886F70" w:rsidP="00DC5CA5">
      <w:pPr>
        <w:rPr>
          <w:rFonts w:ascii="Arial" w:hAnsi="Arial" w:cs="Arial"/>
          <w:b/>
          <w:sz w:val="28"/>
        </w:rPr>
      </w:pPr>
    </w:p>
    <w:p w14:paraId="172A928A" w14:textId="77777777" w:rsidR="00886F70" w:rsidRDefault="00886F70" w:rsidP="00886F70">
      <w:pPr>
        <w:jc w:val="center"/>
        <w:rPr>
          <w:rFonts w:ascii="Arial" w:hAnsi="Arial" w:cs="Arial"/>
          <w:b/>
          <w:sz w:val="28"/>
        </w:rPr>
      </w:pPr>
      <w:r>
        <w:rPr>
          <w:rFonts w:ascii="Arial" w:hAnsi="Arial" w:cs="Arial"/>
          <w:b/>
          <w:sz w:val="28"/>
        </w:rPr>
        <w:lastRenderedPageBreak/>
        <w:t>MEDIDAS DE MORTALIDAD</w:t>
      </w:r>
    </w:p>
    <w:p w14:paraId="57448109" w14:textId="77777777" w:rsidR="00886F70" w:rsidRDefault="00886F70" w:rsidP="00886F70">
      <w:pPr>
        <w:jc w:val="center"/>
        <w:rPr>
          <w:rFonts w:ascii="Arial" w:hAnsi="Arial" w:cs="Arial"/>
          <w:b/>
          <w:sz w:val="28"/>
        </w:rPr>
      </w:pPr>
    </w:p>
    <w:p w14:paraId="7A172C5A" w14:textId="77777777" w:rsidR="00886F70" w:rsidRPr="00886F70" w:rsidRDefault="00886F70" w:rsidP="00886F70">
      <w:pPr>
        <w:jc w:val="center"/>
        <w:rPr>
          <w:rFonts w:ascii="Arial" w:hAnsi="Arial" w:cs="Arial"/>
        </w:rPr>
      </w:pPr>
      <w:r w:rsidRPr="00886F70">
        <w:rPr>
          <w:rFonts w:ascii="Arial" w:hAnsi="Arial" w:cs="Arial"/>
        </w:rPr>
        <w:t>Las medidas de mortalidad son aquellos indicadores que nos permiten estudiar la frecuencia y la distribución de las muertes en una población. Nos ayudan a entender la salud general de una población, los efectos de enfermedades y las condiciones de vida. En este caso, analizaremos la población de Tultitlán en el Estado de México.</w:t>
      </w:r>
    </w:p>
    <w:p w14:paraId="660D8316" w14:textId="77777777" w:rsidR="00886F70" w:rsidRDefault="00886F70" w:rsidP="00886F70">
      <w:pPr>
        <w:jc w:val="center"/>
        <w:rPr>
          <w:rFonts w:ascii="Arial" w:hAnsi="Arial" w:cs="Arial"/>
        </w:rPr>
      </w:pPr>
      <w:r w:rsidRPr="00886F70">
        <w:rPr>
          <w:rFonts w:ascii="Arial" w:hAnsi="Arial" w:cs="Arial"/>
        </w:rPr>
        <w:t>En este reporte se presentan 5 medidas de mortalidad, utilizando información de defunciones del INEGI para los años 2010 y 2020, tanto en hombres como en mujeres, desde los 0 años hasta 85 años y más.</w:t>
      </w:r>
    </w:p>
    <w:p w14:paraId="2F6ACFB7" w14:textId="77777777" w:rsidR="00886F70" w:rsidRDefault="00886F70" w:rsidP="00886F70">
      <w:pPr>
        <w:jc w:val="center"/>
        <w:rPr>
          <w:rFonts w:ascii="Arial" w:hAnsi="Arial" w:cs="Arial"/>
        </w:rPr>
      </w:pPr>
      <w:r w:rsidRPr="00886F70">
        <w:rPr>
          <w:rFonts w:ascii="Arial" w:hAnsi="Arial" w:cs="Arial"/>
        </w:rPr>
        <w:drawing>
          <wp:anchor distT="0" distB="0" distL="114300" distR="114300" simplePos="0" relativeHeight="251658752" behindDoc="0" locked="0" layoutInCell="1" allowOverlap="1" wp14:anchorId="06143998" wp14:editId="50F23A09">
            <wp:simplePos x="0" y="0"/>
            <wp:positionH relativeFrom="margin">
              <wp:align>right</wp:align>
            </wp:positionH>
            <wp:positionV relativeFrom="margin">
              <wp:posOffset>2401570</wp:posOffset>
            </wp:positionV>
            <wp:extent cx="5612130" cy="4388485"/>
            <wp:effectExtent l="0" t="0" r="762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612130" cy="4388485"/>
                    </a:xfrm>
                    <a:prstGeom prst="rect">
                      <a:avLst/>
                    </a:prstGeom>
                  </pic:spPr>
                </pic:pic>
              </a:graphicData>
            </a:graphic>
          </wp:anchor>
        </w:drawing>
      </w:r>
    </w:p>
    <w:p w14:paraId="2FAF6876" w14:textId="77777777" w:rsidR="00886F70" w:rsidRDefault="00886F70" w:rsidP="00886F70">
      <w:pPr>
        <w:jc w:val="center"/>
        <w:rPr>
          <w:rFonts w:ascii="Arial" w:hAnsi="Arial" w:cs="Arial"/>
        </w:rPr>
      </w:pPr>
    </w:p>
    <w:p w14:paraId="77474D8E" w14:textId="77777777" w:rsidR="00886F70" w:rsidRDefault="00886F70" w:rsidP="00886F70">
      <w:pPr>
        <w:rPr>
          <w:rFonts w:ascii="Arial" w:hAnsi="Arial" w:cs="Arial"/>
        </w:rPr>
      </w:pPr>
      <w:r>
        <w:rPr>
          <w:rFonts w:ascii="Arial" w:hAnsi="Arial" w:cs="Arial"/>
        </w:rPr>
        <w:t>A continuación, presento las 5 tasas distintas con sus explicaciones de cada una basándome en información de mi municipio “Tultitlan”.</w:t>
      </w:r>
    </w:p>
    <w:p w14:paraId="057746DD" w14:textId="77777777" w:rsidR="00886F70" w:rsidRDefault="00886F70" w:rsidP="00886F70">
      <w:pPr>
        <w:rPr>
          <w:rFonts w:ascii="Arial" w:hAnsi="Arial" w:cs="Arial"/>
        </w:rPr>
      </w:pPr>
    </w:p>
    <w:p w14:paraId="4BE62C94" w14:textId="77777777" w:rsidR="00886F70" w:rsidRDefault="00886F70" w:rsidP="00886F70">
      <w:pPr>
        <w:rPr>
          <w:rFonts w:ascii="Arial" w:hAnsi="Arial" w:cs="Arial"/>
        </w:rPr>
      </w:pPr>
    </w:p>
    <w:p w14:paraId="58490E9E" w14:textId="77777777" w:rsidR="00886F70" w:rsidRDefault="00886F70" w:rsidP="00886F70">
      <w:pPr>
        <w:rPr>
          <w:rFonts w:ascii="Arial" w:hAnsi="Arial" w:cs="Arial"/>
        </w:rPr>
      </w:pPr>
    </w:p>
    <w:p w14:paraId="05C2AFF9" w14:textId="77777777" w:rsidR="00886F70" w:rsidRDefault="00886F70" w:rsidP="00886F70">
      <w:pPr>
        <w:rPr>
          <w:rFonts w:ascii="Arial" w:hAnsi="Arial" w:cs="Arial"/>
          <w:b/>
          <w:sz w:val="28"/>
        </w:rPr>
      </w:pPr>
      <w:r w:rsidRPr="00886F70">
        <w:rPr>
          <w:rFonts w:ascii="Arial" w:hAnsi="Arial" w:cs="Arial"/>
          <w:b/>
          <w:sz w:val="28"/>
        </w:rPr>
        <w:lastRenderedPageBreak/>
        <w:t>TASA BRUTA DE MORTALIDAD</w:t>
      </w:r>
    </w:p>
    <w:p w14:paraId="18E59E81" w14:textId="77777777" w:rsidR="00886F70" w:rsidRPr="00886F70" w:rsidRDefault="00886F70" w:rsidP="00886F70">
      <w:pPr>
        <w:rPr>
          <w:rFonts w:ascii="Arial" w:hAnsi="Arial" w:cs="Arial"/>
          <w:b/>
          <w:sz w:val="2"/>
        </w:rPr>
      </w:pPr>
    </w:p>
    <w:p w14:paraId="3BFE736F" w14:textId="77777777" w:rsidR="00886F70" w:rsidRDefault="00886F70" w:rsidP="00886F70">
      <w:pPr>
        <w:rPr>
          <w:rFonts w:ascii="Arial" w:hAnsi="Arial" w:cs="Arial"/>
        </w:rPr>
      </w:pPr>
      <w:r w:rsidRPr="00886F70">
        <w:rPr>
          <w:rFonts w:ascii="Arial" w:hAnsi="Arial" w:cs="Arial"/>
        </w:rPr>
        <w:t>Esta tasa indica el número de personas que mueren dentro de la población por cada 1,000 habitantes en un año.</w:t>
      </w:r>
      <w:r w:rsidR="00DA5206">
        <w:rPr>
          <w:rFonts w:ascii="Arial" w:hAnsi="Arial" w:cs="Arial"/>
        </w:rPr>
        <w:t xml:space="preserve"> Se calcula de la siguiente manera:</w:t>
      </w:r>
    </w:p>
    <w:p w14:paraId="2B9F487C" w14:textId="77777777" w:rsidR="00886F70" w:rsidRDefault="00886F70" w:rsidP="00886F70">
      <w:pPr>
        <w:rPr>
          <w:rFonts w:ascii="Arial" w:hAnsi="Arial" w:cs="Arial"/>
        </w:rPr>
      </w:pPr>
      <w:r w:rsidRPr="00886F70">
        <w:rPr>
          <w:rFonts w:ascii="Arial" w:hAnsi="Arial" w:cs="Arial"/>
        </w:rPr>
        <w:drawing>
          <wp:inline distT="0" distB="0" distL="0" distR="0" wp14:anchorId="5BF333D1" wp14:editId="1C17BFA8">
            <wp:extent cx="4696480" cy="1171739"/>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96480" cy="1171739"/>
                    </a:xfrm>
                    <a:prstGeom prst="rect">
                      <a:avLst/>
                    </a:prstGeom>
                  </pic:spPr>
                </pic:pic>
              </a:graphicData>
            </a:graphic>
          </wp:inline>
        </w:drawing>
      </w:r>
    </w:p>
    <w:p w14:paraId="18AC8AC0" w14:textId="77777777" w:rsidR="00886F70" w:rsidRDefault="00DA5206" w:rsidP="00886F70">
      <w:pPr>
        <w:rPr>
          <w:rFonts w:ascii="Arial" w:hAnsi="Arial" w:cs="Arial"/>
        </w:rPr>
      </w:pPr>
      <w:r>
        <w:rPr>
          <w:rFonts w:ascii="Arial" w:hAnsi="Arial" w:cs="Arial"/>
        </w:rPr>
        <w:t>Para nuestra población tenemos que:</w:t>
      </w:r>
    </w:p>
    <w:p w14:paraId="2E53A917" w14:textId="77777777" w:rsidR="00DA5206" w:rsidRDefault="00DA5206" w:rsidP="00DA5206">
      <w:pPr>
        <w:jc w:val="center"/>
        <w:rPr>
          <w:rFonts w:ascii="Arial" w:hAnsi="Arial" w:cs="Arial"/>
        </w:rPr>
      </w:pPr>
      <w:r w:rsidRPr="00DA5206">
        <w:rPr>
          <w:rFonts w:ascii="Arial" w:hAnsi="Arial" w:cs="Arial"/>
        </w:rPr>
        <w:drawing>
          <wp:inline distT="0" distB="0" distL="0" distR="0" wp14:anchorId="562044A1" wp14:editId="2EF5C1F6">
            <wp:extent cx="2810267" cy="905001"/>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10267" cy="905001"/>
                    </a:xfrm>
                    <a:prstGeom prst="rect">
                      <a:avLst/>
                    </a:prstGeom>
                  </pic:spPr>
                </pic:pic>
              </a:graphicData>
            </a:graphic>
          </wp:inline>
        </w:drawing>
      </w:r>
    </w:p>
    <w:p w14:paraId="5A8A99D1" w14:textId="77777777" w:rsidR="00DA5206" w:rsidRPr="00DA5206" w:rsidRDefault="00DA5206" w:rsidP="00DA5206">
      <w:pPr>
        <w:rPr>
          <w:rFonts w:ascii="Arial" w:hAnsi="Arial" w:cs="Arial"/>
        </w:rPr>
      </w:pPr>
      <w:r w:rsidRPr="00DA5206">
        <w:rPr>
          <w:rFonts w:ascii="Arial" w:hAnsi="Arial" w:cs="Arial"/>
        </w:rPr>
        <w:t>En 2010, por cada 1,000 hombres habitantes en Tultitlán, fallecieron aproximadamente 2 hombres, mientras que por cada 1,000 mujeres habitantes falleció aproximadamente 1 mujer. Estas cifras son relativamente bajas, lo que sugiere una población joven y c</w:t>
      </w:r>
      <w:r>
        <w:rPr>
          <w:rFonts w:ascii="Arial" w:hAnsi="Arial" w:cs="Arial"/>
        </w:rPr>
        <w:t>ondiciones de salud favorables.</w:t>
      </w:r>
    </w:p>
    <w:p w14:paraId="123BC530" w14:textId="77777777" w:rsidR="00DA5206" w:rsidRDefault="00DA5206" w:rsidP="00DA5206">
      <w:pPr>
        <w:rPr>
          <w:rFonts w:ascii="Arial" w:hAnsi="Arial" w:cs="Arial"/>
        </w:rPr>
      </w:pPr>
      <w:r w:rsidRPr="00DA5206">
        <w:rPr>
          <w:rFonts w:ascii="Arial" w:hAnsi="Arial" w:cs="Arial"/>
        </w:rPr>
        <w:t>Para 2020, se observa un incremento significativo: por cada 1,000 hombres habitantes fallecieron aproximadamente 7 hombres, y por cada 1,000 mujeres habitantes fallecieron aproximadamente 4 mujeres. La tasa masculina se multiplicó por más de cuatro veces en comparación con 2010. Este aumento se atribuye principalmente al impacto de la pandemia por COVID-19, que afectó especialmente a los hombres y a municipios con alta densidad poblacional como Tultitlán</w:t>
      </w:r>
    </w:p>
    <w:p w14:paraId="1A08893F" w14:textId="77777777" w:rsidR="00DA5206" w:rsidRDefault="00DA5206" w:rsidP="00DA5206">
      <w:pPr>
        <w:rPr>
          <w:rFonts w:ascii="Arial" w:hAnsi="Arial" w:cs="Arial"/>
        </w:rPr>
      </w:pPr>
    </w:p>
    <w:p w14:paraId="34139B64" w14:textId="3DAD730B" w:rsidR="00DA5206" w:rsidRDefault="00DA5206" w:rsidP="00DA5206">
      <w:pPr>
        <w:rPr>
          <w:rFonts w:ascii="Arial" w:hAnsi="Arial" w:cs="Arial"/>
          <w:b/>
          <w:sz w:val="28"/>
        </w:rPr>
      </w:pPr>
      <w:r w:rsidRPr="00DA5206">
        <w:rPr>
          <w:rFonts w:ascii="Arial" w:hAnsi="Arial" w:cs="Arial"/>
          <w:b/>
          <w:sz w:val="28"/>
        </w:rPr>
        <w:t>Tasa de mortalidad por edad y sexo o Tasa especifica de mortalidad (TEM)</w:t>
      </w:r>
    </w:p>
    <w:p w14:paraId="42234C74" w14:textId="77777777" w:rsidR="00B80B2E" w:rsidRDefault="00B80B2E" w:rsidP="00DA5206">
      <w:pPr>
        <w:rPr>
          <w:rFonts w:ascii="Arial" w:hAnsi="Arial" w:cs="Arial"/>
          <w:b/>
          <w:sz w:val="28"/>
        </w:rPr>
      </w:pPr>
    </w:p>
    <w:p w14:paraId="6F3D2D7B" w14:textId="16D3D72A" w:rsidR="00DA5206" w:rsidRPr="00B80B2E" w:rsidRDefault="00DA5206" w:rsidP="00DA5206">
      <w:pPr>
        <w:rPr>
          <w:rFonts w:ascii="Arial" w:hAnsi="Arial" w:cs="Arial"/>
        </w:rPr>
      </w:pPr>
      <w:r w:rsidRPr="00B80B2E">
        <w:rPr>
          <w:rFonts w:ascii="Arial" w:hAnsi="Arial" w:cs="Arial"/>
        </w:rPr>
        <w:t>La tasa especifica de mortalidad nos indica la mortalidad de un grupo poblacional desagregada por edad y sexo. Se calcula de la siguiente manera:</w:t>
      </w:r>
    </w:p>
    <w:p w14:paraId="57F227F8" w14:textId="0C128305" w:rsidR="00B80B2E" w:rsidRDefault="00B80B2E" w:rsidP="00DA5206">
      <w:r w:rsidRPr="00B80B2E">
        <w:rPr>
          <w:rFonts w:ascii="Arial" w:hAnsi="Arial" w:cs="Arial"/>
          <w:b/>
          <w:sz w:val="28"/>
        </w:rPr>
        <w:drawing>
          <wp:inline distT="0" distB="0" distL="0" distR="0" wp14:anchorId="2212680D" wp14:editId="372E7385">
            <wp:extent cx="4734586" cy="1124107"/>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4586" cy="1124107"/>
                    </a:xfrm>
                    <a:prstGeom prst="rect">
                      <a:avLst/>
                    </a:prstGeom>
                  </pic:spPr>
                </pic:pic>
              </a:graphicData>
            </a:graphic>
          </wp:inline>
        </w:drawing>
      </w:r>
    </w:p>
    <w:p w14:paraId="3D391828" w14:textId="11F24CFE" w:rsidR="00B80B2E" w:rsidRDefault="00B80B2E" w:rsidP="00DA5206">
      <w:pPr>
        <w:rPr>
          <w:rFonts w:ascii="Arial" w:hAnsi="Arial" w:cs="Arial"/>
        </w:rPr>
      </w:pPr>
      <w:r w:rsidRPr="00B80B2E">
        <w:rPr>
          <w:rFonts w:ascii="Arial" w:hAnsi="Arial" w:cs="Arial"/>
        </w:rPr>
        <w:lastRenderedPageBreak/>
        <w:t>Para nuestra población tenemos que:</w:t>
      </w:r>
    </w:p>
    <w:p w14:paraId="17805616" w14:textId="77777777" w:rsidR="00B80B2E" w:rsidRPr="00B80B2E" w:rsidRDefault="00B80B2E" w:rsidP="00DA5206">
      <w:pPr>
        <w:rPr>
          <w:rFonts w:ascii="Arial" w:hAnsi="Arial" w:cs="Arial"/>
        </w:rPr>
      </w:pPr>
    </w:p>
    <w:p w14:paraId="645112C4" w14:textId="0228DDD8" w:rsidR="00B80B2E" w:rsidRDefault="00B80B2E" w:rsidP="00B80B2E">
      <w:pPr>
        <w:jc w:val="center"/>
      </w:pPr>
      <w:r w:rsidRPr="00B80B2E">
        <w:drawing>
          <wp:inline distT="0" distB="0" distL="0" distR="0" wp14:anchorId="625B215B" wp14:editId="5D1B7A1F">
            <wp:extent cx="3419952" cy="422969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19952" cy="4229690"/>
                    </a:xfrm>
                    <a:prstGeom prst="rect">
                      <a:avLst/>
                    </a:prstGeom>
                  </pic:spPr>
                </pic:pic>
              </a:graphicData>
            </a:graphic>
          </wp:inline>
        </w:drawing>
      </w:r>
    </w:p>
    <w:p w14:paraId="74D34E21" w14:textId="62BA0C9A" w:rsidR="00B80B2E" w:rsidRDefault="00B80B2E" w:rsidP="00B80B2E">
      <w:pPr>
        <w:jc w:val="center"/>
      </w:pPr>
    </w:p>
    <w:p w14:paraId="3C1DB1F3" w14:textId="12F9431A" w:rsidR="00B80B2E" w:rsidRPr="00B80B2E" w:rsidRDefault="00B80B2E" w:rsidP="00B80B2E">
      <w:pPr>
        <w:rPr>
          <w:rFonts w:ascii="Arial" w:hAnsi="Arial" w:cs="Arial"/>
        </w:rPr>
      </w:pPr>
      <w:r w:rsidRPr="00B80B2E">
        <w:rPr>
          <w:rFonts w:ascii="Arial" w:hAnsi="Arial" w:cs="Arial"/>
        </w:rPr>
        <w:t>En el grupo de menores de 1 año, la mortalidad pasó de 3 a 4 niños por cada 1,000 nacidos entre 2010 y 2020, y de 2 a 4 niñas, mostrando un ligero aumento que podría asociarse a afectaciones en los servicios de salud durante la pandemia.</w:t>
      </w:r>
    </w:p>
    <w:p w14:paraId="5A408307" w14:textId="77777777" w:rsidR="00B80B2E" w:rsidRPr="00B80B2E" w:rsidRDefault="00B80B2E" w:rsidP="00B80B2E">
      <w:pPr>
        <w:rPr>
          <w:rFonts w:ascii="Arial" w:hAnsi="Arial" w:cs="Arial"/>
        </w:rPr>
      </w:pPr>
      <w:r w:rsidRPr="00B80B2E">
        <w:rPr>
          <w:rFonts w:ascii="Arial" w:hAnsi="Arial" w:cs="Arial"/>
        </w:rPr>
        <w:t>Para los grupos de edad infantil y juvenil (1 a 24 años), las tasas son cercanas a cero, lo cual es característico de poblaciones con condiciones sanitarias adecuadas.</w:t>
      </w:r>
    </w:p>
    <w:p w14:paraId="3D55DFFC" w14:textId="5EAEC76A" w:rsidR="00B80B2E" w:rsidRPr="00B80B2E" w:rsidRDefault="00B80B2E" w:rsidP="00B80B2E">
      <w:pPr>
        <w:rPr>
          <w:rFonts w:ascii="Arial" w:hAnsi="Arial" w:cs="Arial"/>
        </w:rPr>
      </w:pPr>
      <w:r w:rsidRPr="00B80B2E">
        <w:rPr>
          <w:rFonts w:ascii="Arial" w:hAnsi="Arial" w:cs="Arial"/>
        </w:rPr>
        <w:t>A partir de los 45 años, las tasas comienzan a incrementarse progresivamente, y es en los adultos mayores (60 años y más) donde se concentran los valores más altos. Destaca el aumento en el grupo de 85 años y más, donde la tasa masculina pasó de 81 a 157 por cada 1,000 habitantes, reflejando el fuerte impacto de la pandemia en la población adulta mayor, especialmente en hombres.</w:t>
      </w:r>
    </w:p>
    <w:p w14:paraId="6E1290B0" w14:textId="59459D42" w:rsidR="00B80B2E" w:rsidRPr="00B80B2E" w:rsidRDefault="00B80B2E" w:rsidP="00B80B2E">
      <w:pPr>
        <w:rPr>
          <w:rFonts w:ascii="Arial" w:hAnsi="Arial" w:cs="Arial"/>
        </w:rPr>
      </w:pPr>
      <w:r w:rsidRPr="00B80B2E">
        <w:rPr>
          <w:rFonts w:ascii="Arial" w:hAnsi="Arial" w:cs="Arial"/>
        </w:rPr>
        <w:t>En todos los grupos etarios, los hombres presentan tasas de mortalidad superiores a las mujeres, y esta brecha se amplió en 2020.</w:t>
      </w:r>
    </w:p>
    <w:p w14:paraId="16825C4B" w14:textId="77777777" w:rsidR="00B80B2E" w:rsidRPr="00B80B2E" w:rsidRDefault="00B80B2E" w:rsidP="00B80B2E">
      <w:pPr>
        <w:rPr>
          <w:rFonts w:ascii="Arial" w:hAnsi="Arial" w:cs="Arial"/>
        </w:rPr>
      </w:pPr>
    </w:p>
    <w:p w14:paraId="577124B5" w14:textId="31734B1B" w:rsidR="00B80B2E" w:rsidRDefault="00B80B2E" w:rsidP="00DA5206">
      <w:pPr>
        <w:rPr>
          <w:rFonts w:ascii="Arial" w:hAnsi="Arial" w:cs="Arial"/>
          <w:b/>
          <w:sz w:val="28"/>
        </w:rPr>
      </w:pPr>
    </w:p>
    <w:p w14:paraId="2F151EBB" w14:textId="7667F327" w:rsidR="00B80B2E" w:rsidRDefault="00B80B2E" w:rsidP="00DA5206">
      <w:pPr>
        <w:rPr>
          <w:rFonts w:ascii="Arial" w:hAnsi="Arial" w:cs="Arial"/>
          <w:b/>
          <w:sz w:val="28"/>
        </w:rPr>
      </w:pPr>
      <w:r w:rsidRPr="00B80B2E">
        <w:rPr>
          <w:rFonts w:ascii="Arial" w:hAnsi="Arial" w:cs="Arial"/>
          <w:b/>
          <w:sz w:val="28"/>
        </w:rPr>
        <w:lastRenderedPageBreak/>
        <w:t>Tasa Tipificada de Mortalidad (TTM)</w:t>
      </w:r>
    </w:p>
    <w:p w14:paraId="0CE80D77" w14:textId="51BBA09B" w:rsidR="00B80B2E" w:rsidRDefault="00B80B2E" w:rsidP="00DA5206">
      <w:pPr>
        <w:rPr>
          <w:rFonts w:ascii="Arial" w:hAnsi="Arial" w:cs="Arial"/>
        </w:rPr>
      </w:pPr>
      <w:r w:rsidRPr="00B80B2E">
        <w:rPr>
          <w:rFonts w:ascii="Arial" w:hAnsi="Arial" w:cs="Arial"/>
        </w:rPr>
        <w:t>La tasa tipificada ajusta la mortalidad para eliminar el efecto de las diferentes estructuras por edades, permitiendo una comparación más justa entre periodos. Para Tultitlán, se calculó utilizando la población de 2010 como estándar.</w:t>
      </w:r>
      <w:r>
        <w:rPr>
          <w:rFonts w:ascii="Arial" w:hAnsi="Arial" w:cs="Arial"/>
        </w:rPr>
        <w:t xml:space="preserve"> Y se calcula de la siguiente manera:</w:t>
      </w:r>
    </w:p>
    <w:p w14:paraId="260D495B" w14:textId="2B3D20BD" w:rsidR="00B80B2E" w:rsidRDefault="00B80B2E" w:rsidP="00BD0115">
      <w:pPr>
        <w:rPr>
          <w:rFonts w:ascii="Arial" w:hAnsi="Arial" w:cs="Arial"/>
        </w:rPr>
      </w:pPr>
      <w:r w:rsidRPr="00B80B2E">
        <w:rPr>
          <w:rFonts w:ascii="Arial" w:hAnsi="Arial" w:cs="Arial"/>
        </w:rPr>
        <w:drawing>
          <wp:inline distT="0" distB="0" distL="0" distR="0" wp14:anchorId="10F0B5FA" wp14:editId="7D81FC87">
            <wp:extent cx="5191850" cy="1590897"/>
            <wp:effectExtent l="0" t="0" r="889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91850" cy="1590897"/>
                    </a:xfrm>
                    <a:prstGeom prst="rect">
                      <a:avLst/>
                    </a:prstGeom>
                  </pic:spPr>
                </pic:pic>
              </a:graphicData>
            </a:graphic>
          </wp:inline>
        </w:drawing>
      </w:r>
    </w:p>
    <w:p w14:paraId="631DB665" w14:textId="3C3B700B" w:rsidR="00BD0115" w:rsidRDefault="00BD0115" w:rsidP="00BD0115">
      <w:pPr>
        <w:rPr>
          <w:rFonts w:ascii="Arial" w:hAnsi="Arial" w:cs="Arial"/>
        </w:rPr>
      </w:pPr>
      <w:r>
        <w:rPr>
          <w:rFonts w:ascii="Arial" w:hAnsi="Arial" w:cs="Arial"/>
        </w:rPr>
        <w:t>Para nuestra población tenemos:</w:t>
      </w:r>
    </w:p>
    <w:p w14:paraId="4F462A84" w14:textId="0C87F1C2" w:rsidR="00BD0115" w:rsidRDefault="00BD0115" w:rsidP="00BD0115">
      <w:pPr>
        <w:jc w:val="center"/>
        <w:rPr>
          <w:rFonts w:ascii="Arial" w:hAnsi="Arial" w:cs="Arial"/>
        </w:rPr>
      </w:pPr>
      <w:r w:rsidRPr="00BD0115">
        <w:rPr>
          <w:rFonts w:ascii="Arial" w:hAnsi="Arial" w:cs="Arial"/>
        </w:rPr>
        <w:drawing>
          <wp:inline distT="0" distB="0" distL="0" distR="0" wp14:anchorId="32870A6A" wp14:editId="01A75C2E">
            <wp:extent cx="2838846" cy="600159"/>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38846" cy="600159"/>
                    </a:xfrm>
                    <a:prstGeom prst="rect">
                      <a:avLst/>
                    </a:prstGeom>
                  </pic:spPr>
                </pic:pic>
              </a:graphicData>
            </a:graphic>
          </wp:inline>
        </w:drawing>
      </w:r>
    </w:p>
    <w:p w14:paraId="565256EC" w14:textId="421C1687" w:rsidR="00BD0115" w:rsidRDefault="00BD0115" w:rsidP="00BD0115">
      <w:pPr>
        <w:jc w:val="center"/>
        <w:rPr>
          <w:rFonts w:ascii="Arial" w:hAnsi="Arial" w:cs="Arial"/>
        </w:rPr>
      </w:pPr>
    </w:p>
    <w:p w14:paraId="4A99162E" w14:textId="46E2D4DE" w:rsidR="00BD0115" w:rsidRDefault="00BD0115" w:rsidP="00BD0115">
      <w:pPr>
        <w:rPr>
          <w:rFonts w:ascii="Arial" w:hAnsi="Arial" w:cs="Arial"/>
        </w:rPr>
      </w:pPr>
      <w:r w:rsidRPr="00BD0115">
        <w:rPr>
          <w:rFonts w:ascii="Arial" w:hAnsi="Arial" w:cs="Arial"/>
        </w:rPr>
        <w:t>Si la estructura por edades de Tultitlán en 2020 fuera la misma que en 2010, por cada 1,000 habitantes fallecerían aproximadamente 2 hombres y 2 mujeres bajo las condiciones de mortalidad observadas. Estos valores son cercanos a las tasas brutas de 2010 (1.52 y 1.22), lo que indica que el aumento observado en las tasas brutas de 2020 (6.66 y 4.43) se debe en gran medida a cambios en la estructura por edades (envejecimiento poblacional) y al impacto extraordinario de la pandemia. La tasa tipificada permite aislar el efecto real de la mortalidad, mostrando que el riesgo base en Tultitlán se mantiene relativamente bajo.</w:t>
      </w:r>
    </w:p>
    <w:p w14:paraId="070D1D19" w14:textId="1D21F065" w:rsidR="00BD0115" w:rsidRDefault="00BD0115" w:rsidP="00BD0115">
      <w:pPr>
        <w:rPr>
          <w:rFonts w:ascii="Arial" w:hAnsi="Arial" w:cs="Arial"/>
        </w:rPr>
      </w:pPr>
    </w:p>
    <w:p w14:paraId="3A1021E4" w14:textId="37D8D91B" w:rsidR="00BD0115" w:rsidRDefault="00BD0115" w:rsidP="00BD0115">
      <w:pPr>
        <w:rPr>
          <w:rFonts w:ascii="Arial" w:hAnsi="Arial" w:cs="Arial"/>
          <w:b/>
          <w:sz w:val="28"/>
        </w:rPr>
      </w:pPr>
      <w:r w:rsidRPr="00BD0115">
        <w:rPr>
          <w:rFonts w:ascii="Arial" w:hAnsi="Arial" w:cs="Arial"/>
          <w:b/>
          <w:sz w:val="28"/>
        </w:rPr>
        <w:t>Tasa de Mortalidad Infantil</w:t>
      </w:r>
    </w:p>
    <w:p w14:paraId="150DC43E" w14:textId="4C2E336C" w:rsidR="00BD0115" w:rsidRPr="00BD0115" w:rsidRDefault="00BD0115" w:rsidP="00BD0115">
      <w:pPr>
        <w:rPr>
          <w:rFonts w:ascii="Arial" w:hAnsi="Arial" w:cs="Arial"/>
          <w:sz w:val="2"/>
        </w:rPr>
      </w:pPr>
    </w:p>
    <w:p w14:paraId="23779937" w14:textId="50D99555" w:rsidR="00BD0115" w:rsidRDefault="00BD0115" w:rsidP="00BD0115">
      <w:pPr>
        <w:rPr>
          <w:rFonts w:ascii="Arial" w:hAnsi="Arial" w:cs="Arial"/>
        </w:rPr>
      </w:pPr>
      <w:r w:rsidRPr="00BD0115">
        <w:rPr>
          <w:rFonts w:ascii="Arial" w:hAnsi="Arial" w:cs="Arial"/>
        </w:rPr>
        <w:t>La tasa de mortalidad infantil mide el número de defunciones de niños menores de un año por cada 1,000 nacidos vivos. Es un indicador sensible de las condiciones de salud, nutrición y bienestar infantil en una población.</w:t>
      </w:r>
      <w:r>
        <w:rPr>
          <w:rFonts w:ascii="Arial" w:hAnsi="Arial" w:cs="Arial"/>
        </w:rPr>
        <w:t xml:space="preserve"> Y se calcula de la siguiente manera:</w:t>
      </w:r>
    </w:p>
    <w:p w14:paraId="4642CFB2" w14:textId="056E8FD1" w:rsidR="00BD0115" w:rsidRDefault="00BD0115" w:rsidP="00BD0115">
      <w:pPr>
        <w:rPr>
          <w:rFonts w:ascii="Arial" w:hAnsi="Arial" w:cs="Arial"/>
        </w:rPr>
      </w:pPr>
      <w:r w:rsidRPr="00BD0115">
        <w:rPr>
          <w:rFonts w:ascii="Arial" w:hAnsi="Arial" w:cs="Arial"/>
        </w:rPr>
        <w:drawing>
          <wp:inline distT="0" distB="0" distL="0" distR="0" wp14:anchorId="731A979C" wp14:editId="5E372AB7">
            <wp:extent cx="4953691" cy="1171739"/>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53691" cy="1171739"/>
                    </a:xfrm>
                    <a:prstGeom prst="rect">
                      <a:avLst/>
                    </a:prstGeom>
                  </pic:spPr>
                </pic:pic>
              </a:graphicData>
            </a:graphic>
          </wp:inline>
        </w:drawing>
      </w:r>
    </w:p>
    <w:p w14:paraId="7D8FF686" w14:textId="2D7FF099" w:rsidR="00BD0115" w:rsidRDefault="00BD0115" w:rsidP="00BD0115">
      <w:pPr>
        <w:rPr>
          <w:rFonts w:ascii="Arial" w:hAnsi="Arial" w:cs="Arial"/>
        </w:rPr>
      </w:pPr>
      <w:r>
        <w:rPr>
          <w:rFonts w:ascii="Arial" w:hAnsi="Arial" w:cs="Arial"/>
        </w:rPr>
        <w:lastRenderedPageBreak/>
        <w:t>Para nuestra población tenemos que:</w:t>
      </w:r>
    </w:p>
    <w:p w14:paraId="203DE0CC" w14:textId="57953C85" w:rsidR="00BD0115" w:rsidRDefault="00BD0115" w:rsidP="00BD0115">
      <w:pPr>
        <w:jc w:val="center"/>
        <w:rPr>
          <w:rFonts w:ascii="Arial" w:hAnsi="Arial" w:cs="Arial"/>
        </w:rPr>
      </w:pPr>
      <w:r w:rsidRPr="00BD0115">
        <w:rPr>
          <w:rFonts w:ascii="Arial" w:hAnsi="Arial" w:cs="Arial"/>
        </w:rPr>
        <w:drawing>
          <wp:inline distT="0" distB="0" distL="0" distR="0" wp14:anchorId="361EE177" wp14:editId="59BC6DCB">
            <wp:extent cx="2791215" cy="1419423"/>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91215" cy="1419423"/>
                    </a:xfrm>
                    <a:prstGeom prst="rect">
                      <a:avLst/>
                    </a:prstGeom>
                  </pic:spPr>
                </pic:pic>
              </a:graphicData>
            </a:graphic>
          </wp:inline>
        </w:drawing>
      </w:r>
    </w:p>
    <w:p w14:paraId="133F908D" w14:textId="08993E67" w:rsidR="00FA0657" w:rsidRDefault="00FA0657" w:rsidP="00BD0115">
      <w:pPr>
        <w:jc w:val="center"/>
        <w:rPr>
          <w:rFonts w:ascii="Arial" w:hAnsi="Arial" w:cs="Arial"/>
        </w:rPr>
      </w:pPr>
    </w:p>
    <w:p w14:paraId="127BC685" w14:textId="4A01AFF4" w:rsidR="00FA0657" w:rsidRPr="00FA0657" w:rsidRDefault="00FA0657" w:rsidP="00FA0657">
      <w:pPr>
        <w:rPr>
          <w:rFonts w:ascii="Arial" w:hAnsi="Arial" w:cs="Arial"/>
        </w:rPr>
      </w:pPr>
      <w:r w:rsidRPr="00FA0657">
        <w:rPr>
          <w:rFonts w:ascii="Arial" w:hAnsi="Arial" w:cs="Arial"/>
        </w:rPr>
        <w:t>En 2010, por cada 1,000 niños nacidos vivos en Tultitlán, fallecían aproximadamente 13 niños y 9 niñas antes de cumplir un año, lo que arrojaba una t</w:t>
      </w:r>
      <w:r>
        <w:rPr>
          <w:rFonts w:ascii="Arial" w:hAnsi="Arial" w:cs="Arial"/>
        </w:rPr>
        <w:t>asa global de 10.87 muertes infa</w:t>
      </w:r>
      <w:r w:rsidRPr="00FA0657">
        <w:rPr>
          <w:rFonts w:ascii="Arial" w:hAnsi="Arial" w:cs="Arial"/>
        </w:rPr>
        <w:t>nti</w:t>
      </w:r>
      <w:r>
        <w:rPr>
          <w:rFonts w:ascii="Arial" w:hAnsi="Arial" w:cs="Arial"/>
        </w:rPr>
        <w:t>les por cada 1,000 nacimientos.</w:t>
      </w:r>
      <w:r w:rsidR="001E736C">
        <w:rPr>
          <w:rFonts w:ascii="Arial" w:hAnsi="Arial" w:cs="Arial"/>
        </w:rPr>
        <w:t xml:space="preserve"> </w:t>
      </w:r>
      <w:r w:rsidRPr="00FA0657">
        <w:rPr>
          <w:rFonts w:ascii="Arial" w:hAnsi="Arial" w:cs="Arial"/>
        </w:rPr>
        <w:t>Para 2020, la tasa global descendió a 7.48, lo que representa una reducción del 31% en una década. Esta disminución es significativa y sitúa a Tultitlán por debajo de la media nacional (que en 202</w:t>
      </w:r>
      <w:r>
        <w:rPr>
          <w:rFonts w:ascii="Arial" w:hAnsi="Arial" w:cs="Arial"/>
        </w:rPr>
        <w:t>0 era de aproximadamente 11.5).</w:t>
      </w:r>
    </w:p>
    <w:p w14:paraId="6B25DD7A" w14:textId="067A682A" w:rsidR="00FA0657" w:rsidRPr="00FA0657" w:rsidRDefault="00FA0657" w:rsidP="00FA0657">
      <w:pPr>
        <w:rPr>
          <w:rFonts w:ascii="Arial" w:hAnsi="Arial" w:cs="Arial"/>
        </w:rPr>
      </w:pPr>
      <w:r w:rsidRPr="00FA0657">
        <w:rPr>
          <w:rFonts w:ascii="Arial" w:hAnsi="Arial" w:cs="Arial"/>
        </w:rPr>
        <w:t>Es notable que en 2010 existía una brecha importante entre niños y niñas (los niños presentaban una mortalidad 4 puntos superior), mientras que para 2020 esta brecha se cerró prácticamente. Esto sugiere mejoras en la atención al parto y al recién nacido que han beneficiado especialmente al grupo masculino, que biológicamente es más vulnerable du</w:t>
      </w:r>
      <w:r>
        <w:rPr>
          <w:rFonts w:ascii="Arial" w:hAnsi="Arial" w:cs="Arial"/>
        </w:rPr>
        <w:t>rante el primer año de vida.</w:t>
      </w:r>
    </w:p>
    <w:p w14:paraId="79FBAC56" w14:textId="3DC7FAA2" w:rsidR="00FA0657" w:rsidRDefault="00FA0657" w:rsidP="00FA0657">
      <w:pPr>
        <w:rPr>
          <w:rFonts w:ascii="Arial" w:hAnsi="Arial" w:cs="Arial"/>
        </w:rPr>
      </w:pPr>
      <w:r w:rsidRPr="00FA0657">
        <w:rPr>
          <w:rFonts w:ascii="Arial" w:hAnsi="Arial" w:cs="Arial"/>
        </w:rPr>
        <w:t>La reducción de la mortalidad infantil en Tultitlán puede atribuirse a mejoras en los servicios de salud materno-infantil, programas de vacunación, acceso a agua potable y saneamiento, y mayor nivel educativo de las madres.</w:t>
      </w:r>
    </w:p>
    <w:p w14:paraId="3BE6EE45" w14:textId="254FA99B" w:rsidR="001E736C" w:rsidRPr="006409FC" w:rsidRDefault="001E736C" w:rsidP="00FA0657">
      <w:pPr>
        <w:rPr>
          <w:rFonts w:ascii="Arial" w:hAnsi="Arial" w:cs="Arial"/>
          <w:b/>
          <w:sz w:val="28"/>
        </w:rPr>
      </w:pPr>
    </w:p>
    <w:p w14:paraId="7C2A5F4B" w14:textId="075AC0B8" w:rsidR="001E736C" w:rsidRDefault="006409FC" w:rsidP="00FA0657">
      <w:pPr>
        <w:rPr>
          <w:rFonts w:ascii="Arial" w:hAnsi="Arial" w:cs="Arial"/>
          <w:b/>
          <w:sz w:val="28"/>
        </w:rPr>
      </w:pPr>
      <w:r w:rsidRPr="006409FC">
        <w:rPr>
          <w:rFonts w:ascii="Arial" w:hAnsi="Arial" w:cs="Arial"/>
          <w:b/>
          <w:sz w:val="28"/>
        </w:rPr>
        <w:t>Tas</w:t>
      </w:r>
      <w:r w:rsidR="00513F92">
        <w:rPr>
          <w:rFonts w:ascii="Arial" w:hAnsi="Arial" w:cs="Arial"/>
          <w:b/>
          <w:sz w:val="28"/>
        </w:rPr>
        <w:t>a de Mortalidad y Proporción por</w:t>
      </w:r>
      <w:r w:rsidRPr="006409FC">
        <w:rPr>
          <w:rFonts w:ascii="Arial" w:hAnsi="Arial" w:cs="Arial"/>
          <w:b/>
          <w:sz w:val="28"/>
        </w:rPr>
        <w:t xml:space="preserve"> causa</w:t>
      </w:r>
      <w:r w:rsidR="00513F92">
        <w:rPr>
          <w:rFonts w:ascii="Arial" w:hAnsi="Arial" w:cs="Arial"/>
          <w:b/>
          <w:sz w:val="28"/>
        </w:rPr>
        <w:t>s</w:t>
      </w:r>
    </w:p>
    <w:p w14:paraId="25CC3754" w14:textId="6B2ED0CA" w:rsidR="006409FC" w:rsidRDefault="00513F92" w:rsidP="00FA0657">
      <w:pPr>
        <w:rPr>
          <w:rFonts w:ascii="Arial" w:hAnsi="Arial" w:cs="Arial"/>
        </w:rPr>
      </w:pPr>
      <w:r w:rsidRPr="00513F92">
        <w:rPr>
          <w:rFonts w:ascii="Arial" w:hAnsi="Arial" w:cs="Arial"/>
        </w:rPr>
        <w:t>La tasa de mortalidad por causa mide el número de muertes por una enfermedad específica por cada 100,000 habitantes, mientras que la proporción por causa indica el porcentaje que representa esa causa respecto al total de defunciones.</w:t>
      </w:r>
      <w:r>
        <w:rPr>
          <w:rFonts w:ascii="Arial" w:hAnsi="Arial" w:cs="Arial"/>
        </w:rPr>
        <w:t xml:space="preserve"> Y se calcula de la siguiente manera: </w:t>
      </w:r>
    </w:p>
    <w:p w14:paraId="61B22AA6" w14:textId="13242DF4" w:rsidR="00513F92" w:rsidRPr="00513F92" w:rsidRDefault="00513F92" w:rsidP="00FA0657">
      <w:pPr>
        <w:rPr>
          <w:rFonts w:ascii="Arial" w:hAnsi="Arial" w:cs="Arial"/>
        </w:rPr>
      </w:pPr>
      <w:r>
        <w:rPr>
          <w:rFonts w:ascii="Arial" w:hAnsi="Arial" w:cs="Arial"/>
        </w:rPr>
        <w:t>Para la tasa de mortalidad.</w:t>
      </w:r>
    </w:p>
    <w:p w14:paraId="0DEDF25B" w14:textId="6E03B71D" w:rsidR="006409FC" w:rsidRDefault="00513F92" w:rsidP="00513F92">
      <w:pPr>
        <w:jc w:val="center"/>
        <w:rPr>
          <w:rFonts w:ascii="Arial" w:hAnsi="Arial" w:cs="Arial"/>
          <w:b/>
          <w:sz w:val="28"/>
        </w:rPr>
      </w:pPr>
      <w:r w:rsidRPr="00513F92">
        <w:rPr>
          <w:rFonts w:ascii="Arial" w:hAnsi="Arial" w:cs="Arial"/>
          <w:b/>
          <w:sz w:val="28"/>
        </w:rPr>
        <w:drawing>
          <wp:inline distT="0" distB="0" distL="0" distR="0" wp14:anchorId="76B78CBF" wp14:editId="7A9F652F">
            <wp:extent cx="3134162" cy="495369"/>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34162" cy="495369"/>
                    </a:xfrm>
                    <a:prstGeom prst="rect">
                      <a:avLst/>
                    </a:prstGeom>
                  </pic:spPr>
                </pic:pic>
              </a:graphicData>
            </a:graphic>
          </wp:inline>
        </w:drawing>
      </w:r>
    </w:p>
    <w:p w14:paraId="1F94CCB2" w14:textId="4F1E794F" w:rsidR="00513F92" w:rsidRDefault="00513F92" w:rsidP="00513F92">
      <w:pPr>
        <w:rPr>
          <w:rFonts w:ascii="Arial" w:hAnsi="Arial" w:cs="Arial"/>
        </w:rPr>
      </w:pPr>
      <w:r>
        <w:rPr>
          <w:rFonts w:ascii="Arial" w:hAnsi="Arial" w:cs="Arial"/>
        </w:rPr>
        <w:t>Proporción por causa.</w:t>
      </w:r>
    </w:p>
    <w:p w14:paraId="5F20B8B8" w14:textId="0EB3DEC0" w:rsidR="00513F92" w:rsidRDefault="00513F92" w:rsidP="00513F92">
      <w:pPr>
        <w:jc w:val="center"/>
        <w:rPr>
          <w:rFonts w:ascii="Arial" w:hAnsi="Arial" w:cs="Arial"/>
        </w:rPr>
      </w:pPr>
      <w:r w:rsidRPr="00513F92">
        <w:rPr>
          <w:rFonts w:ascii="Arial" w:hAnsi="Arial" w:cs="Arial"/>
        </w:rPr>
        <w:drawing>
          <wp:inline distT="0" distB="0" distL="0" distR="0" wp14:anchorId="49ABF03D" wp14:editId="642C332B">
            <wp:extent cx="3372321" cy="342948"/>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72321" cy="342948"/>
                    </a:xfrm>
                    <a:prstGeom prst="rect">
                      <a:avLst/>
                    </a:prstGeom>
                  </pic:spPr>
                </pic:pic>
              </a:graphicData>
            </a:graphic>
          </wp:inline>
        </w:drawing>
      </w:r>
    </w:p>
    <w:p w14:paraId="25753555" w14:textId="6C1B50E7" w:rsidR="00513F92" w:rsidRDefault="00513F92" w:rsidP="00513F92">
      <w:pPr>
        <w:jc w:val="center"/>
        <w:rPr>
          <w:rFonts w:ascii="Arial" w:hAnsi="Arial" w:cs="Arial"/>
        </w:rPr>
      </w:pPr>
    </w:p>
    <w:p w14:paraId="6EFB8F19" w14:textId="5AE6FA1B" w:rsidR="00513F92" w:rsidRDefault="00513F92" w:rsidP="00513F92">
      <w:pPr>
        <w:rPr>
          <w:rFonts w:ascii="Arial" w:hAnsi="Arial" w:cs="Arial"/>
        </w:rPr>
      </w:pPr>
      <w:r>
        <w:rPr>
          <w:rFonts w:ascii="Arial" w:hAnsi="Arial" w:cs="Arial"/>
        </w:rPr>
        <w:lastRenderedPageBreak/>
        <w:t xml:space="preserve">A continuación, vamos a ver las </w:t>
      </w:r>
      <w:r w:rsidRPr="00513F92">
        <w:rPr>
          <w:rFonts w:ascii="Arial" w:hAnsi="Arial" w:cs="Arial"/>
        </w:rPr>
        <w:t>cinco principales causas de mortalidad y que</w:t>
      </w:r>
      <w:r>
        <w:rPr>
          <w:rFonts w:ascii="Arial" w:hAnsi="Arial" w:cs="Arial"/>
        </w:rPr>
        <w:t xml:space="preserve"> </w:t>
      </w:r>
      <w:r w:rsidRPr="00513F92">
        <w:rPr>
          <w:rFonts w:ascii="Arial" w:hAnsi="Arial" w:cs="Arial"/>
        </w:rPr>
        <w:t>propor</w:t>
      </w:r>
      <w:r>
        <w:rPr>
          <w:rFonts w:ascii="Arial" w:hAnsi="Arial" w:cs="Arial"/>
        </w:rPr>
        <w:t>ción ́ representan del total de defunciones para cada añ</w:t>
      </w:r>
      <w:r w:rsidRPr="00513F92">
        <w:rPr>
          <w:rFonts w:ascii="Arial" w:hAnsi="Arial" w:cs="Arial"/>
        </w:rPr>
        <w:t>o, tanto de hombres como de mujeres.</w:t>
      </w:r>
    </w:p>
    <w:p w14:paraId="6A15C069" w14:textId="5F837DD8" w:rsidR="00513F92" w:rsidRDefault="00513F92" w:rsidP="00513F92">
      <w:pPr>
        <w:rPr>
          <w:rFonts w:ascii="Arial" w:hAnsi="Arial" w:cs="Arial"/>
        </w:rPr>
      </w:pPr>
    </w:p>
    <w:p w14:paraId="527FB16B" w14:textId="33B87727" w:rsidR="00513F92" w:rsidRDefault="00513F92" w:rsidP="00513F92">
      <w:pPr>
        <w:jc w:val="center"/>
        <w:rPr>
          <w:rFonts w:ascii="Arial" w:hAnsi="Arial" w:cs="Arial"/>
        </w:rPr>
      </w:pPr>
      <w:r w:rsidRPr="00513F92">
        <w:rPr>
          <w:rFonts w:ascii="Arial" w:hAnsi="Arial" w:cs="Arial"/>
        </w:rPr>
        <w:drawing>
          <wp:anchor distT="0" distB="0" distL="114300" distR="114300" simplePos="0" relativeHeight="251659776" behindDoc="0" locked="0" layoutInCell="1" allowOverlap="1" wp14:anchorId="33EDAC15" wp14:editId="106D6810">
            <wp:simplePos x="0" y="0"/>
            <wp:positionH relativeFrom="margin">
              <wp:posOffset>-653415</wp:posOffset>
            </wp:positionH>
            <wp:positionV relativeFrom="margin">
              <wp:posOffset>975995</wp:posOffset>
            </wp:positionV>
            <wp:extent cx="6900545" cy="962025"/>
            <wp:effectExtent l="0" t="0" r="0" b="952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900545" cy="96202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HOMBRES</w:t>
      </w:r>
    </w:p>
    <w:p w14:paraId="5C74BA76" w14:textId="50930876" w:rsidR="00513F92" w:rsidRDefault="00513F92" w:rsidP="00513F92">
      <w:pPr>
        <w:jc w:val="center"/>
        <w:rPr>
          <w:rFonts w:ascii="Arial" w:hAnsi="Arial" w:cs="Arial"/>
        </w:rPr>
      </w:pPr>
    </w:p>
    <w:p w14:paraId="63706C55" w14:textId="56D48E07" w:rsidR="007751C3" w:rsidRPr="007751C3" w:rsidRDefault="007751C3" w:rsidP="007751C3">
      <w:pPr>
        <w:rPr>
          <w:rFonts w:ascii="Arial" w:hAnsi="Arial" w:cs="Arial"/>
        </w:rPr>
      </w:pPr>
      <w:r w:rsidRPr="007751C3">
        <w:rPr>
          <w:rFonts w:ascii="Arial" w:hAnsi="Arial" w:cs="Arial"/>
        </w:rPr>
        <w:t>En 2010, los hombres de Tultitlán fallecían principalmente por enfermedades crónico-degenerativas. Las enfermedades endocrinas y metabólicas (principalmente diabetes) fueron la primera causa, representando el 16.7% de todas las muertes masculinas. Las enfermedades isquémicas del corazón les siguen de cerca con el 15.18%. Entre ambas, concentraban casi un ter</w:t>
      </w:r>
      <w:r>
        <w:rPr>
          <w:rFonts w:ascii="Arial" w:hAnsi="Arial" w:cs="Arial"/>
        </w:rPr>
        <w:t>cio de la mortalidad masculina.</w:t>
      </w:r>
    </w:p>
    <w:p w14:paraId="038E3C4C" w14:textId="33599123" w:rsidR="00513F92" w:rsidRDefault="007751C3" w:rsidP="007751C3">
      <w:pPr>
        <w:rPr>
          <w:rFonts w:ascii="Arial" w:hAnsi="Arial" w:cs="Arial"/>
        </w:rPr>
      </w:pPr>
      <w:r w:rsidRPr="007751C3">
        <w:rPr>
          <w:rFonts w:ascii="Arial" w:hAnsi="Arial" w:cs="Arial"/>
        </w:rPr>
        <w:t>Un hallazgo relevante es que las agresiones ocuparon el cuarto lugar con el 9.33% de las defunciones, lo que refleja problemas de violencia y seguridad en el municipio de Tultitlán durante ese periodo. Las tasas son bajas (ninguna supera 0.25 por cada 100,000), indicando que en términos absolutos el número de muertes no es alto, pero la proporción muestra la relevancia relativa de cada causa.</w:t>
      </w:r>
    </w:p>
    <w:p w14:paraId="412772DA" w14:textId="628835FE" w:rsidR="007751C3" w:rsidRPr="007751C3" w:rsidRDefault="007751C3" w:rsidP="007751C3">
      <w:pPr>
        <w:rPr>
          <w:rFonts w:ascii="Arial" w:hAnsi="Arial" w:cs="Arial"/>
        </w:rPr>
      </w:pPr>
      <w:r w:rsidRPr="007751C3">
        <w:rPr>
          <w:rFonts w:ascii="Arial" w:hAnsi="Arial" w:cs="Arial"/>
        </w:rPr>
        <w:t>El año 2020 trajo un cambio drástico en el perfil de mortalidad masculina en Tultitlán. Las enfermedades víricas (asociadas principalmente al COVID-19) se convirtieron en la primera causa de muerte, con una tasa de 1.60 por cada 100,000 hombres, representando casi una cuarta parte de todas l</w:t>
      </w:r>
      <w:r>
        <w:rPr>
          <w:rFonts w:ascii="Arial" w:hAnsi="Arial" w:cs="Arial"/>
        </w:rPr>
        <w:t>as defunciones (24.06%).</w:t>
      </w:r>
    </w:p>
    <w:p w14:paraId="11E53908" w14:textId="04C8CD68" w:rsidR="007751C3" w:rsidRPr="007751C3" w:rsidRDefault="007751C3" w:rsidP="007751C3">
      <w:pPr>
        <w:rPr>
          <w:rFonts w:ascii="Arial" w:hAnsi="Arial" w:cs="Arial"/>
        </w:rPr>
      </w:pPr>
      <w:r w:rsidRPr="007751C3">
        <w:rPr>
          <w:rFonts w:ascii="Arial" w:hAnsi="Arial" w:cs="Arial"/>
        </w:rPr>
        <w:t>Las enfermedades endocrinas y metabólicas se mantienen como segunda causa, pero su tasa aumentó significativamente (de 0.25 a 1.13) y su proporción subió ligeramente al 16.99%. De manera similar, las enfermedades isquémicas del corazón pasaron de 0.23 a 1.10 por cada 100,000, manteniéndose co</w:t>
      </w:r>
      <w:r>
        <w:rPr>
          <w:rFonts w:ascii="Arial" w:hAnsi="Arial" w:cs="Arial"/>
        </w:rPr>
        <w:t>mo tercera causa con el 16.48%.</w:t>
      </w:r>
    </w:p>
    <w:p w14:paraId="4DD0D67B" w14:textId="1A9716C4" w:rsidR="007751C3" w:rsidRPr="007751C3" w:rsidRDefault="007751C3" w:rsidP="007751C3">
      <w:pPr>
        <w:rPr>
          <w:rFonts w:ascii="Arial" w:hAnsi="Arial" w:cs="Arial"/>
        </w:rPr>
      </w:pPr>
      <w:r w:rsidRPr="007751C3">
        <w:rPr>
          <w:rFonts w:ascii="Arial" w:hAnsi="Arial" w:cs="Arial"/>
        </w:rPr>
        <w:t>Un cambio notable es que las agresiones desaparecieron del top 5 en 2020. Esto no necesariamente significa una reducción real de la violencia, sino que el impacto de la pandemia fue tan grande que desplazó a otras causas en la jerarquía de mortalidad. Las enfermedades respiratorias y digestivas se mantienen en cuarto y quinto lugar, aunque con pr</w:t>
      </w:r>
      <w:r>
        <w:rPr>
          <w:rFonts w:ascii="Arial" w:hAnsi="Arial" w:cs="Arial"/>
        </w:rPr>
        <w:t>oporciones ligeramente menores.</w:t>
      </w:r>
    </w:p>
    <w:p w14:paraId="0E21C974" w14:textId="0D615BBE" w:rsidR="007751C3" w:rsidRDefault="007751C3" w:rsidP="007751C3">
      <w:pPr>
        <w:rPr>
          <w:rFonts w:ascii="Arial" w:hAnsi="Arial" w:cs="Arial"/>
        </w:rPr>
      </w:pPr>
      <w:r w:rsidRPr="007751C3">
        <w:rPr>
          <w:rFonts w:ascii="Arial" w:hAnsi="Arial" w:cs="Arial"/>
        </w:rPr>
        <w:t>La pandemia por COVID-19 alteró profundamente la estructura de mortalidad masculina en Tultitlán, elevando las tasas de mortalidad por enfermedades crónicas y posicionando a las enfermedades víricas como la principal causa de muerte.</w:t>
      </w:r>
    </w:p>
    <w:p w14:paraId="6B092F49" w14:textId="5A67E440" w:rsidR="007751C3" w:rsidRDefault="007751C3" w:rsidP="007751C3">
      <w:pPr>
        <w:rPr>
          <w:rFonts w:ascii="Arial" w:hAnsi="Arial" w:cs="Arial"/>
        </w:rPr>
      </w:pPr>
    </w:p>
    <w:p w14:paraId="5EAC5845" w14:textId="14C333EC" w:rsidR="007751C3" w:rsidRDefault="007751C3" w:rsidP="007751C3">
      <w:pPr>
        <w:rPr>
          <w:rFonts w:ascii="Arial" w:hAnsi="Arial" w:cs="Arial"/>
        </w:rPr>
      </w:pPr>
    </w:p>
    <w:p w14:paraId="1FABAAF2" w14:textId="17C9C0F6" w:rsidR="007751C3" w:rsidRDefault="007751C3" w:rsidP="007751C3">
      <w:pPr>
        <w:rPr>
          <w:rFonts w:ascii="Arial" w:hAnsi="Arial" w:cs="Arial"/>
        </w:rPr>
      </w:pPr>
    </w:p>
    <w:p w14:paraId="31FC55F0" w14:textId="475EAAF5" w:rsidR="007751C3" w:rsidRDefault="007751C3" w:rsidP="007751C3">
      <w:pPr>
        <w:jc w:val="center"/>
        <w:rPr>
          <w:rFonts w:ascii="Arial" w:hAnsi="Arial" w:cs="Arial"/>
        </w:rPr>
      </w:pPr>
      <w:r w:rsidRPr="007751C3">
        <w:rPr>
          <w:rFonts w:ascii="Arial" w:hAnsi="Arial" w:cs="Arial"/>
        </w:rPr>
        <w:lastRenderedPageBreak/>
        <w:drawing>
          <wp:anchor distT="0" distB="0" distL="114300" distR="114300" simplePos="0" relativeHeight="251660800" behindDoc="0" locked="0" layoutInCell="1" allowOverlap="1" wp14:anchorId="12334E7C" wp14:editId="021432C7">
            <wp:simplePos x="0" y="0"/>
            <wp:positionH relativeFrom="margin">
              <wp:posOffset>-642620</wp:posOffset>
            </wp:positionH>
            <wp:positionV relativeFrom="margin">
              <wp:posOffset>213995</wp:posOffset>
            </wp:positionV>
            <wp:extent cx="6877685" cy="1114425"/>
            <wp:effectExtent l="0" t="0" r="0" b="952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877685" cy="111442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MUJERES</w:t>
      </w:r>
    </w:p>
    <w:p w14:paraId="14DB68C6" w14:textId="5BEC9E9C" w:rsidR="007751C3" w:rsidRDefault="007751C3" w:rsidP="007751C3">
      <w:pPr>
        <w:jc w:val="center"/>
        <w:rPr>
          <w:rFonts w:ascii="Arial" w:hAnsi="Arial" w:cs="Arial"/>
        </w:rPr>
      </w:pPr>
    </w:p>
    <w:p w14:paraId="65DE960C" w14:textId="0897011B" w:rsidR="007751C3" w:rsidRPr="007751C3" w:rsidRDefault="007751C3" w:rsidP="007751C3">
      <w:pPr>
        <w:rPr>
          <w:rFonts w:ascii="Arial" w:hAnsi="Arial" w:cs="Arial"/>
        </w:rPr>
      </w:pPr>
      <w:r w:rsidRPr="007751C3">
        <w:rPr>
          <w:rFonts w:ascii="Arial" w:hAnsi="Arial" w:cs="Arial"/>
        </w:rPr>
        <w:t>En 2010, las mujeres de Tultitlán presentaban un perfil de mortalidad dominado también por enfermedades crónico-degenerativas, pero con diferencias importantes respecto a los hombres. Las enfermedades endocrinas y metabólicas fueron la primera causa (17.96%), seguidas por las enfermedades isquémicas del corazón (14.75%). Juntas concentraban casi el 33% de la mortalidad femenina, una proporci</w:t>
      </w:r>
      <w:r>
        <w:rPr>
          <w:rFonts w:ascii="Arial" w:hAnsi="Arial" w:cs="Arial"/>
        </w:rPr>
        <w:t>ón similar a la de los hombres.</w:t>
      </w:r>
    </w:p>
    <w:p w14:paraId="5A411F85" w14:textId="6815B432" w:rsidR="007751C3" w:rsidRPr="007751C3" w:rsidRDefault="007751C3" w:rsidP="007751C3">
      <w:pPr>
        <w:rPr>
          <w:rFonts w:ascii="Arial" w:hAnsi="Arial" w:cs="Arial"/>
        </w:rPr>
      </w:pPr>
      <w:r w:rsidRPr="007751C3">
        <w:rPr>
          <w:rFonts w:ascii="Arial" w:hAnsi="Arial" w:cs="Arial"/>
        </w:rPr>
        <w:t xml:space="preserve">Un hallazgo distintivo es que las enfermedades del aparato respiratorio ocuparon el tercer lugar con el 10.99%, a diferencia de los hombres donde las agresiones estaban en cuarto lugar. Esto sugiere que las mujeres en Tultitlán enfrentaron una mayor carga de enfermedades respiratorias </w:t>
      </w:r>
      <w:r>
        <w:rPr>
          <w:rFonts w:ascii="Arial" w:hAnsi="Arial" w:cs="Arial"/>
        </w:rPr>
        <w:t>en comparación con los hombres.</w:t>
      </w:r>
    </w:p>
    <w:p w14:paraId="37B66433" w14:textId="4DD1CBD8" w:rsidR="00513F92" w:rsidRPr="007751C3" w:rsidRDefault="007751C3" w:rsidP="00513F92">
      <w:pPr>
        <w:rPr>
          <w:rFonts w:ascii="Arial" w:hAnsi="Arial" w:cs="Arial"/>
        </w:rPr>
      </w:pPr>
      <w:r w:rsidRPr="007751C3">
        <w:rPr>
          <w:rFonts w:ascii="Arial" w:hAnsi="Arial" w:cs="Arial"/>
        </w:rPr>
        <w:t>Los tumores malignos (cáncer) de órganos digestivos aparecen en quinto lugar con el 5.36%, una causa que no figuraba en el top 5 de los hombres. Las tasas son ligeramente inferiores a las masculinas (0.22 vs 0.25 para endocrinas), lo que es consistente con la mayor esperanza de vida femenina.</w:t>
      </w:r>
    </w:p>
    <w:p w14:paraId="4ADA8349" w14:textId="7AD4A668" w:rsidR="007751C3" w:rsidRPr="007751C3" w:rsidRDefault="007751C3" w:rsidP="007751C3">
      <w:pPr>
        <w:rPr>
          <w:rFonts w:ascii="Arial" w:hAnsi="Arial" w:cs="Arial"/>
        </w:rPr>
      </w:pPr>
      <w:r w:rsidRPr="007751C3">
        <w:rPr>
          <w:rFonts w:ascii="Arial" w:hAnsi="Arial" w:cs="Arial"/>
        </w:rPr>
        <w:t xml:space="preserve">A diferencia de los hombres, las mujeres de Tultitlán mantuvieron las enfermedades endocrinas y metabólicas como su principal causa de muerte en 2020, con una proporción que aumentó al 20.51% y una tasa que se multiplicó por más de 4 (de 0.22 a 0.91). Las enfermedades isquémicas del corazón también se mantuvieron en segundo lugar, con un incremento proporcional </w:t>
      </w:r>
      <w:r>
        <w:rPr>
          <w:rFonts w:ascii="Arial" w:hAnsi="Arial" w:cs="Arial"/>
        </w:rPr>
        <w:t>similar (del 14.75% al 18.10%).</w:t>
      </w:r>
    </w:p>
    <w:p w14:paraId="506D334F" w14:textId="338DDAD5" w:rsidR="007751C3" w:rsidRPr="007751C3" w:rsidRDefault="007751C3" w:rsidP="007751C3">
      <w:pPr>
        <w:rPr>
          <w:rFonts w:ascii="Arial" w:hAnsi="Arial" w:cs="Arial"/>
        </w:rPr>
      </w:pPr>
      <w:r w:rsidRPr="007751C3">
        <w:rPr>
          <w:rFonts w:ascii="Arial" w:hAnsi="Arial" w:cs="Arial"/>
        </w:rPr>
        <w:t>Sin embargo, al igual que en los hombres, las enfermedades víricas irrumpieron con fuerza, posicionándose como la tercera causa de muerte en mujeres, con el 17.91% de las defunciones y una tasa de 0.79 por cada 100,000 mujeres. Aunque el impacto fue menor que en hombres (donde las víricas fueron primera causa con 24.06%), sigue sien</w:t>
      </w:r>
      <w:r>
        <w:rPr>
          <w:rFonts w:ascii="Arial" w:hAnsi="Arial" w:cs="Arial"/>
        </w:rPr>
        <w:t>do un cambio muy significativo.</w:t>
      </w:r>
    </w:p>
    <w:p w14:paraId="6EB199E6" w14:textId="127FAB44" w:rsidR="007751C3" w:rsidRPr="007751C3" w:rsidRDefault="007751C3" w:rsidP="007751C3">
      <w:pPr>
        <w:rPr>
          <w:rFonts w:ascii="Arial" w:hAnsi="Arial" w:cs="Arial"/>
        </w:rPr>
      </w:pPr>
      <w:r w:rsidRPr="007751C3">
        <w:rPr>
          <w:rFonts w:ascii="Arial" w:hAnsi="Arial" w:cs="Arial"/>
        </w:rPr>
        <w:t>Las enfermedades respiratorias bajaron del tercer al cuarto lugar (8.61%), y las digestivas se mantuvieron en quinto lugar (6.27%). Los tumores malignos (cáncer) salieron del top 5 en 2020, desplazados por el fuerte aumento</w:t>
      </w:r>
      <w:r>
        <w:rPr>
          <w:rFonts w:ascii="Arial" w:hAnsi="Arial" w:cs="Arial"/>
        </w:rPr>
        <w:t xml:space="preserve"> de la mortalidad por COVID-19</w:t>
      </w:r>
    </w:p>
    <w:p w14:paraId="065834EB" w14:textId="4B00EAE0" w:rsidR="006409FC" w:rsidRDefault="007751C3" w:rsidP="007751C3">
      <w:pPr>
        <w:rPr>
          <w:rFonts w:ascii="Arial" w:hAnsi="Arial" w:cs="Arial"/>
        </w:rPr>
      </w:pPr>
      <w:r w:rsidRPr="007751C3">
        <w:rPr>
          <w:rFonts w:ascii="Arial" w:hAnsi="Arial" w:cs="Arial"/>
        </w:rPr>
        <w:t>La pandemia afectó también a las mujeres de Tultitlán, pero de manera menos intensa que a los hombres: las enfermedades víricas fueron la tercera causa, no la primera. Las enfermedades crónicas (endocrinas y cardíacas) siguieron siendo el principal problema de salud, y sus tasas aumentaron considerablemente, posiblemente por dificultades en el acceso a la atención médica durante la emergencia sanitaria.</w:t>
      </w:r>
    </w:p>
    <w:p w14:paraId="7D3F8064" w14:textId="082D878C" w:rsidR="007751C3" w:rsidRDefault="007751C3" w:rsidP="007751C3">
      <w:pPr>
        <w:rPr>
          <w:rFonts w:ascii="Arial" w:hAnsi="Arial" w:cs="Arial"/>
        </w:rPr>
      </w:pPr>
    </w:p>
    <w:p w14:paraId="55B5CC37" w14:textId="0485FD62" w:rsidR="007751C3" w:rsidRDefault="007751C3" w:rsidP="007751C3">
      <w:pPr>
        <w:rPr>
          <w:rFonts w:ascii="Arial" w:hAnsi="Arial" w:cs="Arial"/>
        </w:rPr>
      </w:pPr>
    </w:p>
    <w:p w14:paraId="235638E6" w14:textId="6E112A17" w:rsidR="007751C3" w:rsidRDefault="00777E0C" w:rsidP="00777E0C">
      <w:pPr>
        <w:jc w:val="center"/>
        <w:rPr>
          <w:rFonts w:ascii="Arial" w:hAnsi="Arial" w:cs="Arial"/>
          <w:b/>
          <w:sz w:val="32"/>
        </w:rPr>
      </w:pPr>
      <w:r>
        <w:rPr>
          <w:rFonts w:ascii="Arial" w:hAnsi="Arial" w:cs="Arial"/>
          <w:b/>
          <w:sz w:val="32"/>
        </w:rPr>
        <w:lastRenderedPageBreak/>
        <w:t>TABLAS DE VIDA</w:t>
      </w:r>
    </w:p>
    <w:p w14:paraId="5F2F30CC" w14:textId="5004F78D" w:rsidR="00777E0C" w:rsidRDefault="00777E0C" w:rsidP="00777E0C">
      <w:pPr>
        <w:rPr>
          <w:rFonts w:ascii="Arial" w:hAnsi="Arial" w:cs="Arial"/>
        </w:rPr>
      </w:pPr>
    </w:p>
    <w:p w14:paraId="7BABE9C9" w14:textId="44FB303D" w:rsidR="00325E12" w:rsidRPr="00325E12" w:rsidRDefault="00325E12" w:rsidP="00325E12">
      <w:pPr>
        <w:rPr>
          <w:rFonts w:ascii="Arial" w:hAnsi="Arial" w:cs="Arial"/>
        </w:rPr>
      </w:pPr>
      <w:r w:rsidRPr="00325E12">
        <w:rPr>
          <w:rFonts w:ascii="Arial" w:hAnsi="Arial" w:cs="Arial"/>
        </w:rPr>
        <w:t>Las tablas de vida son herramientas demográficas que resumen la experiencia de mortalidad de una cohorte hipotética de 100,000 nacidos vivos (</w:t>
      </w:r>
      <w:proofErr w:type="spellStart"/>
      <w:r w:rsidRPr="00325E12">
        <w:rPr>
          <w:rFonts w:ascii="Arial" w:hAnsi="Arial" w:cs="Arial"/>
        </w:rPr>
        <w:t>radix</w:t>
      </w:r>
      <w:proofErr w:type="spellEnd"/>
      <w:r w:rsidRPr="00325E12">
        <w:rPr>
          <w:rFonts w:ascii="Arial" w:hAnsi="Arial" w:cs="Arial"/>
        </w:rPr>
        <w:t>) a lo largo de toda su vida, bajo las condiciones de mortalidad observadas en un año</w:t>
      </w:r>
      <w:r w:rsidR="00FF449A">
        <w:rPr>
          <w:rFonts w:ascii="Arial" w:hAnsi="Arial" w:cs="Arial"/>
        </w:rPr>
        <w:t xml:space="preserve"> específico. Permiten calcular:</w:t>
      </w:r>
    </w:p>
    <w:p w14:paraId="3A6A26B3" w14:textId="5BD9CE17" w:rsidR="00325E12" w:rsidRPr="00FF449A" w:rsidRDefault="00325E12" w:rsidP="00FF449A">
      <w:pPr>
        <w:pStyle w:val="Prrafodelista"/>
        <w:numPr>
          <w:ilvl w:val="0"/>
          <w:numId w:val="1"/>
        </w:numPr>
        <w:rPr>
          <w:rFonts w:ascii="Arial" w:hAnsi="Arial" w:cs="Arial"/>
        </w:rPr>
      </w:pPr>
      <w:proofErr w:type="spellStart"/>
      <w:r w:rsidRPr="00FF449A">
        <w:rPr>
          <w:rFonts w:ascii="Arial" w:hAnsi="Arial" w:cs="Arial"/>
        </w:rPr>
        <w:t>nqx</w:t>
      </w:r>
      <w:proofErr w:type="spellEnd"/>
      <w:r w:rsidRPr="00FF449A">
        <w:rPr>
          <w:rFonts w:ascii="Arial" w:hAnsi="Arial" w:cs="Arial"/>
        </w:rPr>
        <w:t xml:space="preserve">: Probabilidad de morir entre las edades x y </w:t>
      </w:r>
      <w:proofErr w:type="spellStart"/>
      <w:r w:rsidRPr="00FF449A">
        <w:rPr>
          <w:rFonts w:ascii="Arial" w:hAnsi="Arial" w:cs="Arial"/>
        </w:rPr>
        <w:t>x+n</w:t>
      </w:r>
      <w:proofErr w:type="spellEnd"/>
    </w:p>
    <w:p w14:paraId="6F7D1FBA" w14:textId="7D237300" w:rsidR="00325E12" w:rsidRPr="00FF449A" w:rsidRDefault="00325E12" w:rsidP="00FF449A">
      <w:pPr>
        <w:pStyle w:val="Prrafodelista"/>
        <w:numPr>
          <w:ilvl w:val="0"/>
          <w:numId w:val="1"/>
        </w:numPr>
        <w:rPr>
          <w:rFonts w:ascii="Arial" w:hAnsi="Arial" w:cs="Arial"/>
        </w:rPr>
      </w:pPr>
      <w:proofErr w:type="spellStart"/>
      <w:r w:rsidRPr="00FF449A">
        <w:rPr>
          <w:rFonts w:ascii="Arial" w:hAnsi="Arial" w:cs="Arial"/>
        </w:rPr>
        <w:t>npx</w:t>
      </w:r>
      <w:proofErr w:type="spellEnd"/>
      <w:r w:rsidRPr="00FF449A">
        <w:rPr>
          <w:rFonts w:ascii="Arial" w:hAnsi="Arial" w:cs="Arial"/>
        </w:rPr>
        <w:t xml:space="preserve">: Probabilidad de sobrevivir entre las edades x y </w:t>
      </w:r>
      <w:proofErr w:type="spellStart"/>
      <w:r w:rsidRPr="00FF449A">
        <w:rPr>
          <w:rFonts w:ascii="Arial" w:hAnsi="Arial" w:cs="Arial"/>
        </w:rPr>
        <w:t>x+n</w:t>
      </w:r>
      <w:proofErr w:type="spellEnd"/>
    </w:p>
    <w:p w14:paraId="10F95D3D" w14:textId="1353CCA1" w:rsidR="00325E12" w:rsidRPr="00FF449A" w:rsidRDefault="00325E12" w:rsidP="00FF449A">
      <w:pPr>
        <w:pStyle w:val="Prrafodelista"/>
        <w:numPr>
          <w:ilvl w:val="0"/>
          <w:numId w:val="1"/>
        </w:numPr>
        <w:rPr>
          <w:rFonts w:ascii="Arial" w:hAnsi="Arial" w:cs="Arial"/>
        </w:rPr>
      </w:pPr>
      <w:r w:rsidRPr="00FF449A">
        <w:rPr>
          <w:rFonts w:ascii="Arial" w:hAnsi="Arial" w:cs="Arial"/>
        </w:rPr>
        <w:t>lx: Número de supervivientes a la edad exacta x</w:t>
      </w:r>
    </w:p>
    <w:p w14:paraId="01DE6E77" w14:textId="2CAD8F84" w:rsidR="00325E12" w:rsidRPr="00FF449A" w:rsidRDefault="00325E12" w:rsidP="00FF449A">
      <w:pPr>
        <w:pStyle w:val="Prrafodelista"/>
        <w:numPr>
          <w:ilvl w:val="0"/>
          <w:numId w:val="1"/>
        </w:numPr>
        <w:rPr>
          <w:rFonts w:ascii="Arial" w:hAnsi="Arial" w:cs="Arial"/>
        </w:rPr>
      </w:pPr>
      <w:proofErr w:type="spellStart"/>
      <w:r w:rsidRPr="00FF449A">
        <w:rPr>
          <w:rFonts w:ascii="Arial" w:hAnsi="Arial" w:cs="Arial"/>
        </w:rPr>
        <w:t>ndx</w:t>
      </w:r>
      <w:proofErr w:type="spellEnd"/>
      <w:r w:rsidRPr="00FF449A">
        <w:rPr>
          <w:rFonts w:ascii="Arial" w:hAnsi="Arial" w:cs="Arial"/>
        </w:rPr>
        <w:t xml:space="preserve">: Número de muertes ocurridas entre las edades x y </w:t>
      </w:r>
      <w:proofErr w:type="spellStart"/>
      <w:r w:rsidRPr="00FF449A">
        <w:rPr>
          <w:rFonts w:ascii="Arial" w:hAnsi="Arial" w:cs="Arial"/>
        </w:rPr>
        <w:t>x+n</w:t>
      </w:r>
      <w:proofErr w:type="spellEnd"/>
    </w:p>
    <w:p w14:paraId="4046808A" w14:textId="352BA846" w:rsidR="00325E12" w:rsidRPr="00FF449A" w:rsidRDefault="00325E12" w:rsidP="00FF449A">
      <w:pPr>
        <w:pStyle w:val="Prrafodelista"/>
        <w:numPr>
          <w:ilvl w:val="0"/>
          <w:numId w:val="1"/>
        </w:numPr>
        <w:rPr>
          <w:rFonts w:ascii="Arial" w:hAnsi="Arial" w:cs="Arial"/>
        </w:rPr>
      </w:pPr>
      <w:proofErr w:type="spellStart"/>
      <w:r w:rsidRPr="00FF449A">
        <w:rPr>
          <w:rFonts w:ascii="Arial" w:hAnsi="Arial" w:cs="Arial"/>
        </w:rPr>
        <w:t>nLx</w:t>
      </w:r>
      <w:proofErr w:type="spellEnd"/>
      <w:r w:rsidRPr="00FF449A">
        <w:rPr>
          <w:rFonts w:ascii="Arial" w:hAnsi="Arial" w:cs="Arial"/>
        </w:rPr>
        <w:t xml:space="preserve">: Años vividos por la cohorte entre las edades x y </w:t>
      </w:r>
      <w:proofErr w:type="spellStart"/>
      <w:r w:rsidRPr="00FF449A">
        <w:rPr>
          <w:rFonts w:ascii="Arial" w:hAnsi="Arial" w:cs="Arial"/>
        </w:rPr>
        <w:t>x+n</w:t>
      </w:r>
      <w:proofErr w:type="spellEnd"/>
    </w:p>
    <w:p w14:paraId="71D20952" w14:textId="39F620D2" w:rsidR="00325E12" w:rsidRPr="00FF449A" w:rsidRDefault="00325E12" w:rsidP="00FF449A">
      <w:pPr>
        <w:pStyle w:val="Prrafodelista"/>
        <w:numPr>
          <w:ilvl w:val="0"/>
          <w:numId w:val="1"/>
        </w:numPr>
        <w:rPr>
          <w:rFonts w:ascii="Arial" w:hAnsi="Arial" w:cs="Arial"/>
        </w:rPr>
      </w:pPr>
      <w:proofErr w:type="spellStart"/>
      <w:r w:rsidRPr="00FF449A">
        <w:rPr>
          <w:rFonts w:ascii="Arial" w:hAnsi="Arial" w:cs="Arial"/>
        </w:rPr>
        <w:t>Tx</w:t>
      </w:r>
      <w:proofErr w:type="spellEnd"/>
      <w:r w:rsidRPr="00FF449A">
        <w:rPr>
          <w:rFonts w:ascii="Arial" w:hAnsi="Arial" w:cs="Arial"/>
        </w:rPr>
        <w:t>: Total de años vividos por la cohorte desde la edad x hasta el final</w:t>
      </w:r>
    </w:p>
    <w:p w14:paraId="21BC7837" w14:textId="77777777" w:rsidR="00325E12" w:rsidRPr="00FF449A" w:rsidRDefault="00325E12" w:rsidP="00FF449A">
      <w:pPr>
        <w:pStyle w:val="Prrafodelista"/>
        <w:numPr>
          <w:ilvl w:val="0"/>
          <w:numId w:val="1"/>
        </w:numPr>
        <w:rPr>
          <w:rFonts w:ascii="Arial" w:hAnsi="Arial" w:cs="Arial"/>
        </w:rPr>
      </w:pPr>
      <w:r w:rsidRPr="00FF449A">
        <w:rPr>
          <w:rFonts w:ascii="Arial" w:hAnsi="Arial" w:cs="Arial"/>
        </w:rPr>
        <w:t>ex: Esperanza de vida a la edad exacta x</w:t>
      </w:r>
    </w:p>
    <w:p w14:paraId="565C9F56" w14:textId="77777777" w:rsidR="00325E12" w:rsidRPr="00325E12" w:rsidRDefault="00325E12" w:rsidP="00325E12">
      <w:pPr>
        <w:rPr>
          <w:rFonts w:ascii="Arial" w:hAnsi="Arial" w:cs="Arial"/>
        </w:rPr>
      </w:pPr>
    </w:p>
    <w:p w14:paraId="1F2221CC" w14:textId="57BDBBB1" w:rsidR="00FF449A" w:rsidRDefault="00325E12" w:rsidP="00325E12">
      <w:pPr>
        <w:rPr>
          <w:rFonts w:ascii="Arial" w:hAnsi="Arial" w:cs="Arial"/>
        </w:rPr>
      </w:pPr>
      <w:r w:rsidRPr="00325E12">
        <w:rPr>
          <w:rFonts w:ascii="Arial" w:hAnsi="Arial" w:cs="Arial"/>
        </w:rPr>
        <w:t>Para Tultitlán, se construyeron tablas de vida para hombres y mujeres de los años 2010 y 2020.</w:t>
      </w:r>
      <w:r w:rsidR="00F96C5A">
        <w:rPr>
          <w:rFonts w:ascii="Arial" w:hAnsi="Arial" w:cs="Arial"/>
        </w:rPr>
        <w:t xml:space="preserve"> Que se acompañan con las gráficas de esperanza de vida de cada tabla.</w:t>
      </w:r>
    </w:p>
    <w:p w14:paraId="01E5FF7C" w14:textId="057CBC9D" w:rsidR="00FF449A" w:rsidRPr="00FF449A" w:rsidRDefault="00FF449A" w:rsidP="00325E12">
      <w:pPr>
        <w:rPr>
          <w:rFonts w:ascii="Arial" w:hAnsi="Arial" w:cs="Arial"/>
          <w:b/>
        </w:rPr>
      </w:pPr>
      <w:r w:rsidRPr="00FF449A">
        <w:rPr>
          <w:rFonts w:ascii="Arial" w:hAnsi="Arial" w:cs="Arial"/>
          <w:b/>
        </w:rPr>
        <w:drawing>
          <wp:anchor distT="0" distB="0" distL="114300" distR="114300" simplePos="0" relativeHeight="251661824" behindDoc="0" locked="0" layoutInCell="1" allowOverlap="1" wp14:anchorId="1ABB1523" wp14:editId="5066428E">
            <wp:simplePos x="0" y="0"/>
            <wp:positionH relativeFrom="margin">
              <wp:align>center</wp:align>
            </wp:positionH>
            <wp:positionV relativeFrom="margin">
              <wp:posOffset>3786505</wp:posOffset>
            </wp:positionV>
            <wp:extent cx="6829425" cy="2599690"/>
            <wp:effectExtent l="0" t="0" r="9525"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829425" cy="2599690"/>
                    </a:xfrm>
                    <a:prstGeom prst="rect">
                      <a:avLst/>
                    </a:prstGeom>
                  </pic:spPr>
                </pic:pic>
              </a:graphicData>
            </a:graphic>
            <wp14:sizeRelH relativeFrom="margin">
              <wp14:pctWidth>0</wp14:pctWidth>
            </wp14:sizeRelH>
            <wp14:sizeRelV relativeFrom="margin">
              <wp14:pctHeight>0</wp14:pctHeight>
            </wp14:sizeRelV>
          </wp:anchor>
        </w:drawing>
      </w:r>
      <w:r w:rsidRPr="00FF449A">
        <w:rPr>
          <w:rFonts w:ascii="Arial" w:hAnsi="Arial" w:cs="Arial"/>
          <w:b/>
        </w:rPr>
        <w:t>Tab</w:t>
      </w:r>
      <w:r>
        <w:rPr>
          <w:rFonts w:ascii="Arial" w:hAnsi="Arial" w:cs="Arial"/>
        </w:rPr>
        <w:t>l</w:t>
      </w:r>
      <w:r w:rsidRPr="00FF449A">
        <w:rPr>
          <w:rFonts w:ascii="Arial" w:hAnsi="Arial" w:cs="Arial"/>
          <w:b/>
        </w:rPr>
        <w:t>as de vida. Hombres 2010</w:t>
      </w:r>
    </w:p>
    <w:p w14:paraId="24572FC0" w14:textId="5FBA347E" w:rsidR="00FF449A" w:rsidRDefault="00FF449A" w:rsidP="00325E12">
      <w:pPr>
        <w:rPr>
          <w:rFonts w:ascii="Arial" w:hAnsi="Arial" w:cs="Arial"/>
        </w:rPr>
      </w:pPr>
      <w:r>
        <w:rPr>
          <w:noProof/>
          <w:lang w:eastAsia="es-MX"/>
        </w:rPr>
        <w:drawing>
          <wp:anchor distT="0" distB="0" distL="114300" distR="114300" simplePos="0" relativeHeight="251662848" behindDoc="0" locked="0" layoutInCell="1" allowOverlap="1" wp14:anchorId="1A72934A" wp14:editId="47C30BC0">
            <wp:simplePos x="0" y="0"/>
            <wp:positionH relativeFrom="margin">
              <wp:posOffset>853440</wp:posOffset>
            </wp:positionH>
            <wp:positionV relativeFrom="margin">
              <wp:posOffset>6414770</wp:posOffset>
            </wp:positionV>
            <wp:extent cx="3790950" cy="2295525"/>
            <wp:effectExtent l="0" t="0" r="0" b="9525"/>
            <wp:wrapSquare wrapText="bothSides"/>
            <wp:docPr id="15"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p w14:paraId="1706B619" w14:textId="58DCDDED" w:rsidR="00FF449A" w:rsidRDefault="00FF449A" w:rsidP="00325E12">
      <w:pPr>
        <w:rPr>
          <w:rFonts w:ascii="Arial" w:hAnsi="Arial" w:cs="Arial"/>
        </w:rPr>
      </w:pPr>
    </w:p>
    <w:p w14:paraId="729DF545" w14:textId="024CABDA" w:rsidR="00FF449A" w:rsidRDefault="00FF449A" w:rsidP="00325E12">
      <w:pPr>
        <w:rPr>
          <w:rFonts w:ascii="Arial" w:hAnsi="Arial" w:cs="Arial"/>
        </w:rPr>
      </w:pPr>
    </w:p>
    <w:p w14:paraId="5022E3A8" w14:textId="65849253" w:rsidR="00FF449A" w:rsidRDefault="00FF449A" w:rsidP="00325E12">
      <w:pPr>
        <w:rPr>
          <w:rFonts w:ascii="Arial" w:hAnsi="Arial" w:cs="Arial"/>
        </w:rPr>
      </w:pPr>
    </w:p>
    <w:p w14:paraId="29EE6261" w14:textId="3940F01E" w:rsidR="00FF449A" w:rsidRDefault="00FF449A" w:rsidP="00325E12">
      <w:pPr>
        <w:rPr>
          <w:rFonts w:ascii="Arial" w:hAnsi="Arial" w:cs="Arial"/>
        </w:rPr>
      </w:pPr>
    </w:p>
    <w:p w14:paraId="678372B4" w14:textId="77777777" w:rsidR="00FF449A" w:rsidRDefault="00FF449A" w:rsidP="00325E12">
      <w:pPr>
        <w:rPr>
          <w:rFonts w:ascii="Arial" w:hAnsi="Arial" w:cs="Arial"/>
        </w:rPr>
      </w:pPr>
    </w:p>
    <w:p w14:paraId="74599463" w14:textId="20A6997F" w:rsidR="00FF449A" w:rsidRDefault="00FF449A" w:rsidP="00325E12">
      <w:pPr>
        <w:rPr>
          <w:rFonts w:ascii="Arial" w:hAnsi="Arial" w:cs="Arial"/>
        </w:rPr>
      </w:pPr>
    </w:p>
    <w:p w14:paraId="0B487050" w14:textId="200497AA" w:rsidR="00FF449A" w:rsidRPr="00FF449A" w:rsidRDefault="005D04F1" w:rsidP="00325E12">
      <w:pPr>
        <w:rPr>
          <w:rFonts w:ascii="Arial" w:hAnsi="Arial" w:cs="Arial"/>
          <w:b/>
        </w:rPr>
      </w:pPr>
      <w:r>
        <w:rPr>
          <w:noProof/>
          <w:lang w:eastAsia="es-MX"/>
        </w:rPr>
        <w:lastRenderedPageBreak/>
        <w:drawing>
          <wp:anchor distT="0" distB="0" distL="114300" distR="114300" simplePos="0" relativeHeight="251664896" behindDoc="0" locked="0" layoutInCell="1" allowOverlap="1" wp14:anchorId="1CF8070D" wp14:editId="6B3B1F16">
            <wp:simplePos x="0" y="0"/>
            <wp:positionH relativeFrom="margin">
              <wp:align>center</wp:align>
            </wp:positionH>
            <wp:positionV relativeFrom="margin">
              <wp:posOffset>2834005</wp:posOffset>
            </wp:positionV>
            <wp:extent cx="4000500" cy="2028825"/>
            <wp:effectExtent l="0" t="0" r="0" b="9525"/>
            <wp:wrapSquare wrapText="bothSides"/>
            <wp:docPr id="17" name="Gráfico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anchor>
        </w:drawing>
      </w:r>
      <w:r w:rsidRPr="005D04F1">
        <w:rPr>
          <w:rFonts w:ascii="Arial" w:hAnsi="Arial" w:cs="Arial"/>
        </w:rPr>
        <w:drawing>
          <wp:anchor distT="0" distB="0" distL="114300" distR="114300" simplePos="0" relativeHeight="251663872" behindDoc="0" locked="0" layoutInCell="1" allowOverlap="1" wp14:anchorId="5EEAA412" wp14:editId="2D572C1D">
            <wp:simplePos x="0" y="0"/>
            <wp:positionH relativeFrom="margin">
              <wp:posOffset>-642620</wp:posOffset>
            </wp:positionH>
            <wp:positionV relativeFrom="margin">
              <wp:posOffset>214630</wp:posOffset>
            </wp:positionV>
            <wp:extent cx="6894195" cy="2628900"/>
            <wp:effectExtent l="0" t="0" r="1905"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894195" cy="2628900"/>
                    </a:xfrm>
                    <a:prstGeom prst="rect">
                      <a:avLst/>
                    </a:prstGeom>
                  </pic:spPr>
                </pic:pic>
              </a:graphicData>
            </a:graphic>
            <wp14:sizeRelH relativeFrom="margin">
              <wp14:pctWidth>0</wp14:pctWidth>
            </wp14:sizeRelH>
            <wp14:sizeRelV relativeFrom="margin">
              <wp14:pctHeight>0</wp14:pctHeight>
            </wp14:sizeRelV>
          </wp:anchor>
        </w:drawing>
      </w:r>
      <w:r w:rsidR="00FF449A" w:rsidRPr="00FF449A">
        <w:rPr>
          <w:rFonts w:ascii="Arial" w:hAnsi="Arial" w:cs="Arial"/>
          <w:b/>
        </w:rPr>
        <w:t>Tablas de vida. Mujeres 2010</w:t>
      </w:r>
    </w:p>
    <w:p w14:paraId="2E1FE190" w14:textId="4FBC1AA6" w:rsidR="00FF449A" w:rsidRDefault="00FF449A" w:rsidP="00325E12">
      <w:pPr>
        <w:rPr>
          <w:rFonts w:ascii="Arial" w:hAnsi="Arial" w:cs="Arial"/>
        </w:rPr>
      </w:pPr>
    </w:p>
    <w:p w14:paraId="7E5743E4" w14:textId="0AD635A4" w:rsidR="005D04F1" w:rsidRDefault="005D04F1" w:rsidP="00325E12">
      <w:pPr>
        <w:rPr>
          <w:rFonts w:ascii="Arial" w:hAnsi="Arial" w:cs="Arial"/>
        </w:rPr>
      </w:pPr>
    </w:p>
    <w:p w14:paraId="56D492B1" w14:textId="340C8065" w:rsidR="005D04F1" w:rsidRDefault="005D04F1" w:rsidP="00325E12">
      <w:pPr>
        <w:rPr>
          <w:rFonts w:ascii="Arial" w:hAnsi="Arial" w:cs="Arial"/>
        </w:rPr>
      </w:pPr>
    </w:p>
    <w:p w14:paraId="5EA67257" w14:textId="327D50AB" w:rsidR="005D04F1" w:rsidRDefault="005D04F1" w:rsidP="00325E12">
      <w:pPr>
        <w:rPr>
          <w:rFonts w:ascii="Arial" w:hAnsi="Arial" w:cs="Arial"/>
        </w:rPr>
      </w:pPr>
    </w:p>
    <w:p w14:paraId="0C8C7A87" w14:textId="04454EAF" w:rsidR="005D04F1" w:rsidRDefault="005D04F1" w:rsidP="00325E12">
      <w:pPr>
        <w:rPr>
          <w:rFonts w:ascii="Arial" w:hAnsi="Arial" w:cs="Arial"/>
        </w:rPr>
      </w:pPr>
    </w:p>
    <w:p w14:paraId="71E8478B" w14:textId="770D93A2" w:rsidR="005D04F1" w:rsidRDefault="005D04F1" w:rsidP="00325E12">
      <w:pPr>
        <w:rPr>
          <w:rFonts w:ascii="Arial" w:hAnsi="Arial" w:cs="Arial"/>
        </w:rPr>
      </w:pPr>
    </w:p>
    <w:p w14:paraId="5EE59CAB" w14:textId="29B83ED7" w:rsidR="005D04F1" w:rsidRDefault="005D04F1" w:rsidP="00325E12">
      <w:pPr>
        <w:rPr>
          <w:rFonts w:ascii="Arial" w:hAnsi="Arial" w:cs="Arial"/>
        </w:rPr>
      </w:pPr>
    </w:p>
    <w:p w14:paraId="1C4F751B" w14:textId="2F4C4CB9" w:rsidR="005D04F1" w:rsidRDefault="005D04F1" w:rsidP="00325E12">
      <w:pPr>
        <w:rPr>
          <w:rFonts w:ascii="Arial" w:hAnsi="Arial" w:cs="Arial"/>
        </w:rPr>
      </w:pPr>
    </w:p>
    <w:p w14:paraId="1D282CBA" w14:textId="2948950B" w:rsidR="005D04F1" w:rsidRDefault="005D04F1" w:rsidP="00325E12">
      <w:pPr>
        <w:rPr>
          <w:rFonts w:ascii="Arial" w:hAnsi="Arial" w:cs="Arial"/>
        </w:rPr>
      </w:pPr>
    </w:p>
    <w:p w14:paraId="608A86AF" w14:textId="2A1DC71B" w:rsidR="005D04F1" w:rsidRDefault="00E144B1" w:rsidP="00325E12">
      <w:pPr>
        <w:rPr>
          <w:rFonts w:ascii="Arial" w:hAnsi="Arial" w:cs="Arial"/>
          <w:b/>
        </w:rPr>
      </w:pPr>
      <w:r w:rsidRPr="00E144B1">
        <w:rPr>
          <w:rFonts w:ascii="Arial" w:hAnsi="Arial" w:cs="Arial"/>
        </w:rPr>
        <w:drawing>
          <wp:anchor distT="0" distB="0" distL="114300" distR="114300" simplePos="0" relativeHeight="251665920" behindDoc="0" locked="0" layoutInCell="1" allowOverlap="1" wp14:anchorId="379BBE61" wp14:editId="25618AFD">
            <wp:simplePos x="0" y="0"/>
            <wp:positionH relativeFrom="margin">
              <wp:posOffset>-565785</wp:posOffset>
            </wp:positionH>
            <wp:positionV relativeFrom="margin">
              <wp:posOffset>5548630</wp:posOffset>
            </wp:positionV>
            <wp:extent cx="6802120" cy="2590800"/>
            <wp:effectExtent l="0" t="0" r="0"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802120" cy="25908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rPr>
        <w:t>T</w:t>
      </w:r>
      <w:r w:rsidRPr="00FF449A">
        <w:rPr>
          <w:rFonts w:ascii="Arial" w:hAnsi="Arial" w:cs="Arial"/>
          <w:b/>
        </w:rPr>
        <w:t>ab</w:t>
      </w:r>
      <w:r>
        <w:rPr>
          <w:rFonts w:ascii="Arial" w:hAnsi="Arial" w:cs="Arial"/>
        </w:rPr>
        <w:t>l</w:t>
      </w:r>
      <w:r w:rsidRPr="00FF449A">
        <w:rPr>
          <w:rFonts w:ascii="Arial" w:hAnsi="Arial" w:cs="Arial"/>
          <w:b/>
        </w:rPr>
        <w:t>as de vida. Hombres 2010</w:t>
      </w:r>
    </w:p>
    <w:p w14:paraId="536C1D51" w14:textId="11787C98" w:rsidR="00E144B1" w:rsidRDefault="00E144B1" w:rsidP="00E144B1">
      <w:pPr>
        <w:jc w:val="center"/>
        <w:rPr>
          <w:rFonts w:ascii="Arial" w:hAnsi="Arial" w:cs="Arial"/>
          <w:b/>
        </w:rPr>
      </w:pPr>
      <w:r>
        <w:rPr>
          <w:noProof/>
          <w:lang w:eastAsia="es-MX"/>
        </w:rPr>
        <w:lastRenderedPageBreak/>
        <w:drawing>
          <wp:inline distT="0" distB="0" distL="0" distR="0" wp14:anchorId="2FB7DF41" wp14:editId="2E5517A2">
            <wp:extent cx="3657600" cy="2152650"/>
            <wp:effectExtent l="0" t="0" r="0" b="0"/>
            <wp:docPr id="19" name="Gráfico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5D4AFC2" w14:textId="787E6664" w:rsidR="00E144B1" w:rsidRDefault="00E144B1" w:rsidP="00325E12">
      <w:pPr>
        <w:rPr>
          <w:rFonts w:ascii="Arial" w:hAnsi="Arial" w:cs="Arial"/>
          <w:b/>
        </w:rPr>
      </w:pPr>
    </w:p>
    <w:p w14:paraId="5A52D1B2" w14:textId="051BC486" w:rsidR="00E144B1" w:rsidRPr="00FF449A" w:rsidRDefault="00E144B1" w:rsidP="00E144B1">
      <w:pPr>
        <w:rPr>
          <w:rFonts w:ascii="Arial" w:hAnsi="Arial" w:cs="Arial"/>
          <w:b/>
        </w:rPr>
      </w:pPr>
      <w:r w:rsidRPr="00E144B1">
        <w:rPr>
          <w:rFonts w:ascii="Arial" w:hAnsi="Arial" w:cs="Arial"/>
        </w:rPr>
        <w:drawing>
          <wp:anchor distT="0" distB="0" distL="114300" distR="114300" simplePos="0" relativeHeight="251666944" behindDoc="0" locked="0" layoutInCell="1" allowOverlap="1" wp14:anchorId="26BE0E5D" wp14:editId="3A3C66E3">
            <wp:simplePos x="0" y="0"/>
            <wp:positionH relativeFrom="margin">
              <wp:posOffset>-603885</wp:posOffset>
            </wp:positionH>
            <wp:positionV relativeFrom="margin">
              <wp:posOffset>2738120</wp:posOffset>
            </wp:positionV>
            <wp:extent cx="6825615" cy="2581275"/>
            <wp:effectExtent l="0" t="0" r="0" b="9525"/>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825615" cy="258127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rPr>
        <w:t>Ta</w:t>
      </w:r>
      <w:r w:rsidRPr="00FF449A">
        <w:rPr>
          <w:rFonts w:ascii="Arial" w:hAnsi="Arial" w:cs="Arial"/>
          <w:b/>
        </w:rPr>
        <w:t>blas de vida. Mujeres 2010</w:t>
      </w:r>
    </w:p>
    <w:p w14:paraId="4E9740A2" w14:textId="52DCB839" w:rsidR="00E144B1" w:rsidRDefault="00E144B1" w:rsidP="00E144B1">
      <w:pPr>
        <w:jc w:val="center"/>
        <w:rPr>
          <w:rFonts w:ascii="Arial" w:hAnsi="Arial" w:cs="Arial"/>
        </w:rPr>
      </w:pPr>
      <w:r>
        <w:rPr>
          <w:noProof/>
          <w:lang w:eastAsia="es-MX"/>
        </w:rPr>
        <w:drawing>
          <wp:inline distT="0" distB="0" distL="0" distR="0" wp14:anchorId="417F69B8" wp14:editId="1B4C22B8">
            <wp:extent cx="3600450" cy="2499995"/>
            <wp:effectExtent l="0" t="0" r="0" b="14605"/>
            <wp:docPr id="21" name="Gráfico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8943234" w14:textId="0716C187" w:rsidR="00E144B1" w:rsidRDefault="00E144B1" w:rsidP="00E144B1">
      <w:pPr>
        <w:jc w:val="center"/>
        <w:rPr>
          <w:rFonts w:ascii="Arial" w:hAnsi="Arial" w:cs="Arial"/>
        </w:rPr>
      </w:pPr>
    </w:p>
    <w:p w14:paraId="0F0B1C9B" w14:textId="6B7FA1D5" w:rsidR="00E144B1" w:rsidRDefault="00F96C5A" w:rsidP="00F96C5A">
      <w:pPr>
        <w:rPr>
          <w:rFonts w:ascii="Arial" w:hAnsi="Arial" w:cs="Arial"/>
          <w:b/>
        </w:rPr>
      </w:pPr>
      <w:r w:rsidRPr="00F96C5A">
        <w:rPr>
          <w:rFonts w:ascii="Arial" w:hAnsi="Arial" w:cs="Arial"/>
          <w:b/>
        </w:rPr>
        <w:lastRenderedPageBreak/>
        <w:t>¿Cómo es la esperanza de vida al nacimiento para 2010 y 2020, y a qu</w:t>
      </w:r>
      <w:r>
        <w:rPr>
          <w:rFonts w:ascii="Arial" w:hAnsi="Arial" w:cs="Arial"/>
          <w:b/>
        </w:rPr>
        <w:t xml:space="preserve">e puede deberse </w:t>
      </w:r>
      <w:r w:rsidRPr="00F96C5A">
        <w:rPr>
          <w:rFonts w:ascii="Arial" w:hAnsi="Arial" w:cs="Arial"/>
          <w:b/>
        </w:rPr>
        <w:t>el cambio entre ambos años?</w:t>
      </w:r>
    </w:p>
    <w:p w14:paraId="1A7063DD" w14:textId="1B49FBC8" w:rsidR="00F96C5A" w:rsidRPr="00F96C5A" w:rsidRDefault="00F96C5A" w:rsidP="00F96C5A">
      <w:pPr>
        <w:rPr>
          <w:rFonts w:ascii="Arial" w:hAnsi="Arial" w:cs="Arial"/>
        </w:rPr>
      </w:pPr>
      <w:r>
        <w:rPr>
          <w:rFonts w:ascii="Arial" w:hAnsi="Arial" w:cs="Arial"/>
          <w:b/>
        </w:rPr>
        <w:t xml:space="preserve">R= </w:t>
      </w:r>
      <w:r>
        <w:rPr>
          <w:rFonts w:ascii="Arial" w:hAnsi="Arial" w:cs="Arial"/>
        </w:rPr>
        <w:t>La esperanza de vida para esos años son:</w:t>
      </w:r>
    </w:p>
    <w:tbl>
      <w:tblPr>
        <w:tblW w:w="9686" w:type="dxa"/>
        <w:tblInd w:w="-728" w:type="dxa"/>
        <w:tblCellMar>
          <w:top w:w="15" w:type="dxa"/>
          <w:left w:w="15" w:type="dxa"/>
          <w:bottom w:w="15" w:type="dxa"/>
          <w:right w:w="15" w:type="dxa"/>
        </w:tblCellMar>
        <w:tblLook w:val="04A0" w:firstRow="1" w:lastRow="0" w:firstColumn="1" w:lastColumn="0" w:noHBand="0" w:noVBand="1"/>
      </w:tblPr>
      <w:tblGrid>
        <w:gridCol w:w="1962"/>
        <w:gridCol w:w="4182"/>
        <w:gridCol w:w="3542"/>
      </w:tblGrid>
      <w:tr w:rsidR="00F96C5A" w:rsidRPr="00F96C5A" w14:paraId="1B27E2AA" w14:textId="77777777" w:rsidTr="00F96C5A">
        <w:trPr>
          <w:trHeight w:val="321"/>
          <w:tblHeader/>
        </w:trPr>
        <w:tc>
          <w:tcPr>
            <w:tcW w:w="0" w:type="auto"/>
            <w:tcBorders>
              <w:top w:val="nil"/>
            </w:tcBorders>
            <w:tcMar>
              <w:top w:w="150" w:type="dxa"/>
              <w:left w:w="0" w:type="dxa"/>
              <w:bottom w:w="150" w:type="dxa"/>
              <w:right w:w="240" w:type="dxa"/>
            </w:tcMar>
            <w:vAlign w:val="center"/>
            <w:hideMark/>
          </w:tcPr>
          <w:p w14:paraId="6BEE6105" w14:textId="77777777" w:rsidR="00F96C5A" w:rsidRPr="00F96C5A" w:rsidRDefault="00F96C5A" w:rsidP="00F96C5A">
            <w:pPr>
              <w:spacing w:after="0" w:line="375" w:lineRule="atLeast"/>
              <w:jc w:val="center"/>
              <w:rPr>
                <w:rFonts w:ascii="Segoe UI" w:eastAsia="Times New Roman" w:hAnsi="Segoe UI" w:cs="Segoe UI"/>
                <w:sz w:val="23"/>
                <w:szCs w:val="23"/>
                <w:lang w:eastAsia="es-MX"/>
              </w:rPr>
            </w:pPr>
            <w:r w:rsidRPr="00F96C5A">
              <w:rPr>
                <w:rFonts w:ascii="Segoe UI" w:eastAsia="Times New Roman" w:hAnsi="Segoe UI" w:cs="Segoe UI"/>
                <w:sz w:val="23"/>
                <w:szCs w:val="23"/>
                <w:lang w:eastAsia="es-MX"/>
              </w:rPr>
              <w:t>Año</w:t>
            </w:r>
          </w:p>
        </w:tc>
        <w:tc>
          <w:tcPr>
            <w:tcW w:w="0" w:type="auto"/>
            <w:tcBorders>
              <w:top w:val="nil"/>
            </w:tcBorders>
            <w:tcMar>
              <w:top w:w="150" w:type="dxa"/>
              <w:left w:w="240" w:type="dxa"/>
              <w:bottom w:w="150" w:type="dxa"/>
              <w:right w:w="240" w:type="dxa"/>
            </w:tcMar>
            <w:vAlign w:val="center"/>
            <w:hideMark/>
          </w:tcPr>
          <w:p w14:paraId="330CE9D7" w14:textId="6A3FC70B" w:rsidR="00F96C5A" w:rsidRPr="00F96C5A" w:rsidRDefault="00F96C5A" w:rsidP="00F96C5A">
            <w:pPr>
              <w:spacing w:after="0" w:line="375" w:lineRule="atLeast"/>
              <w:jc w:val="center"/>
              <w:rPr>
                <w:rFonts w:ascii="Segoe UI" w:eastAsia="Times New Roman" w:hAnsi="Segoe UI" w:cs="Segoe UI"/>
                <w:sz w:val="23"/>
                <w:szCs w:val="23"/>
                <w:lang w:eastAsia="es-MX"/>
              </w:rPr>
            </w:pPr>
            <w:r>
              <w:rPr>
                <w:rFonts w:ascii="Segoe UI" w:eastAsia="Times New Roman" w:hAnsi="Segoe UI" w:cs="Segoe UI"/>
                <w:sz w:val="23"/>
                <w:szCs w:val="23"/>
                <w:lang w:eastAsia="es-MX"/>
              </w:rPr>
              <w:t>Hombres</w:t>
            </w:r>
          </w:p>
        </w:tc>
        <w:tc>
          <w:tcPr>
            <w:tcW w:w="0" w:type="auto"/>
            <w:tcBorders>
              <w:top w:val="nil"/>
            </w:tcBorders>
            <w:tcMar>
              <w:top w:w="150" w:type="dxa"/>
              <w:left w:w="240" w:type="dxa"/>
              <w:bottom w:w="150" w:type="dxa"/>
              <w:right w:w="240" w:type="dxa"/>
            </w:tcMar>
            <w:vAlign w:val="center"/>
            <w:hideMark/>
          </w:tcPr>
          <w:p w14:paraId="11739BAC" w14:textId="2BC3DC98" w:rsidR="00F96C5A" w:rsidRPr="00F96C5A" w:rsidRDefault="00F96C5A" w:rsidP="00F96C5A">
            <w:pPr>
              <w:spacing w:after="0" w:line="375" w:lineRule="atLeast"/>
              <w:jc w:val="center"/>
              <w:rPr>
                <w:rFonts w:ascii="Segoe UI" w:eastAsia="Times New Roman" w:hAnsi="Segoe UI" w:cs="Segoe UI"/>
                <w:sz w:val="23"/>
                <w:szCs w:val="23"/>
                <w:lang w:eastAsia="es-MX"/>
              </w:rPr>
            </w:pPr>
            <w:r>
              <w:rPr>
                <w:rFonts w:ascii="Segoe UI" w:eastAsia="Times New Roman" w:hAnsi="Segoe UI" w:cs="Segoe UI"/>
                <w:sz w:val="23"/>
                <w:szCs w:val="23"/>
                <w:lang w:eastAsia="es-MX"/>
              </w:rPr>
              <w:t>Mujeres</w:t>
            </w:r>
          </w:p>
        </w:tc>
      </w:tr>
      <w:tr w:rsidR="00F96C5A" w:rsidRPr="00F96C5A" w14:paraId="58EAE919" w14:textId="77777777" w:rsidTr="00F96C5A">
        <w:trPr>
          <w:trHeight w:val="321"/>
        </w:trPr>
        <w:tc>
          <w:tcPr>
            <w:tcW w:w="0" w:type="auto"/>
            <w:tcMar>
              <w:top w:w="150" w:type="dxa"/>
              <w:left w:w="0" w:type="dxa"/>
              <w:bottom w:w="150" w:type="dxa"/>
              <w:right w:w="240" w:type="dxa"/>
            </w:tcMar>
            <w:vAlign w:val="center"/>
            <w:hideMark/>
          </w:tcPr>
          <w:p w14:paraId="642F4AAE" w14:textId="77777777" w:rsidR="00F96C5A" w:rsidRPr="00F96C5A" w:rsidRDefault="00F96C5A" w:rsidP="00F96C5A">
            <w:pPr>
              <w:spacing w:after="0" w:line="375" w:lineRule="atLeast"/>
              <w:jc w:val="center"/>
              <w:rPr>
                <w:rFonts w:ascii="Segoe UI" w:eastAsia="Times New Roman" w:hAnsi="Segoe UI" w:cs="Segoe UI"/>
                <w:sz w:val="23"/>
                <w:szCs w:val="23"/>
                <w:lang w:eastAsia="es-MX"/>
              </w:rPr>
            </w:pPr>
            <w:r w:rsidRPr="00F96C5A">
              <w:rPr>
                <w:rFonts w:ascii="Segoe UI" w:eastAsia="Times New Roman" w:hAnsi="Segoe UI" w:cs="Segoe UI"/>
                <w:sz w:val="23"/>
                <w:szCs w:val="23"/>
                <w:lang w:eastAsia="es-MX"/>
              </w:rPr>
              <w:t>2010</w:t>
            </w:r>
          </w:p>
        </w:tc>
        <w:tc>
          <w:tcPr>
            <w:tcW w:w="0" w:type="auto"/>
            <w:tcMar>
              <w:top w:w="150" w:type="dxa"/>
              <w:left w:w="240" w:type="dxa"/>
              <w:bottom w:w="150" w:type="dxa"/>
              <w:right w:w="240" w:type="dxa"/>
            </w:tcMar>
            <w:vAlign w:val="center"/>
            <w:hideMark/>
          </w:tcPr>
          <w:p w14:paraId="0550D486" w14:textId="77777777" w:rsidR="00F96C5A" w:rsidRPr="00F96C5A" w:rsidRDefault="00F96C5A" w:rsidP="00F96C5A">
            <w:pPr>
              <w:spacing w:after="0" w:line="375" w:lineRule="atLeast"/>
              <w:jc w:val="center"/>
              <w:rPr>
                <w:rFonts w:ascii="Segoe UI" w:eastAsia="Times New Roman" w:hAnsi="Segoe UI" w:cs="Segoe UI"/>
                <w:sz w:val="23"/>
                <w:szCs w:val="23"/>
                <w:lang w:eastAsia="es-MX"/>
              </w:rPr>
            </w:pPr>
            <w:r w:rsidRPr="00F96C5A">
              <w:rPr>
                <w:rFonts w:ascii="Segoe UI" w:eastAsia="Times New Roman" w:hAnsi="Segoe UI" w:cs="Segoe UI"/>
                <w:sz w:val="23"/>
                <w:szCs w:val="23"/>
                <w:lang w:eastAsia="es-MX"/>
              </w:rPr>
              <w:t>86.03 años</w:t>
            </w:r>
          </w:p>
        </w:tc>
        <w:tc>
          <w:tcPr>
            <w:tcW w:w="0" w:type="auto"/>
            <w:tcMar>
              <w:top w:w="150" w:type="dxa"/>
              <w:left w:w="240" w:type="dxa"/>
              <w:bottom w:w="150" w:type="dxa"/>
              <w:right w:w="0" w:type="dxa"/>
            </w:tcMar>
            <w:vAlign w:val="center"/>
            <w:hideMark/>
          </w:tcPr>
          <w:p w14:paraId="08F5CDF5" w14:textId="77777777" w:rsidR="00F96C5A" w:rsidRPr="00F96C5A" w:rsidRDefault="00F96C5A" w:rsidP="00F96C5A">
            <w:pPr>
              <w:spacing w:after="0" w:line="375" w:lineRule="atLeast"/>
              <w:jc w:val="center"/>
              <w:rPr>
                <w:rFonts w:ascii="Segoe UI" w:eastAsia="Times New Roman" w:hAnsi="Segoe UI" w:cs="Segoe UI"/>
                <w:sz w:val="23"/>
                <w:szCs w:val="23"/>
                <w:lang w:eastAsia="es-MX"/>
              </w:rPr>
            </w:pPr>
            <w:r w:rsidRPr="00F96C5A">
              <w:rPr>
                <w:rFonts w:ascii="Segoe UI" w:eastAsia="Times New Roman" w:hAnsi="Segoe UI" w:cs="Segoe UI"/>
                <w:sz w:val="23"/>
                <w:szCs w:val="23"/>
                <w:lang w:eastAsia="es-MX"/>
              </w:rPr>
              <w:t>88.69 años</w:t>
            </w:r>
          </w:p>
        </w:tc>
      </w:tr>
      <w:tr w:rsidR="00F96C5A" w:rsidRPr="00F96C5A" w14:paraId="5F9D9BDD" w14:textId="77777777" w:rsidTr="00F96C5A">
        <w:trPr>
          <w:trHeight w:val="321"/>
        </w:trPr>
        <w:tc>
          <w:tcPr>
            <w:tcW w:w="0" w:type="auto"/>
            <w:tcMar>
              <w:top w:w="150" w:type="dxa"/>
              <w:left w:w="0" w:type="dxa"/>
              <w:bottom w:w="150" w:type="dxa"/>
              <w:right w:w="240" w:type="dxa"/>
            </w:tcMar>
            <w:vAlign w:val="center"/>
            <w:hideMark/>
          </w:tcPr>
          <w:p w14:paraId="46FD4DA8" w14:textId="77777777" w:rsidR="00F96C5A" w:rsidRPr="00F96C5A" w:rsidRDefault="00F96C5A" w:rsidP="00F96C5A">
            <w:pPr>
              <w:spacing w:after="0" w:line="375" w:lineRule="atLeast"/>
              <w:jc w:val="center"/>
              <w:rPr>
                <w:rFonts w:ascii="Segoe UI" w:eastAsia="Times New Roman" w:hAnsi="Segoe UI" w:cs="Segoe UI"/>
                <w:sz w:val="23"/>
                <w:szCs w:val="23"/>
                <w:lang w:eastAsia="es-MX"/>
              </w:rPr>
            </w:pPr>
            <w:r w:rsidRPr="00F96C5A">
              <w:rPr>
                <w:rFonts w:ascii="Segoe UI" w:eastAsia="Times New Roman" w:hAnsi="Segoe UI" w:cs="Segoe UI"/>
                <w:sz w:val="23"/>
                <w:szCs w:val="23"/>
                <w:lang w:eastAsia="es-MX"/>
              </w:rPr>
              <w:t>2020</w:t>
            </w:r>
          </w:p>
        </w:tc>
        <w:tc>
          <w:tcPr>
            <w:tcW w:w="0" w:type="auto"/>
            <w:tcMar>
              <w:top w:w="150" w:type="dxa"/>
              <w:left w:w="240" w:type="dxa"/>
              <w:bottom w:w="150" w:type="dxa"/>
              <w:right w:w="240" w:type="dxa"/>
            </w:tcMar>
            <w:vAlign w:val="center"/>
            <w:hideMark/>
          </w:tcPr>
          <w:p w14:paraId="7E98FD3F" w14:textId="77777777" w:rsidR="00F96C5A" w:rsidRPr="00F96C5A" w:rsidRDefault="00F96C5A" w:rsidP="00F96C5A">
            <w:pPr>
              <w:spacing w:after="0" w:line="375" w:lineRule="atLeast"/>
              <w:jc w:val="center"/>
              <w:rPr>
                <w:rFonts w:ascii="Segoe UI" w:eastAsia="Times New Roman" w:hAnsi="Segoe UI" w:cs="Segoe UI"/>
                <w:sz w:val="23"/>
                <w:szCs w:val="23"/>
                <w:lang w:eastAsia="es-MX"/>
              </w:rPr>
            </w:pPr>
            <w:r w:rsidRPr="00F96C5A">
              <w:rPr>
                <w:rFonts w:ascii="Segoe UI" w:eastAsia="Times New Roman" w:hAnsi="Segoe UI" w:cs="Segoe UI"/>
                <w:sz w:val="23"/>
                <w:szCs w:val="23"/>
                <w:lang w:eastAsia="es-MX"/>
              </w:rPr>
              <w:t>70.19 años</w:t>
            </w:r>
          </w:p>
        </w:tc>
        <w:tc>
          <w:tcPr>
            <w:tcW w:w="0" w:type="auto"/>
            <w:tcMar>
              <w:top w:w="150" w:type="dxa"/>
              <w:left w:w="240" w:type="dxa"/>
              <w:bottom w:w="150" w:type="dxa"/>
              <w:right w:w="0" w:type="dxa"/>
            </w:tcMar>
            <w:vAlign w:val="center"/>
            <w:hideMark/>
          </w:tcPr>
          <w:p w14:paraId="4E384436" w14:textId="77777777" w:rsidR="00F96C5A" w:rsidRPr="00F96C5A" w:rsidRDefault="00F96C5A" w:rsidP="00F96C5A">
            <w:pPr>
              <w:spacing w:after="0" w:line="375" w:lineRule="atLeast"/>
              <w:jc w:val="center"/>
              <w:rPr>
                <w:rFonts w:ascii="Segoe UI" w:eastAsia="Times New Roman" w:hAnsi="Segoe UI" w:cs="Segoe UI"/>
                <w:sz w:val="23"/>
                <w:szCs w:val="23"/>
                <w:lang w:eastAsia="es-MX"/>
              </w:rPr>
            </w:pPr>
            <w:r w:rsidRPr="00F96C5A">
              <w:rPr>
                <w:rFonts w:ascii="Segoe UI" w:eastAsia="Times New Roman" w:hAnsi="Segoe UI" w:cs="Segoe UI"/>
                <w:sz w:val="23"/>
                <w:szCs w:val="23"/>
                <w:lang w:eastAsia="es-MX"/>
              </w:rPr>
              <w:t>77.38 años</w:t>
            </w:r>
          </w:p>
        </w:tc>
      </w:tr>
    </w:tbl>
    <w:p w14:paraId="60E73B14" w14:textId="13F286C4" w:rsidR="00F96C5A" w:rsidRDefault="00F96C5A" w:rsidP="00F96C5A">
      <w:pPr>
        <w:rPr>
          <w:rFonts w:ascii="Segoe UI" w:eastAsia="Times New Roman" w:hAnsi="Segoe UI" w:cs="Segoe UI"/>
          <w:color w:val="F9FAFB"/>
          <w:sz w:val="24"/>
          <w:szCs w:val="24"/>
          <w:lang w:eastAsia="es-MX"/>
        </w:rPr>
      </w:pPr>
    </w:p>
    <w:p w14:paraId="09953BE9" w14:textId="04004429" w:rsidR="00F96C5A" w:rsidRPr="00F96C5A" w:rsidRDefault="00F96C5A" w:rsidP="00F96C5A">
      <w:pPr>
        <w:rPr>
          <w:rFonts w:ascii="Arial" w:hAnsi="Arial" w:cs="Arial"/>
        </w:rPr>
      </w:pPr>
      <w:r w:rsidRPr="00F96C5A">
        <w:rPr>
          <w:rFonts w:ascii="Arial" w:hAnsi="Arial" w:cs="Arial"/>
        </w:rPr>
        <w:t>La drástica reducción de la esperanza de vida entre 2010 y 2020 se atribuye principalmente al impacto de la pandemia por COVID-19, que afectó severamente al Estado de México y, en particular, a municipios de alta densidad poblacional como Tultitlán. Los hombres presentaron una mayor pérdida de años de vida (15.84 años) en comparación con las mujeres (11.31 años), lo cual es consistente con los patrones nacionales e internacionales que muestran una mayor letalidad del v</w:t>
      </w:r>
      <w:r>
        <w:rPr>
          <w:rFonts w:ascii="Arial" w:hAnsi="Arial" w:cs="Arial"/>
        </w:rPr>
        <w:t>irus en la población masculina.</w:t>
      </w:r>
    </w:p>
    <w:p w14:paraId="5A28D4FC" w14:textId="194394D7" w:rsidR="00F96C5A" w:rsidRDefault="00F96C5A" w:rsidP="00F96C5A">
      <w:pPr>
        <w:rPr>
          <w:rFonts w:ascii="Arial" w:hAnsi="Arial" w:cs="Arial"/>
        </w:rPr>
      </w:pPr>
      <w:r w:rsidRPr="00F96C5A">
        <w:rPr>
          <w:rFonts w:ascii="Arial" w:hAnsi="Arial" w:cs="Arial"/>
        </w:rPr>
        <w:t>Además, factores como la actividad comercial predominante en Tultitlán, que obligó a muchos hombres a continuar trabajando durante las cuarentenas, incrementó su exposición al contagio.</w:t>
      </w:r>
    </w:p>
    <w:p w14:paraId="50B1BB92" w14:textId="4D75A41C" w:rsidR="00F96C5A" w:rsidRDefault="00F96C5A" w:rsidP="00F96C5A">
      <w:pPr>
        <w:rPr>
          <w:rFonts w:ascii="Arial" w:hAnsi="Arial" w:cs="Arial"/>
        </w:rPr>
      </w:pPr>
    </w:p>
    <w:p w14:paraId="3525985F" w14:textId="44A61469" w:rsidR="00F96C5A" w:rsidRDefault="00F96C5A" w:rsidP="00F96C5A">
      <w:pPr>
        <w:rPr>
          <w:rFonts w:ascii="Arial" w:hAnsi="Arial" w:cs="Arial"/>
          <w:b/>
        </w:rPr>
      </w:pPr>
      <w:r w:rsidRPr="00F96C5A">
        <w:rPr>
          <w:rFonts w:ascii="Arial" w:hAnsi="Arial" w:cs="Arial"/>
          <w:b/>
        </w:rPr>
        <w:t>¿Cómo es la esperanza de vida por edades?</w:t>
      </w:r>
    </w:p>
    <w:p w14:paraId="3269EB11" w14:textId="2CCF0E3B" w:rsidR="00F96C5A" w:rsidRDefault="00F96C5A" w:rsidP="00F96C5A">
      <w:pPr>
        <w:rPr>
          <w:rFonts w:ascii="Arial" w:hAnsi="Arial" w:cs="Arial"/>
        </w:rPr>
      </w:pPr>
      <w:r>
        <w:rPr>
          <w:rFonts w:ascii="Arial" w:hAnsi="Arial" w:cs="Arial"/>
          <w:b/>
        </w:rPr>
        <w:t xml:space="preserve">R= </w:t>
      </w:r>
      <w:r w:rsidR="00AF491F">
        <w:rPr>
          <w:rFonts w:ascii="Arial" w:hAnsi="Arial" w:cs="Arial"/>
        </w:rPr>
        <w:t>A continuación se adjunta la comparativa para que sea más fácil entenderlo.</w:t>
      </w:r>
    </w:p>
    <w:p w14:paraId="5B236F6A" w14:textId="29AD90E4" w:rsidR="00AF491F" w:rsidRDefault="00AF491F" w:rsidP="00F96C5A">
      <w:pPr>
        <w:rPr>
          <w:rFonts w:ascii="Arial" w:hAnsi="Arial" w:cs="Arial"/>
        </w:rPr>
      </w:pPr>
      <w:r w:rsidRPr="00AF491F">
        <w:rPr>
          <w:rFonts w:ascii="Arial" w:hAnsi="Arial" w:cs="Arial"/>
        </w:rPr>
        <w:drawing>
          <wp:anchor distT="0" distB="0" distL="114300" distR="114300" simplePos="0" relativeHeight="251668992" behindDoc="0" locked="0" layoutInCell="1" allowOverlap="1" wp14:anchorId="7EC0B7D3" wp14:editId="19E8BF99">
            <wp:simplePos x="0" y="0"/>
            <wp:positionH relativeFrom="margin">
              <wp:posOffset>262890</wp:posOffset>
            </wp:positionH>
            <wp:positionV relativeFrom="margin">
              <wp:posOffset>5100955</wp:posOffset>
            </wp:positionV>
            <wp:extent cx="2249805" cy="3366135"/>
            <wp:effectExtent l="0" t="0" r="0" b="5715"/>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249805" cy="3366135"/>
                    </a:xfrm>
                    <a:prstGeom prst="rect">
                      <a:avLst/>
                    </a:prstGeom>
                  </pic:spPr>
                </pic:pic>
              </a:graphicData>
            </a:graphic>
            <wp14:sizeRelH relativeFrom="margin">
              <wp14:pctWidth>0</wp14:pctWidth>
            </wp14:sizeRelH>
            <wp14:sizeRelV relativeFrom="margin">
              <wp14:pctHeight>0</wp14:pctHeight>
            </wp14:sizeRelV>
          </wp:anchor>
        </w:drawing>
      </w:r>
      <w:r w:rsidRPr="00AF491F">
        <w:rPr>
          <w:noProof/>
          <w:lang w:eastAsia="es-MX"/>
        </w:rPr>
        <w:drawing>
          <wp:anchor distT="0" distB="0" distL="114300" distR="114300" simplePos="0" relativeHeight="251667968" behindDoc="0" locked="0" layoutInCell="1" allowOverlap="1" wp14:anchorId="343CD518" wp14:editId="381BD9C4">
            <wp:simplePos x="0" y="0"/>
            <wp:positionH relativeFrom="margin">
              <wp:posOffset>3215640</wp:posOffset>
            </wp:positionH>
            <wp:positionV relativeFrom="margin">
              <wp:posOffset>5129530</wp:posOffset>
            </wp:positionV>
            <wp:extent cx="2411095" cy="3337560"/>
            <wp:effectExtent l="0" t="0" r="8255"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411095" cy="3337560"/>
                    </a:xfrm>
                    <a:prstGeom prst="rect">
                      <a:avLst/>
                    </a:prstGeom>
                  </pic:spPr>
                </pic:pic>
              </a:graphicData>
            </a:graphic>
            <wp14:sizeRelH relativeFrom="margin">
              <wp14:pctWidth>0</wp14:pctWidth>
            </wp14:sizeRelH>
            <wp14:sizeRelV relativeFrom="margin">
              <wp14:pctHeight>0</wp14:pctHeight>
            </wp14:sizeRelV>
          </wp:anchor>
        </w:drawing>
      </w:r>
      <w:r w:rsidRPr="00AF491F">
        <w:rPr>
          <w:noProof/>
          <w:lang w:eastAsia="es-MX"/>
        </w:rPr>
        <w:t xml:space="preserve"> </w:t>
      </w:r>
    </w:p>
    <w:p w14:paraId="5B0999E7" w14:textId="029C3F2B" w:rsidR="00AF491F" w:rsidRDefault="00AF491F" w:rsidP="00F96C5A">
      <w:pPr>
        <w:rPr>
          <w:rFonts w:ascii="Arial" w:hAnsi="Arial" w:cs="Arial"/>
        </w:rPr>
      </w:pPr>
    </w:p>
    <w:p w14:paraId="3F2FFAE9" w14:textId="2149E59A" w:rsidR="00AF491F" w:rsidRDefault="00AF491F" w:rsidP="00F96C5A">
      <w:pPr>
        <w:rPr>
          <w:rFonts w:ascii="Arial" w:hAnsi="Arial" w:cs="Arial"/>
        </w:rPr>
      </w:pPr>
    </w:p>
    <w:p w14:paraId="2AF9FEDE" w14:textId="53B34DC9" w:rsidR="00AF491F" w:rsidRDefault="00AF491F" w:rsidP="00F96C5A">
      <w:pPr>
        <w:rPr>
          <w:rFonts w:ascii="Arial" w:hAnsi="Arial" w:cs="Arial"/>
        </w:rPr>
      </w:pPr>
    </w:p>
    <w:p w14:paraId="20BBE845" w14:textId="63CA6725" w:rsidR="00AF491F" w:rsidRDefault="00AF491F" w:rsidP="00F96C5A">
      <w:pPr>
        <w:rPr>
          <w:rFonts w:ascii="Arial" w:hAnsi="Arial" w:cs="Arial"/>
        </w:rPr>
      </w:pPr>
    </w:p>
    <w:p w14:paraId="66E3EC9A" w14:textId="50F8BAF1" w:rsidR="00AF491F" w:rsidRDefault="00AF491F" w:rsidP="00F96C5A">
      <w:pPr>
        <w:rPr>
          <w:rFonts w:ascii="Arial" w:hAnsi="Arial" w:cs="Arial"/>
        </w:rPr>
      </w:pPr>
    </w:p>
    <w:p w14:paraId="71289813" w14:textId="3D5EF9A7" w:rsidR="00AF491F" w:rsidRDefault="00AF491F" w:rsidP="00F96C5A">
      <w:pPr>
        <w:rPr>
          <w:rFonts w:ascii="Arial" w:hAnsi="Arial" w:cs="Arial"/>
        </w:rPr>
      </w:pPr>
    </w:p>
    <w:p w14:paraId="7F9C531B" w14:textId="2B2D320A" w:rsidR="00AF491F" w:rsidRDefault="00AF491F" w:rsidP="00F96C5A">
      <w:pPr>
        <w:rPr>
          <w:rFonts w:ascii="Arial" w:hAnsi="Arial" w:cs="Arial"/>
        </w:rPr>
      </w:pPr>
    </w:p>
    <w:p w14:paraId="7FE56D97" w14:textId="1FAA3065" w:rsidR="00AF491F" w:rsidRDefault="00AF491F" w:rsidP="00F96C5A">
      <w:pPr>
        <w:rPr>
          <w:rFonts w:ascii="Arial" w:hAnsi="Arial" w:cs="Arial"/>
        </w:rPr>
      </w:pPr>
    </w:p>
    <w:p w14:paraId="5F0F53F4" w14:textId="6A14997F" w:rsidR="00AF491F" w:rsidRDefault="00AF491F" w:rsidP="00F96C5A">
      <w:pPr>
        <w:rPr>
          <w:rFonts w:ascii="Arial" w:hAnsi="Arial" w:cs="Arial"/>
        </w:rPr>
      </w:pPr>
    </w:p>
    <w:p w14:paraId="33517F85" w14:textId="5895D7BF" w:rsidR="00AF491F" w:rsidRDefault="00AF491F" w:rsidP="00F96C5A">
      <w:pPr>
        <w:rPr>
          <w:rFonts w:ascii="Arial" w:hAnsi="Arial" w:cs="Arial"/>
        </w:rPr>
      </w:pPr>
    </w:p>
    <w:p w14:paraId="0782B0B4" w14:textId="7684C148" w:rsidR="00AF491F" w:rsidRDefault="00506CF1" w:rsidP="00F96C5A">
      <w:pPr>
        <w:rPr>
          <w:rFonts w:ascii="Arial" w:hAnsi="Arial" w:cs="Arial"/>
          <w:b/>
        </w:rPr>
      </w:pPr>
      <w:r w:rsidRPr="00506CF1">
        <w:rPr>
          <w:rFonts w:ascii="Arial" w:hAnsi="Arial" w:cs="Arial"/>
          <w:b/>
        </w:rPr>
        <w:lastRenderedPageBreak/>
        <w:t>¿Cómo la esperanza de vida para hombres comparada con la de mujeres?</w:t>
      </w:r>
    </w:p>
    <w:p w14:paraId="447AF875" w14:textId="3092FA08" w:rsidR="00506CF1" w:rsidRPr="00506CF1" w:rsidRDefault="00506CF1" w:rsidP="00506CF1">
      <w:pPr>
        <w:rPr>
          <w:rFonts w:ascii="Arial" w:hAnsi="Arial" w:cs="Arial"/>
        </w:rPr>
      </w:pPr>
      <w:r>
        <w:rPr>
          <w:rFonts w:ascii="Arial" w:hAnsi="Arial" w:cs="Arial"/>
          <w:b/>
        </w:rPr>
        <w:t xml:space="preserve">R= </w:t>
      </w:r>
      <w:r w:rsidRPr="00506CF1">
        <w:rPr>
          <w:rFonts w:ascii="Arial" w:hAnsi="Arial" w:cs="Arial"/>
        </w:rPr>
        <w:t>En todos los grupos de edad y años analizados, las mujeres presentan una esperanza de vid</w:t>
      </w:r>
      <w:r>
        <w:rPr>
          <w:rFonts w:ascii="Arial" w:hAnsi="Arial" w:cs="Arial"/>
        </w:rPr>
        <w:t>a superior a la de los hombres.</w:t>
      </w:r>
    </w:p>
    <w:p w14:paraId="0C268139" w14:textId="2D6C4072" w:rsidR="00506CF1" w:rsidRPr="00506CF1" w:rsidRDefault="00506CF1" w:rsidP="00506CF1">
      <w:pPr>
        <w:rPr>
          <w:rFonts w:ascii="Arial" w:hAnsi="Arial" w:cs="Arial"/>
        </w:rPr>
      </w:pPr>
      <w:r w:rsidRPr="00506CF1">
        <w:rPr>
          <w:rFonts w:ascii="Arial" w:hAnsi="Arial" w:cs="Arial"/>
        </w:rPr>
        <w:t>En 2010: La diferencia era moderada (2.66 años al nacimiento), con las mujeres viviendo aproximadame</w:t>
      </w:r>
      <w:r>
        <w:rPr>
          <w:rFonts w:ascii="Arial" w:hAnsi="Arial" w:cs="Arial"/>
        </w:rPr>
        <w:t>nte 3 años más que los hombres.</w:t>
      </w:r>
    </w:p>
    <w:p w14:paraId="3C382573" w14:textId="77777777" w:rsidR="00506CF1" w:rsidRPr="00506CF1" w:rsidRDefault="00506CF1" w:rsidP="00506CF1">
      <w:pPr>
        <w:rPr>
          <w:rFonts w:ascii="Arial" w:hAnsi="Arial" w:cs="Arial"/>
        </w:rPr>
      </w:pPr>
      <w:r w:rsidRPr="00506CF1">
        <w:rPr>
          <w:rFonts w:ascii="Arial" w:hAnsi="Arial" w:cs="Arial"/>
        </w:rPr>
        <w:t>En 2020: La brecha se amplió significativamente (7.19 años al nacimiento), con las mujeres viviendo más de 7 años más que los hombres. Esto se debe a que la pandemia por COVID-19 afectó desproporcionadamente a la población masculina.</w:t>
      </w:r>
    </w:p>
    <w:p w14:paraId="51017A07" w14:textId="77777777" w:rsidR="00506CF1" w:rsidRPr="00506CF1" w:rsidRDefault="00506CF1" w:rsidP="00506CF1">
      <w:pPr>
        <w:rPr>
          <w:rFonts w:ascii="Arial" w:hAnsi="Arial" w:cs="Arial"/>
        </w:rPr>
      </w:pPr>
    </w:p>
    <w:p w14:paraId="40B342CC" w14:textId="77777777" w:rsidR="00506CF1" w:rsidRPr="00506CF1" w:rsidRDefault="00506CF1" w:rsidP="00506CF1">
      <w:pPr>
        <w:rPr>
          <w:rFonts w:ascii="Arial" w:hAnsi="Arial" w:cs="Arial"/>
          <w:b/>
        </w:rPr>
      </w:pPr>
      <w:r w:rsidRPr="00506CF1">
        <w:rPr>
          <w:rFonts w:ascii="Arial" w:hAnsi="Arial" w:cs="Arial"/>
          <w:b/>
        </w:rPr>
        <w:t>Por edades en 2020:</w:t>
      </w:r>
    </w:p>
    <w:p w14:paraId="3816674C" w14:textId="77777777" w:rsidR="00506CF1" w:rsidRPr="00506CF1" w:rsidRDefault="00506CF1" w:rsidP="00506CF1">
      <w:pPr>
        <w:rPr>
          <w:rFonts w:ascii="Arial" w:hAnsi="Arial" w:cs="Arial"/>
        </w:rPr>
      </w:pPr>
    </w:p>
    <w:p w14:paraId="78EF71B2" w14:textId="38058C72" w:rsidR="00506CF1" w:rsidRPr="00506CF1" w:rsidRDefault="00506CF1" w:rsidP="00506CF1">
      <w:pPr>
        <w:pStyle w:val="Prrafodelista"/>
        <w:numPr>
          <w:ilvl w:val="0"/>
          <w:numId w:val="2"/>
        </w:numPr>
        <w:rPr>
          <w:rFonts w:ascii="Arial" w:hAnsi="Arial" w:cs="Arial"/>
        </w:rPr>
      </w:pPr>
      <w:r w:rsidRPr="00506CF1">
        <w:rPr>
          <w:rFonts w:ascii="Arial" w:hAnsi="Arial" w:cs="Arial"/>
        </w:rPr>
        <w:t>A los 20 años: mujeres viven 7 años más que hombres</w:t>
      </w:r>
    </w:p>
    <w:p w14:paraId="64D173E0" w14:textId="6F32CDC4" w:rsidR="00506CF1" w:rsidRPr="00506CF1" w:rsidRDefault="00506CF1" w:rsidP="00506CF1">
      <w:pPr>
        <w:pStyle w:val="Prrafodelista"/>
        <w:numPr>
          <w:ilvl w:val="0"/>
          <w:numId w:val="2"/>
        </w:numPr>
        <w:rPr>
          <w:rFonts w:ascii="Arial" w:hAnsi="Arial" w:cs="Arial"/>
        </w:rPr>
      </w:pPr>
      <w:r w:rsidRPr="00506CF1">
        <w:rPr>
          <w:rFonts w:ascii="Arial" w:hAnsi="Arial" w:cs="Arial"/>
        </w:rPr>
        <w:t>A los 40 años: mujeres viven 6 años más que hombres</w:t>
      </w:r>
    </w:p>
    <w:p w14:paraId="7819C389" w14:textId="044D3CC2" w:rsidR="00506CF1" w:rsidRPr="00506CF1" w:rsidRDefault="00506CF1" w:rsidP="00506CF1">
      <w:pPr>
        <w:pStyle w:val="Prrafodelista"/>
        <w:numPr>
          <w:ilvl w:val="0"/>
          <w:numId w:val="2"/>
        </w:numPr>
        <w:rPr>
          <w:rFonts w:ascii="Arial" w:hAnsi="Arial" w:cs="Arial"/>
        </w:rPr>
      </w:pPr>
      <w:r w:rsidRPr="00506CF1">
        <w:rPr>
          <w:rFonts w:ascii="Arial" w:hAnsi="Arial" w:cs="Arial"/>
        </w:rPr>
        <w:t>A los 60 años: mujeres viven 4 años más que hombres</w:t>
      </w:r>
    </w:p>
    <w:p w14:paraId="0F6F505D" w14:textId="77777777" w:rsidR="00506CF1" w:rsidRPr="00506CF1" w:rsidRDefault="00506CF1" w:rsidP="00506CF1">
      <w:pPr>
        <w:pStyle w:val="Prrafodelista"/>
        <w:numPr>
          <w:ilvl w:val="0"/>
          <w:numId w:val="2"/>
        </w:numPr>
        <w:rPr>
          <w:rFonts w:ascii="Arial" w:hAnsi="Arial" w:cs="Arial"/>
        </w:rPr>
      </w:pPr>
      <w:r w:rsidRPr="00506CF1">
        <w:rPr>
          <w:rFonts w:ascii="Arial" w:hAnsi="Arial" w:cs="Arial"/>
        </w:rPr>
        <w:t>A los 80 años: mujeres viven 1 año más que hombres</w:t>
      </w:r>
    </w:p>
    <w:p w14:paraId="3C6AC159" w14:textId="77777777" w:rsidR="00506CF1" w:rsidRPr="00506CF1" w:rsidRDefault="00506CF1" w:rsidP="00506CF1">
      <w:pPr>
        <w:rPr>
          <w:rFonts w:ascii="Arial" w:hAnsi="Arial" w:cs="Arial"/>
        </w:rPr>
      </w:pPr>
    </w:p>
    <w:p w14:paraId="5DF7E389" w14:textId="7C0C7DB8" w:rsidR="00506CF1" w:rsidRDefault="00506CF1" w:rsidP="00506CF1">
      <w:pPr>
        <w:rPr>
          <w:rFonts w:ascii="Arial" w:hAnsi="Arial" w:cs="Arial"/>
        </w:rPr>
      </w:pPr>
      <w:r w:rsidRPr="00506CF1">
        <w:rPr>
          <w:rFonts w:ascii="Arial" w:hAnsi="Arial" w:cs="Arial"/>
        </w:rPr>
        <w:t>La brecha se reduce con la edad, lo cual es normal porque la mortalidad se "nivela" en edades muy avanzadas.</w:t>
      </w:r>
    </w:p>
    <w:p w14:paraId="063FF814" w14:textId="358EDCE8" w:rsidR="002C05F0" w:rsidRDefault="002C05F0" w:rsidP="00506CF1">
      <w:pPr>
        <w:rPr>
          <w:rFonts w:ascii="Arial" w:hAnsi="Arial" w:cs="Arial"/>
        </w:rPr>
      </w:pPr>
      <w:r>
        <w:rPr>
          <w:noProof/>
          <w:lang w:eastAsia="es-MX"/>
        </w:rPr>
        <w:drawing>
          <wp:anchor distT="0" distB="0" distL="114300" distR="114300" simplePos="0" relativeHeight="251670016" behindDoc="0" locked="0" layoutInCell="1" allowOverlap="1" wp14:anchorId="25BD2A5B" wp14:editId="160C213F">
            <wp:simplePos x="0" y="0"/>
            <wp:positionH relativeFrom="margin">
              <wp:posOffset>-466725</wp:posOffset>
            </wp:positionH>
            <wp:positionV relativeFrom="margin">
              <wp:posOffset>4201160</wp:posOffset>
            </wp:positionV>
            <wp:extent cx="3067050" cy="2371725"/>
            <wp:effectExtent l="0" t="0" r="0" b="9525"/>
            <wp:wrapSquare wrapText="bothSides"/>
            <wp:docPr id="26" name="Gráfico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anchor>
        </w:drawing>
      </w:r>
    </w:p>
    <w:p w14:paraId="4F0F03B4" w14:textId="77777777" w:rsidR="002C05F0" w:rsidRDefault="002C05F0" w:rsidP="00506CF1">
      <w:pPr>
        <w:rPr>
          <w:rFonts w:ascii="Arial" w:hAnsi="Arial" w:cs="Arial"/>
        </w:rPr>
      </w:pPr>
    </w:p>
    <w:p w14:paraId="456FBBA9" w14:textId="77777777" w:rsidR="002C05F0" w:rsidRDefault="002C05F0" w:rsidP="00506CF1">
      <w:pPr>
        <w:rPr>
          <w:rFonts w:ascii="Arial" w:hAnsi="Arial" w:cs="Arial"/>
        </w:rPr>
      </w:pPr>
    </w:p>
    <w:p w14:paraId="27E9CCCD" w14:textId="77777777" w:rsidR="002C05F0" w:rsidRDefault="002C05F0" w:rsidP="00506CF1">
      <w:pPr>
        <w:rPr>
          <w:rFonts w:ascii="Arial" w:hAnsi="Arial" w:cs="Arial"/>
        </w:rPr>
      </w:pPr>
    </w:p>
    <w:p w14:paraId="1439AD9B" w14:textId="77777777" w:rsidR="002C05F0" w:rsidRDefault="002C05F0" w:rsidP="00506CF1">
      <w:pPr>
        <w:rPr>
          <w:rFonts w:ascii="Arial" w:hAnsi="Arial" w:cs="Arial"/>
        </w:rPr>
      </w:pPr>
    </w:p>
    <w:p w14:paraId="55062316" w14:textId="7E8B163C" w:rsidR="002C05F0" w:rsidRDefault="002C05F0" w:rsidP="00506CF1">
      <w:pPr>
        <w:rPr>
          <w:rFonts w:ascii="Arial" w:hAnsi="Arial" w:cs="Arial"/>
        </w:rPr>
      </w:pPr>
    </w:p>
    <w:p w14:paraId="3FDF7EA2" w14:textId="4A578F3E" w:rsidR="002C05F0" w:rsidRDefault="002C05F0" w:rsidP="00506CF1">
      <w:pPr>
        <w:rPr>
          <w:rFonts w:ascii="Arial" w:hAnsi="Arial" w:cs="Arial"/>
        </w:rPr>
      </w:pPr>
      <w:r>
        <w:rPr>
          <w:noProof/>
          <w:lang w:eastAsia="es-MX"/>
        </w:rPr>
        <w:drawing>
          <wp:anchor distT="0" distB="0" distL="114300" distR="114300" simplePos="0" relativeHeight="251671040" behindDoc="0" locked="0" layoutInCell="1" allowOverlap="1" wp14:anchorId="67430E5E" wp14:editId="6D14127A">
            <wp:simplePos x="0" y="0"/>
            <wp:positionH relativeFrom="margin">
              <wp:posOffset>2729865</wp:posOffset>
            </wp:positionH>
            <wp:positionV relativeFrom="bottomMargin">
              <wp:posOffset>-2257425</wp:posOffset>
            </wp:positionV>
            <wp:extent cx="3333750" cy="2457450"/>
            <wp:effectExtent l="0" t="0" r="0" b="0"/>
            <wp:wrapSquare wrapText="bothSides"/>
            <wp:docPr id="27" name="Gráfico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p>
    <w:p w14:paraId="2179B645" w14:textId="5D5E909C" w:rsidR="002C05F0" w:rsidRDefault="002C05F0" w:rsidP="00506CF1">
      <w:pPr>
        <w:rPr>
          <w:rFonts w:ascii="Arial" w:hAnsi="Arial" w:cs="Arial"/>
        </w:rPr>
      </w:pPr>
    </w:p>
    <w:p w14:paraId="4EEC8B82" w14:textId="69F06F89" w:rsidR="002C05F0" w:rsidRDefault="002C05F0" w:rsidP="00506CF1">
      <w:pPr>
        <w:rPr>
          <w:rFonts w:ascii="Arial" w:hAnsi="Arial" w:cs="Arial"/>
        </w:rPr>
      </w:pPr>
    </w:p>
    <w:p w14:paraId="12E994A9" w14:textId="349659F3" w:rsidR="002C05F0" w:rsidRDefault="002C05F0" w:rsidP="00506CF1">
      <w:pPr>
        <w:rPr>
          <w:rFonts w:ascii="Arial" w:hAnsi="Arial" w:cs="Arial"/>
        </w:rPr>
      </w:pPr>
    </w:p>
    <w:p w14:paraId="54B99C9D" w14:textId="77777777" w:rsidR="002C05F0" w:rsidRDefault="002C05F0" w:rsidP="00506CF1">
      <w:pPr>
        <w:rPr>
          <w:rFonts w:ascii="Arial" w:hAnsi="Arial" w:cs="Arial"/>
        </w:rPr>
      </w:pPr>
    </w:p>
    <w:p w14:paraId="51196D33" w14:textId="55306428" w:rsidR="002C05F0" w:rsidRDefault="002C05F0" w:rsidP="00506CF1">
      <w:pPr>
        <w:rPr>
          <w:rFonts w:ascii="Arial" w:hAnsi="Arial" w:cs="Arial"/>
        </w:rPr>
      </w:pPr>
    </w:p>
    <w:p w14:paraId="6F8C21D4" w14:textId="57578CC7" w:rsidR="002C05F0" w:rsidRDefault="002C05F0" w:rsidP="00506CF1">
      <w:pPr>
        <w:rPr>
          <w:rFonts w:ascii="Arial" w:hAnsi="Arial" w:cs="Arial"/>
        </w:rPr>
      </w:pPr>
    </w:p>
    <w:p w14:paraId="54C081D6" w14:textId="1B73A309" w:rsidR="002C05F0" w:rsidRDefault="00622039" w:rsidP="00506CF1">
      <w:pPr>
        <w:rPr>
          <w:rFonts w:ascii="Arial" w:hAnsi="Arial" w:cs="Arial"/>
          <w:b/>
        </w:rPr>
      </w:pPr>
      <w:r w:rsidRPr="00622039">
        <w:rPr>
          <w:rFonts w:ascii="Arial" w:hAnsi="Arial" w:cs="Arial"/>
          <w:b/>
        </w:rPr>
        <w:lastRenderedPageBreak/>
        <w:t>Intervalo c50</w:t>
      </w:r>
    </w:p>
    <w:p w14:paraId="3E424026" w14:textId="4AB392DD" w:rsidR="00622039" w:rsidRDefault="00622039" w:rsidP="00506CF1">
      <w:pPr>
        <w:rPr>
          <w:rFonts w:ascii="Arial" w:hAnsi="Arial" w:cs="Arial"/>
        </w:rPr>
      </w:pPr>
      <w:r w:rsidRPr="00622039">
        <w:rPr>
          <w:rFonts w:ascii="Arial" w:hAnsi="Arial" w:cs="Arial"/>
        </w:rPr>
        <w:t>El intervalo C50 indica la edad exacta en la que la mitad de la cohorte inicial de 100,000 nacidos vivos aún permanece con vida. Proporciona un punto de referencia claro para comparar la supervivencia entre diferentes grupos o contextos.</w:t>
      </w:r>
      <w:r>
        <w:rPr>
          <w:rFonts w:ascii="Arial" w:hAnsi="Arial" w:cs="Arial"/>
        </w:rPr>
        <w:t xml:space="preserve"> La manera de calcularlo es de la siguiente manera:</w:t>
      </w:r>
    </w:p>
    <w:p w14:paraId="6616075E" w14:textId="76258E3E" w:rsidR="00622039" w:rsidRDefault="00622039" w:rsidP="00506CF1">
      <w:pPr>
        <w:rPr>
          <w:rFonts w:ascii="Arial" w:hAnsi="Arial" w:cs="Arial"/>
        </w:rPr>
      </w:pPr>
    </w:p>
    <w:p w14:paraId="19CECC59" w14:textId="01F02EC5" w:rsidR="00622039" w:rsidRDefault="00622039" w:rsidP="00622039">
      <w:pPr>
        <w:jc w:val="center"/>
        <w:rPr>
          <w:rFonts w:ascii="Arial" w:hAnsi="Arial" w:cs="Arial"/>
        </w:rPr>
      </w:pPr>
      <w:r w:rsidRPr="00622039">
        <w:rPr>
          <w:rFonts w:ascii="Arial" w:hAnsi="Arial" w:cs="Arial"/>
        </w:rPr>
        <w:drawing>
          <wp:inline distT="0" distB="0" distL="0" distR="0" wp14:anchorId="024866E5" wp14:editId="2EA00016">
            <wp:extent cx="3486637" cy="1152686"/>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86637" cy="1152686"/>
                    </a:xfrm>
                    <a:prstGeom prst="rect">
                      <a:avLst/>
                    </a:prstGeom>
                  </pic:spPr>
                </pic:pic>
              </a:graphicData>
            </a:graphic>
          </wp:inline>
        </w:drawing>
      </w:r>
    </w:p>
    <w:p w14:paraId="763EEAEB" w14:textId="66C731C8" w:rsidR="00581E06" w:rsidRDefault="00581E06" w:rsidP="00622039">
      <w:pPr>
        <w:jc w:val="center"/>
        <w:rPr>
          <w:rFonts w:ascii="Arial" w:hAnsi="Arial" w:cs="Arial"/>
        </w:rPr>
      </w:pPr>
    </w:p>
    <w:p w14:paraId="02CDB288" w14:textId="05DB00D8" w:rsidR="00581E06" w:rsidRDefault="00581E06" w:rsidP="00581E06">
      <w:pPr>
        <w:rPr>
          <w:rFonts w:ascii="Arial" w:hAnsi="Arial" w:cs="Arial"/>
        </w:rPr>
      </w:pPr>
      <w:r>
        <w:rPr>
          <w:rFonts w:ascii="Arial" w:hAnsi="Arial" w:cs="Arial"/>
        </w:rPr>
        <w:t>Para nuestra población tenemos:</w:t>
      </w:r>
    </w:p>
    <w:p w14:paraId="3DBC20C8" w14:textId="77777777" w:rsidR="00581E06" w:rsidRDefault="00581E06" w:rsidP="00581E06">
      <w:pPr>
        <w:rPr>
          <w:rFonts w:ascii="Arial" w:hAnsi="Arial" w:cs="Arial"/>
        </w:rPr>
      </w:pPr>
    </w:p>
    <w:p w14:paraId="3727FF41" w14:textId="59E6B9BA" w:rsidR="00581E06" w:rsidRDefault="00581E06" w:rsidP="00581E06">
      <w:pPr>
        <w:jc w:val="center"/>
        <w:rPr>
          <w:rFonts w:ascii="Arial" w:hAnsi="Arial" w:cs="Arial"/>
        </w:rPr>
      </w:pPr>
      <w:r w:rsidRPr="00581E06">
        <w:rPr>
          <w:rFonts w:ascii="Arial" w:hAnsi="Arial" w:cs="Arial"/>
        </w:rPr>
        <w:drawing>
          <wp:inline distT="0" distB="0" distL="0" distR="0" wp14:anchorId="26681459" wp14:editId="01E15E4C">
            <wp:extent cx="2695951" cy="752580"/>
            <wp:effectExtent l="0" t="0" r="952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95951" cy="752580"/>
                    </a:xfrm>
                    <a:prstGeom prst="rect">
                      <a:avLst/>
                    </a:prstGeom>
                  </pic:spPr>
                </pic:pic>
              </a:graphicData>
            </a:graphic>
          </wp:inline>
        </w:drawing>
      </w:r>
    </w:p>
    <w:p w14:paraId="036FEAAB" w14:textId="77777777" w:rsidR="00581E06" w:rsidRDefault="00581E06" w:rsidP="00581E06">
      <w:pPr>
        <w:jc w:val="center"/>
        <w:rPr>
          <w:rFonts w:ascii="Arial" w:hAnsi="Arial" w:cs="Arial"/>
        </w:rPr>
      </w:pPr>
    </w:p>
    <w:p w14:paraId="21F54D72" w14:textId="689839AA" w:rsidR="00581E06" w:rsidRPr="00581E06" w:rsidRDefault="00581E06" w:rsidP="00581E06">
      <w:pPr>
        <w:rPr>
          <w:rFonts w:ascii="Arial" w:hAnsi="Arial" w:cs="Arial"/>
        </w:rPr>
      </w:pPr>
      <w:r w:rsidRPr="00581E06">
        <w:rPr>
          <w:rFonts w:ascii="Arial" w:hAnsi="Arial" w:cs="Arial"/>
        </w:rPr>
        <w:t>Hombres: El C50 disminuyó ligeramente de 71.48 a 70.18 años (-1.30 años). Esto indica que la edad hasta la cual sobrevive la mitad de los varones se redujo. En el contexto de Tultitlán, municipio con alta densidad poblacional y actividad comercial predominante, los hombres estuvieron más expuestos al COVID-19 durante la pandemia al continuar trabajando en sectores esenciales y no esenciales, lo que incrementó su morta</w:t>
      </w:r>
      <w:r>
        <w:rPr>
          <w:rFonts w:ascii="Arial" w:hAnsi="Arial" w:cs="Arial"/>
        </w:rPr>
        <w:t>lidad en edades adultas medias.</w:t>
      </w:r>
    </w:p>
    <w:p w14:paraId="5AA8C722" w14:textId="77777777" w:rsidR="00581E06" w:rsidRPr="00581E06" w:rsidRDefault="00581E06" w:rsidP="00581E06">
      <w:pPr>
        <w:rPr>
          <w:rFonts w:ascii="Arial" w:hAnsi="Arial" w:cs="Arial"/>
        </w:rPr>
      </w:pPr>
      <w:r w:rsidRPr="00581E06">
        <w:rPr>
          <w:rFonts w:ascii="Arial" w:hAnsi="Arial" w:cs="Arial"/>
        </w:rPr>
        <w:t>Mujeres: El C50 aumentó de 77.80 a 80.18 años (+2.38 años). Esto sugiere que las mujeres lograron una mayor supervivencia en edades medias durante la pandemia, posiblemente por tener mayor capacidad de resguardo domiciliario y menor exposición laboral al virus.</w:t>
      </w:r>
    </w:p>
    <w:p w14:paraId="0320775A" w14:textId="754268FA" w:rsidR="00581E06" w:rsidRDefault="00581E06" w:rsidP="00581E06">
      <w:pPr>
        <w:rPr>
          <w:rFonts w:ascii="Arial" w:hAnsi="Arial" w:cs="Arial"/>
        </w:rPr>
      </w:pPr>
      <w:r w:rsidRPr="00581E06">
        <w:rPr>
          <w:rFonts w:ascii="Arial" w:hAnsi="Arial" w:cs="Arial"/>
        </w:rPr>
        <w:t>En 2020, la brecha entre hombres y mujeres en el C50 es de 10 años (70.18 vs 80.18), lo que confirma la mayor vulnerabilidad masculina ante la crisis sanitaria en Tultitlán.</w:t>
      </w:r>
    </w:p>
    <w:p w14:paraId="0FC2343C" w14:textId="285AAD8D" w:rsidR="00581E06" w:rsidRDefault="00581E06" w:rsidP="00581E06">
      <w:pPr>
        <w:rPr>
          <w:rFonts w:ascii="Arial" w:hAnsi="Arial" w:cs="Arial"/>
        </w:rPr>
      </w:pPr>
    </w:p>
    <w:p w14:paraId="39C0C633" w14:textId="33807369" w:rsidR="00581E06" w:rsidRDefault="00581E06" w:rsidP="00581E06">
      <w:pPr>
        <w:rPr>
          <w:rFonts w:ascii="Arial" w:hAnsi="Arial" w:cs="Arial"/>
        </w:rPr>
      </w:pPr>
    </w:p>
    <w:p w14:paraId="61D857A9" w14:textId="43A7EA67" w:rsidR="00581E06" w:rsidRDefault="00581E06" w:rsidP="00581E06">
      <w:pPr>
        <w:rPr>
          <w:rFonts w:ascii="Arial" w:hAnsi="Arial" w:cs="Arial"/>
        </w:rPr>
      </w:pPr>
    </w:p>
    <w:p w14:paraId="1BD83C80" w14:textId="5195AE20" w:rsidR="00581E06" w:rsidRDefault="00581E06" w:rsidP="00581E06">
      <w:pPr>
        <w:rPr>
          <w:rFonts w:ascii="Arial" w:hAnsi="Arial" w:cs="Arial"/>
        </w:rPr>
      </w:pPr>
    </w:p>
    <w:p w14:paraId="7645E13B" w14:textId="71DE8BF1" w:rsidR="00581E06" w:rsidRDefault="00581E06" w:rsidP="00581E06">
      <w:pPr>
        <w:rPr>
          <w:rFonts w:ascii="Arial" w:hAnsi="Arial" w:cs="Arial"/>
        </w:rPr>
      </w:pPr>
    </w:p>
    <w:p w14:paraId="01AB91F8" w14:textId="6554D24C" w:rsidR="00581E06" w:rsidRDefault="00581E06" w:rsidP="00581E06">
      <w:pPr>
        <w:jc w:val="center"/>
        <w:rPr>
          <w:rFonts w:ascii="Arial" w:hAnsi="Arial" w:cs="Arial"/>
          <w:b/>
          <w:sz w:val="32"/>
        </w:rPr>
      </w:pPr>
      <w:r>
        <w:rPr>
          <w:rFonts w:ascii="Arial" w:hAnsi="Arial" w:cs="Arial"/>
          <w:b/>
          <w:sz w:val="32"/>
        </w:rPr>
        <w:lastRenderedPageBreak/>
        <w:t>RELACIONES DE SOBREVIVENCIA</w:t>
      </w:r>
    </w:p>
    <w:p w14:paraId="0214AC51" w14:textId="229CEDEA" w:rsidR="00581E06" w:rsidRDefault="00581E06" w:rsidP="00581E06">
      <w:pPr>
        <w:rPr>
          <w:rFonts w:ascii="Arial" w:hAnsi="Arial" w:cs="Arial"/>
        </w:rPr>
      </w:pPr>
      <w:r w:rsidRPr="00581E06">
        <w:rPr>
          <w:rFonts w:ascii="Arial" w:hAnsi="Arial" w:cs="Arial"/>
        </w:rPr>
        <w:t>Las relaciones de sobrevivencia representan la probabilidad de que una persona con edad cumplida x llegue con vida al s</w:t>
      </w:r>
      <w:r>
        <w:rPr>
          <w:rFonts w:ascii="Arial" w:hAnsi="Arial" w:cs="Arial"/>
        </w:rPr>
        <w:t>iguiente grupo de edad, teniendo las siguientes formulas:</w:t>
      </w:r>
    </w:p>
    <w:p w14:paraId="795FE1E7" w14:textId="007F2744" w:rsidR="00581E06" w:rsidRDefault="00581E06" w:rsidP="00581E06">
      <w:pPr>
        <w:jc w:val="center"/>
        <w:rPr>
          <w:rFonts w:ascii="Arial" w:hAnsi="Arial" w:cs="Arial"/>
        </w:rPr>
      </w:pPr>
      <w:r w:rsidRPr="00581E06">
        <w:rPr>
          <w:rFonts w:ascii="Arial" w:hAnsi="Arial" w:cs="Arial"/>
        </w:rPr>
        <w:drawing>
          <wp:inline distT="0" distB="0" distL="0" distR="0" wp14:anchorId="6CF5EA41" wp14:editId="3128ACEF">
            <wp:extent cx="4143953" cy="2286319"/>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43953" cy="2286319"/>
                    </a:xfrm>
                    <a:prstGeom prst="rect">
                      <a:avLst/>
                    </a:prstGeom>
                  </pic:spPr>
                </pic:pic>
              </a:graphicData>
            </a:graphic>
          </wp:inline>
        </w:drawing>
      </w:r>
    </w:p>
    <w:p w14:paraId="04A1AB2B" w14:textId="5FED01C7" w:rsidR="00581E06" w:rsidRDefault="00581E06" w:rsidP="00581E06">
      <w:pPr>
        <w:rPr>
          <w:rFonts w:ascii="Arial" w:hAnsi="Arial" w:cs="Arial"/>
        </w:rPr>
      </w:pPr>
      <w:r w:rsidRPr="00581E06">
        <w:rPr>
          <w:rFonts w:ascii="Arial" w:hAnsi="Arial" w:cs="Arial"/>
        </w:rPr>
        <w:drawing>
          <wp:anchor distT="0" distB="0" distL="114300" distR="114300" simplePos="0" relativeHeight="251672064" behindDoc="0" locked="0" layoutInCell="1" allowOverlap="1" wp14:anchorId="60692740" wp14:editId="6F2C1D97">
            <wp:simplePos x="0" y="0"/>
            <wp:positionH relativeFrom="margin">
              <wp:posOffset>-508635</wp:posOffset>
            </wp:positionH>
            <wp:positionV relativeFrom="margin">
              <wp:posOffset>3662680</wp:posOffset>
            </wp:positionV>
            <wp:extent cx="3409950" cy="3401060"/>
            <wp:effectExtent l="0" t="0" r="0" b="889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409950" cy="340106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Para nuestra población tenemos:</w:t>
      </w:r>
    </w:p>
    <w:p w14:paraId="37F7C57B" w14:textId="226A0DEE" w:rsidR="00581E06" w:rsidRDefault="00581E06" w:rsidP="00581E06">
      <w:pPr>
        <w:rPr>
          <w:rFonts w:ascii="Arial" w:hAnsi="Arial" w:cs="Arial"/>
        </w:rPr>
      </w:pPr>
      <w:r w:rsidRPr="00581E06">
        <w:rPr>
          <w:rFonts w:ascii="Arial" w:hAnsi="Arial" w:cs="Arial"/>
        </w:rPr>
        <w:drawing>
          <wp:anchor distT="0" distB="0" distL="114300" distR="114300" simplePos="0" relativeHeight="251673088" behindDoc="0" locked="0" layoutInCell="1" allowOverlap="1" wp14:anchorId="2748FC32" wp14:editId="1D5D71C8">
            <wp:simplePos x="0" y="0"/>
            <wp:positionH relativeFrom="margin">
              <wp:posOffset>3129915</wp:posOffset>
            </wp:positionH>
            <wp:positionV relativeFrom="margin">
              <wp:posOffset>3672205</wp:posOffset>
            </wp:positionV>
            <wp:extent cx="3028950" cy="3342663"/>
            <wp:effectExtent l="0" t="0" r="0" b="0"/>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034885" cy="3349213"/>
                    </a:xfrm>
                    <a:prstGeom prst="rect">
                      <a:avLst/>
                    </a:prstGeom>
                  </pic:spPr>
                </pic:pic>
              </a:graphicData>
            </a:graphic>
            <wp14:sizeRelH relativeFrom="margin">
              <wp14:pctWidth>0</wp14:pctWidth>
            </wp14:sizeRelH>
            <wp14:sizeRelV relativeFrom="margin">
              <wp14:pctHeight>0</wp14:pctHeight>
            </wp14:sizeRelV>
          </wp:anchor>
        </w:drawing>
      </w:r>
      <w:r w:rsidRPr="00581E06">
        <w:rPr>
          <w:noProof/>
          <w:lang w:eastAsia="es-MX"/>
        </w:rPr>
        <w:t xml:space="preserve"> </w:t>
      </w:r>
    </w:p>
    <w:p w14:paraId="3EFF003B" w14:textId="77777777" w:rsidR="00581E06" w:rsidRPr="00581E06" w:rsidRDefault="00581E06" w:rsidP="00581E06">
      <w:pPr>
        <w:rPr>
          <w:rFonts w:ascii="Arial" w:hAnsi="Arial" w:cs="Arial"/>
        </w:rPr>
      </w:pPr>
      <w:r w:rsidRPr="00581E06">
        <w:rPr>
          <w:rFonts w:ascii="Arial" w:hAnsi="Arial" w:cs="Arial"/>
        </w:rPr>
        <w:t>En 2010, tanto hombres como mujeres presentaban probabilidades de sobrevivencia superiores al 98% hasta los 50 años, y superiores al 90% hasta los 65 años. La probabilidad de que un hombre de 60 años llegara a los 65 era del 96%, mientras que para una mujer era del 97%.</w:t>
      </w:r>
    </w:p>
    <w:p w14:paraId="57B89E2A" w14:textId="77777777" w:rsidR="00581E06" w:rsidRPr="00581E06" w:rsidRDefault="00581E06" w:rsidP="00581E06">
      <w:pPr>
        <w:rPr>
          <w:rFonts w:ascii="Arial" w:hAnsi="Arial" w:cs="Arial"/>
        </w:rPr>
      </w:pPr>
    </w:p>
    <w:p w14:paraId="59CEF0B7" w14:textId="5B3ED5AA" w:rsidR="00581E06" w:rsidRPr="00581E06" w:rsidRDefault="00581E06" w:rsidP="00581E06">
      <w:pPr>
        <w:rPr>
          <w:rFonts w:ascii="Arial" w:hAnsi="Arial" w:cs="Arial"/>
        </w:rPr>
      </w:pPr>
      <w:r w:rsidRPr="00581E06">
        <w:rPr>
          <w:rFonts w:ascii="Arial" w:hAnsi="Arial" w:cs="Arial"/>
        </w:rPr>
        <w:lastRenderedPageBreak/>
        <w:t>En 2020, se observa un deterioro generalizado, especialmente en hombres. La probabilidad de que un hombre de 60 años llegue a los 65 cayó al 83.7% (una reducción de 12.3 puntos porcentuales). Para las mujeres, la misma probabilidad cayó al 90.4% (una reducci</w:t>
      </w:r>
      <w:r>
        <w:rPr>
          <w:rFonts w:ascii="Arial" w:hAnsi="Arial" w:cs="Arial"/>
        </w:rPr>
        <w:t>ón de 7.1 puntos porcentuales).</w:t>
      </w:r>
    </w:p>
    <w:p w14:paraId="5D134F60" w14:textId="1497D0B3" w:rsidR="00581E06" w:rsidRDefault="00581E06" w:rsidP="00581E06">
      <w:pPr>
        <w:rPr>
          <w:rFonts w:ascii="Arial" w:hAnsi="Arial" w:cs="Arial"/>
        </w:rPr>
      </w:pPr>
      <w:r w:rsidRPr="00581E06">
        <w:rPr>
          <w:rFonts w:ascii="Arial" w:hAnsi="Arial" w:cs="Arial"/>
        </w:rPr>
        <w:t>El deterioro más severo en hombres se observa en edades adultas (50-75 años), lo que refleja el impacto diferencial del COVID-19 en la población masculina de Tultitlán, quienes por su actividad laboral (comercio predominante) estuvieron más expuestos al contagio. Las mujeres mantuvieron probabilidades de sobrevivencia más altas en todas las edades durante 2020.</w:t>
      </w:r>
    </w:p>
    <w:p w14:paraId="1F2E12C2" w14:textId="45926B00" w:rsidR="00581E06" w:rsidRDefault="00581E06" w:rsidP="00581E06">
      <w:pPr>
        <w:rPr>
          <w:rFonts w:ascii="Arial" w:hAnsi="Arial" w:cs="Arial"/>
        </w:rPr>
      </w:pPr>
    </w:p>
    <w:p w14:paraId="439F63C9" w14:textId="77777777" w:rsidR="00581E06" w:rsidRPr="00581E06" w:rsidRDefault="00581E06" w:rsidP="00581E06">
      <w:pPr>
        <w:jc w:val="center"/>
        <w:rPr>
          <w:rFonts w:ascii="Arial" w:hAnsi="Arial" w:cs="Arial"/>
          <w:b/>
          <w:sz w:val="32"/>
        </w:rPr>
      </w:pPr>
      <w:r w:rsidRPr="00581E06">
        <w:rPr>
          <w:rFonts w:ascii="Arial" w:hAnsi="Arial" w:cs="Arial"/>
          <w:b/>
          <w:sz w:val="32"/>
        </w:rPr>
        <w:t>Enfoque Actuarial</w:t>
      </w:r>
    </w:p>
    <w:p w14:paraId="241DFFA6" w14:textId="14A3DE67" w:rsidR="009F527F" w:rsidRDefault="00581E06" w:rsidP="009F527F">
      <w:pPr>
        <w:rPr>
          <w:rFonts w:ascii="Arial" w:hAnsi="Arial" w:cs="Arial"/>
          <w:b/>
        </w:rPr>
      </w:pPr>
      <w:r w:rsidRPr="009F527F">
        <w:rPr>
          <w:rFonts w:ascii="Arial" w:hAnsi="Arial" w:cs="Arial"/>
          <w:b/>
        </w:rPr>
        <w:t xml:space="preserve">Considera una persona de </w:t>
      </w:r>
      <w:r w:rsidR="009F527F" w:rsidRPr="009F527F">
        <w:rPr>
          <w:rFonts w:ascii="Arial" w:hAnsi="Arial" w:cs="Arial"/>
          <w:b/>
        </w:rPr>
        <w:t>60 añ</w:t>
      </w:r>
      <w:r w:rsidRPr="009F527F">
        <w:rPr>
          <w:rFonts w:ascii="Arial" w:hAnsi="Arial" w:cs="Arial"/>
          <w:b/>
        </w:rPr>
        <w:t>os que recibe una pensión</w:t>
      </w:r>
      <w:r w:rsidR="009F527F" w:rsidRPr="009F527F">
        <w:rPr>
          <w:rFonts w:ascii="Arial" w:hAnsi="Arial" w:cs="Arial"/>
          <w:b/>
        </w:rPr>
        <w:t xml:space="preserve"> mensual fija de $15,000. Usa </w:t>
      </w:r>
      <w:r w:rsidRPr="009F527F">
        <w:rPr>
          <w:rFonts w:ascii="Arial" w:hAnsi="Arial" w:cs="Arial"/>
          <w:b/>
        </w:rPr>
        <w:t xml:space="preserve">las tablas de vida para calcular el costo esperado total de </w:t>
      </w:r>
      <w:r w:rsidR="009F527F" w:rsidRPr="009F527F">
        <w:rPr>
          <w:rFonts w:ascii="Arial" w:hAnsi="Arial" w:cs="Arial"/>
          <w:b/>
        </w:rPr>
        <w:t>pago de pensión a esa persona por año</w:t>
      </w:r>
      <w:r w:rsidRPr="009F527F">
        <w:rPr>
          <w:rFonts w:ascii="Arial" w:hAnsi="Arial" w:cs="Arial"/>
          <w:b/>
        </w:rPr>
        <w:t xml:space="preserve"> y por sexo.</w:t>
      </w:r>
    </w:p>
    <w:p w14:paraId="6D97C5F8" w14:textId="00733805" w:rsidR="009F527F" w:rsidRDefault="009F527F" w:rsidP="009F527F">
      <w:pPr>
        <w:rPr>
          <w:rFonts w:ascii="Arial" w:hAnsi="Arial" w:cs="Arial"/>
          <w:b/>
        </w:rPr>
      </w:pPr>
      <w:r>
        <w:rPr>
          <w:rFonts w:ascii="Arial" w:hAnsi="Arial" w:cs="Arial"/>
          <w:b/>
        </w:rPr>
        <w:t>R=</w:t>
      </w:r>
    </w:p>
    <w:p w14:paraId="6CC1348B" w14:textId="389DB134" w:rsidR="009F527F" w:rsidRPr="009F527F" w:rsidRDefault="009F527F" w:rsidP="009F527F">
      <w:pPr>
        <w:rPr>
          <w:rFonts w:ascii="Arial" w:hAnsi="Arial" w:cs="Arial"/>
        </w:rPr>
      </w:pPr>
      <w:r w:rsidRPr="009F527F">
        <w:rPr>
          <w:rFonts w:ascii="Arial" w:hAnsi="Arial" w:cs="Arial"/>
        </w:rPr>
        <w:t>En este caso, se considera una persona de 60 años que recibe una pensión mensual fija de $15,000 MXN ($180,000 anuale</w:t>
      </w:r>
      <w:r>
        <w:rPr>
          <w:rFonts w:ascii="Arial" w:hAnsi="Arial" w:cs="Arial"/>
        </w:rPr>
        <w:t>s).</w:t>
      </w:r>
    </w:p>
    <w:p w14:paraId="5512B979" w14:textId="4B09B121" w:rsidR="009F527F" w:rsidRPr="009F527F" w:rsidRDefault="009F527F" w:rsidP="009F527F">
      <w:pPr>
        <w:rPr>
          <w:rFonts w:ascii="Arial" w:hAnsi="Arial" w:cs="Arial"/>
        </w:rPr>
      </w:pPr>
      <w:r w:rsidRPr="009F527F">
        <w:rPr>
          <w:rFonts w:ascii="Arial" w:hAnsi="Arial" w:cs="Arial"/>
        </w:rPr>
        <w:t>Costo esperado total de pensión:</w:t>
      </w:r>
    </w:p>
    <w:tbl>
      <w:tblPr>
        <w:tblW w:w="9640" w:type="dxa"/>
        <w:tblCellMar>
          <w:top w:w="15" w:type="dxa"/>
          <w:left w:w="15" w:type="dxa"/>
          <w:bottom w:w="15" w:type="dxa"/>
          <w:right w:w="15" w:type="dxa"/>
        </w:tblCellMar>
        <w:tblLook w:val="04A0" w:firstRow="1" w:lastRow="0" w:firstColumn="1" w:lastColumn="0" w:noHBand="0" w:noVBand="1"/>
      </w:tblPr>
      <w:tblGrid>
        <w:gridCol w:w="842"/>
        <w:gridCol w:w="1613"/>
        <w:gridCol w:w="4213"/>
        <w:gridCol w:w="2972"/>
      </w:tblGrid>
      <w:tr w:rsidR="009F527F" w:rsidRPr="009F527F" w14:paraId="3CD1F2E2" w14:textId="77777777" w:rsidTr="009F527F">
        <w:trPr>
          <w:trHeight w:val="344"/>
          <w:tblHeader/>
        </w:trPr>
        <w:tc>
          <w:tcPr>
            <w:tcW w:w="0" w:type="auto"/>
            <w:tcBorders>
              <w:top w:val="nil"/>
            </w:tcBorders>
            <w:tcMar>
              <w:top w:w="150" w:type="dxa"/>
              <w:left w:w="0" w:type="dxa"/>
              <w:bottom w:w="150" w:type="dxa"/>
              <w:right w:w="240" w:type="dxa"/>
            </w:tcMar>
            <w:vAlign w:val="center"/>
            <w:hideMark/>
          </w:tcPr>
          <w:p w14:paraId="2DE54C49"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Año</w:t>
            </w:r>
          </w:p>
        </w:tc>
        <w:tc>
          <w:tcPr>
            <w:tcW w:w="0" w:type="auto"/>
            <w:tcBorders>
              <w:top w:val="nil"/>
            </w:tcBorders>
            <w:tcMar>
              <w:top w:w="150" w:type="dxa"/>
              <w:left w:w="240" w:type="dxa"/>
              <w:bottom w:w="150" w:type="dxa"/>
              <w:right w:w="240" w:type="dxa"/>
            </w:tcMar>
            <w:vAlign w:val="center"/>
            <w:hideMark/>
          </w:tcPr>
          <w:p w14:paraId="50AC6336"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Sexo</w:t>
            </w:r>
          </w:p>
        </w:tc>
        <w:tc>
          <w:tcPr>
            <w:tcW w:w="0" w:type="auto"/>
            <w:tcBorders>
              <w:top w:val="nil"/>
            </w:tcBorders>
            <w:tcMar>
              <w:top w:w="150" w:type="dxa"/>
              <w:left w:w="240" w:type="dxa"/>
              <w:bottom w:w="150" w:type="dxa"/>
              <w:right w:w="240" w:type="dxa"/>
            </w:tcMar>
            <w:vAlign w:val="center"/>
            <w:hideMark/>
          </w:tcPr>
          <w:p w14:paraId="0066EE88"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Esperanza de vida a los 60 años</w:t>
            </w:r>
          </w:p>
        </w:tc>
        <w:tc>
          <w:tcPr>
            <w:tcW w:w="0" w:type="auto"/>
            <w:tcBorders>
              <w:top w:val="nil"/>
            </w:tcBorders>
            <w:tcMar>
              <w:top w:w="150" w:type="dxa"/>
              <w:left w:w="240" w:type="dxa"/>
              <w:bottom w:w="150" w:type="dxa"/>
              <w:right w:w="240" w:type="dxa"/>
            </w:tcMar>
            <w:vAlign w:val="center"/>
            <w:hideMark/>
          </w:tcPr>
          <w:p w14:paraId="07D977B4"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Costo esperado total</w:t>
            </w:r>
          </w:p>
        </w:tc>
      </w:tr>
      <w:tr w:rsidR="009F527F" w:rsidRPr="009F527F" w14:paraId="0223DEA1" w14:textId="77777777" w:rsidTr="009F527F">
        <w:trPr>
          <w:trHeight w:val="344"/>
        </w:trPr>
        <w:tc>
          <w:tcPr>
            <w:tcW w:w="0" w:type="auto"/>
            <w:tcMar>
              <w:top w:w="150" w:type="dxa"/>
              <w:left w:w="0" w:type="dxa"/>
              <w:bottom w:w="150" w:type="dxa"/>
              <w:right w:w="240" w:type="dxa"/>
            </w:tcMar>
            <w:vAlign w:val="center"/>
            <w:hideMark/>
          </w:tcPr>
          <w:p w14:paraId="5D5F9CAF"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2010</w:t>
            </w:r>
          </w:p>
        </w:tc>
        <w:tc>
          <w:tcPr>
            <w:tcW w:w="0" w:type="auto"/>
            <w:tcMar>
              <w:top w:w="150" w:type="dxa"/>
              <w:left w:w="240" w:type="dxa"/>
              <w:bottom w:w="150" w:type="dxa"/>
              <w:right w:w="240" w:type="dxa"/>
            </w:tcMar>
            <w:vAlign w:val="center"/>
            <w:hideMark/>
          </w:tcPr>
          <w:p w14:paraId="380AD944"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Hombres</w:t>
            </w:r>
          </w:p>
        </w:tc>
        <w:tc>
          <w:tcPr>
            <w:tcW w:w="0" w:type="auto"/>
            <w:tcMar>
              <w:top w:w="150" w:type="dxa"/>
              <w:left w:w="240" w:type="dxa"/>
              <w:bottom w:w="150" w:type="dxa"/>
              <w:right w:w="240" w:type="dxa"/>
            </w:tcMar>
            <w:vAlign w:val="center"/>
            <w:hideMark/>
          </w:tcPr>
          <w:p w14:paraId="133DCA91"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30.27 años</w:t>
            </w:r>
          </w:p>
        </w:tc>
        <w:tc>
          <w:tcPr>
            <w:tcW w:w="0" w:type="auto"/>
            <w:tcMar>
              <w:top w:w="150" w:type="dxa"/>
              <w:left w:w="240" w:type="dxa"/>
              <w:bottom w:w="150" w:type="dxa"/>
              <w:right w:w="0" w:type="dxa"/>
            </w:tcMar>
            <w:vAlign w:val="center"/>
            <w:hideMark/>
          </w:tcPr>
          <w:p w14:paraId="4490CD61"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$5,448,600</w:t>
            </w:r>
          </w:p>
        </w:tc>
      </w:tr>
      <w:tr w:rsidR="009F527F" w:rsidRPr="009F527F" w14:paraId="33CB42C6" w14:textId="77777777" w:rsidTr="009F527F">
        <w:trPr>
          <w:trHeight w:val="344"/>
        </w:trPr>
        <w:tc>
          <w:tcPr>
            <w:tcW w:w="0" w:type="auto"/>
            <w:tcMar>
              <w:top w:w="150" w:type="dxa"/>
              <w:left w:w="0" w:type="dxa"/>
              <w:bottom w:w="150" w:type="dxa"/>
              <w:right w:w="240" w:type="dxa"/>
            </w:tcMar>
            <w:vAlign w:val="center"/>
            <w:hideMark/>
          </w:tcPr>
          <w:p w14:paraId="3520788B"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2010</w:t>
            </w:r>
          </w:p>
        </w:tc>
        <w:tc>
          <w:tcPr>
            <w:tcW w:w="0" w:type="auto"/>
            <w:tcMar>
              <w:top w:w="150" w:type="dxa"/>
              <w:left w:w="240" w:type="dxa"/>
              <w:bottom w:w="150" w:type="dxa"/>
              <w:right w:w="240" w:type="dxa"/>
            </w:tcMar>
            <w:vAlign w:val="center"/>
            <w:hideMark/>
          </w:tcPr>
          <w:p w14:paraId="39BD2CDD"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Mujeres</w:t>
            </w:r>
          </w:p>
        </w:tc>
        <w:tc>
          <w:tcPr>
            <w:tcW w:w="0" w:type="auto"/>
            <w:tcMar>
              <w:top w:w="150" w:type="dxa"/>
              <w:left w:w="240" w:type="dxa"/>
              <w:bottom w:w="150" w:type="dxa"/>
              <w:right w:w="240" w:type="dxa"/>
            </w:tcMar>
            <w:vAlign w:val="center"/>
            <w:hideMark/>
          </w:tcPr>
          <w:p w14:paraId="296EE5E4"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31.04 años</w:t>
            </w:r>
          </w:p>
        </w:tc>
        <w:tc>
          <w:tcPr>
            <w:tcW w:w="0" w:type="auto"/>
            <w:tcMar>
              <w:top w:w="150" w:type="dxa"/>
              <w:left w:w="240" w:type="dxa"/>
              <w:bottom w:w="150" w:type="dxa"/>
              <w:right w:w="0" w:type="dxa"/>
            </w:tcMar>
            <w:vAlign w:val="center"/>
            <w:hideMark/>
          </w:tcPr>
          <w:p w14:paraId="1E7619DF"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$5,587,200</w:t>
            </w:r>
          </w:p>
        </w:tc>
      </w:tr>
      <w:tr w:rsidR="009F527F" w:rsidRPr="009F527F" w14:paraId="77BDBCA3" w14:textId="77777777" w:rsidTr="009F527F">
        <w:trPr>
          <w:trHeight w:val="344"/>
        </w:trPr>
        <w:tc>
          <w:tcPr>
            <w:tcW w:w="0" w:type="auto"/>
            <w:tcMar>
              <w:top w:w="150" w:type="dxa"/>
              <w:left w:w="0" w:type="dxa"/>
              <w:bottom w:w="150" w:type="dxa"/>
              <w:right w:w="240" w:type="dxa"/>
            </w:tcMar>
            <w:vAlign w:val="center"/>
            <w:hideMark/>
          </w:tcPr>
          <w:p w14:paraId="17CD79B4"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2020</w:t>
            </w:r>
          </w:p>
        </w:tc>
        <w:tc>
          <w:tcPr>
            <w:tcW w:w="0" w:type="auto"/>
            <w:tcMar>
              <w:top w:w="150" w:type="dxa"/>
              <w:left w:w="240" w:type="dxa"/>
              <w:bottom w:w="150" w:type="dxa"/>
              <w:right w:w="240" w:type="dxa"/>
            </w:tcMar>
            <w:vAlign w:val="center"/>
            <w:hideMark/>
          </w:tcPr>
          <w:p w14:paraId="40C2A4B7"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Hombres</w:t>
            </w:r>
          </w:p>
        </w:tc>
        <w:tc>
          <w:tcPr>
            <w:tcW w:w="0" w:type="auto"/>
            <w:tcMar>
              <w:top w:w="150" w:type="dxa"/>
              <w:left w:w="240" w:type="dxa"/>
              <w:bottom w:w="150" w:type="dxa"/>
              <w:right w:w="240" w:type="dxa"/>
            </w:tcMar>
            <w:vAlign w:val="center"/>
            <w:hideMark/>
          </w:tcPr>
          <w:p w14:paraId="0635CE69"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16.76 años</w:t>
            </w:r>
          </w:p>
        </w:tc>
        <w:tc>
          <w:tcPr>
            <w:tcW w:w="0" w:type="auto"/>
            <w:tcMar>
              <w:top w:w="150" w:type="dxa"/>
              <w:left w:w="240" w:type="dxa"/>
              <w:bottom w:w="150" w:type="dxa"/>
              <w:right w:w="0" w:type="dxa"/>
            </w:tcMar>
            <w:vAlign w:val="center"/>
            <w:hideMark/>
          </w:tcPr>
          <w:p w14:paraId="593C4206"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$3,016,800</w:t>
            </w:r>
          </w:p>
        </w:tc>
      </w:tr>
      <w:tr w:rsidR="009F527F" w:rsidRPr="009F527F" w14:paraId="2A4A4D90" w14:textId="77777777" w:rsidTr="009F527F">
        <w:trPr>
          <w:trHeight w:val="344"/>
        </w:trPr>
        <w:tc>
          <w:tcPr>
            <w:tcW w:w="0" w:type="auto"/>
            <w:tcMar>
              <w:top w:w="150" w:type="dxa"/>
              <w:left w:w="0" w:type="dxa"/>
              <w:bottom w:w="150" w:type="dxa"/>
              <w:right w:w="240" w:type="dxa"/>
            </w:tcMar>
            <w:vAlign w:val="center"/>
            <w:hideMark/>
          </w:tcPr>
          <w:p w14:paraId="44FABEF6"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2020</w:t>
            </w:r>
          </w:p>
        </w:tc>
        <w:tc>
          <w:tcPr>
            <w:tcW w:w="0" w:type="auto"/>
            <w:tcMar>
              <w:top w:w="150" w:type="dxa"/>
              <w:left w:w="240" w:type="dxa"/>
              <w:bottom w:w="150" w:type="dxa"/>
              <w:right w:w="240" w:type="dxa"/>
            </w:tcMar>
            <w:vAlign w:val="center"/>
            <w:hideMark/>
          </w:tcPr>
          <w:p w14:paraId="627CC60C"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Mujeres</w:t>
            </w:r>
          </w:p>
        </w:tc>
        <w:tc>
          <w:tcPr>
            <w:tcW w:w="0" w:type="auto"/>
            <w:tcMar>
              <w:top w:w="150" w:type="dxa"/>
              <w:left w:w="240" w:type="dxa"/>
              <w:bottom w:w="150" w:type="dxa"/>
              <w:right w:w="240" w:type="dxa"/>
            </w:tcMar>
            <w:vAlign w:val="center"/>
            <w:hideMark/>
          </w:tcPr>
          <w:p w14:paraId="67C69CAA"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21.07 años</w:t>
            </w:r>
          </w:p>
        </w:tc>
        <w:tc>
          <w:tcPr>
            <w:tcW w:w="0" w:type="auto"/>
            <w:tcMar>
              <w:top w:w="150" w:type="dxa"/>
              <w:left w:w="240" w:type="dxa"/>
              <w:bottom w:w="150" w:type="dxa"/>
              <w:right w:w="0" w:type="dxa"/>
            </w:tcMar>
            <w:vAlign w:val="center"/>
            <w:hideMark/>
          </w:tcPr>
          <w:p w14:paraId="49750B96" w14:textId="77777777" w:rsidR="009F527F" w:rsidRPr="009F527F" w:rsidRDefault="009F527F" w:rsidP="009F527F">
            <w:pPr>
              <w:spacing w:after="0" w:line="375" w:lineRule="atLeast"/>
              <w:jc w:val="center"/>
              <w:rPr>
                <w:rFonts w:ascii="Segoe UI" w:eastAsia="Times New Roman" w:hAnsi="Segoe UI" w:cs="Segoe UI"/>
                <w:sz w:val="23"/>
                <w:szCs w:val="23"/>
                <w:lang w:eastAsia="es-MX"/>
              </w:rPr>
            </w:pPr>
            <w:r w:rsidRPr="009F527F">
              <w:rPr>
                <w:rFonts w:ascii="Segoe UI" w:eastAsia="Times New Roman" w:hAnsi="Segoe UI" w:cs="Segoe UI"/>
                <w:sz w:val="23"/>
                <w:szCs w:val="23"/>
                <w:lang w:eastAsia="es-MX"/>
              </w:rPr>
              <w:t>$3,792,600</w:t>
            </w:r>
          </w:p>
        </w:tc>
      </w:tr>
    </w:tbl>
    <w:p w14:paraId="25783646" w14:textId="0FC6D487" w:rsidR="009F527F" w:rsidRDefault="009F527F" w:rsidP="00581E06">
      <w:pPr>
        <w:rPr>
          <w:rFonts w:ascii="Arial" w:hAnsi="Arial" w:cs="Arial"/>
        </w:rPr>
      </w:pPr>
    </w:p>
    <w:p w14:paraId="192F273C" w14:textId="77777777" w:rsidR="009F527F" w:rsidRPr="009F527F" w:rsidRDefault="009F527F" w:rsidP="009F527F">
      <w:pPr>
        <w:rPr>
          <w:rFonts w:ascii="Arial" w:hAnsi="Arial" w:cs="Arial"/>
        </w:rPr>
      </w:pPr>
      <w:r w:rsidRPr="009F527F">
        <w:rPr>
          <w:rFonts w:ascii="Arial" w:hAnsi="Arial" w:cs="Arial"/>
        </w:rPr>
        <w:t>El costo esperado es significativamente menor en 2020 debido a la caída en la esperanza de vida causada por la pandemia de COVID-19. La diferencia entre sexos se mantiene: las mujeres tienen un costo esperado mayor por su mayor longevidad.</w:t>
      </w:r>
    </w:p>
    <w:p w14:paraId="18B07323" w14:textId="49B76CA0" w:rsidR="009F527F" w:rsidRPr="00581E06" w:rsidRDefault="009F527F" w:rsidP="00581E06">
      <w:pPr>
        <w:rPr>
          <w:rFonts w:ascii="Arial" w:hAnsi="Arial" w:cs="Arial"/>
        </w:rPr>
      </w:pPr>
    </w:p>
    <w:p w14:paraId="7E0E421A" w14:textId="5F38B81C" w:rsidR="00581E06" w:rsidRDefault="009F527F" w:rsidP="00581E06">
      <w:pPr>
        <w:rPr>
          <w:rFonts w:ascii="Arial" w:hAnsi="Arial" w:cs="Arial"/>
          <w:b/>
        </w:rPr>
      </w:pPr>
      <w:r w:rsidRPr="009F527F">
        <w:rPr>
          <w:rFonts w:ascii="Arial" w:hAnsi="Arial" w:cs="Arial"/>
          <w:b/>
        </w:rPr>
        <w:t>(a) ¿Cómo cambiarí</w:t>
      </w:r>
      <w:r w:rsidR="00581E06" w:rsidRPr="009F527F">
        <w:rPr>
          <w:rFonts w:ascii="Arial" w:hAnsi="Arial" w:cs="Arial"/>
          <w:b/>
        </w:rPr>
        <w:t>a este costo si la esper</w:t>
      </w:r>
      <w:r w:rsidRPr="009F527F">
        <w:rPr>
          <w:rFonts w:ascii="Arial" w:hAnsi="Arial" w:cs="Arial"/>
          <w:b/>
        </w:rPr>
        <w:t>anza de vida aumentara en 2 añ</w:t>
      </w:r>
      <w:r w:rsidR="00581E06" w:rsidRPr="009F527F">
        <w:rPr>
          <w:rFonts w:ascii="Arial" w:hAnsi="Arial" w:cs="Arial"/>
          <w:b/>
        </w:rPr>
        <w:t>os?</w:t>
      </w:r>
    </w:p>
    <w:p w14:paraId="219D2768" w14:textId="77777777" w:rsidR="009F527F" w:rsidRPr="009F527F" w:rsidRDefault="009F527F" w:rsidP="009F527F">
      <w:pPr>
        <w:rPr>
          <w:rFonts w:ascii="Arial" w:hAnsi="Arial" w:cs="Arial"/>
        </w:rPr>
      </w:pPr>
      <w:r>
        <w:rPr>
          <w:rFonts w:ascii="Arial" w:hAnsi="Arial" w:cs="Arial"/>
          <w:b/>
        </w:rPr>
        <w:t xml:space="preserve">R= </w:t>
      </w:r>
      <w:r w:rsidRPr="009F527F">
        <w:rPr>
          <w:rFonts w:ascii="Arial" w:hAnsi="Arial" w:cs="Arial"/>
        </w:rPr>
        <w:t>Si la esperanza de vida a los 60 años aumentara en 2 años, el costo esperado total de la pensión se modificaría de la siguiente manera:</w:t>
      </w:r>
    </w:p>
    <w:p w14:paraId="24FD7FF3" w14:textId="77777777" w:rsidR="009F527F" w:rsidRPr="009F527F" w:rsidRDefault="009F527F" w:rsidP="009F527F">
      <w:pPr>
        <w:rPr>
          <w:rFonts w:ascii="Arial" w:hAnsi="Arial" w:cs="Arial"/>
        </w:rPr>
      </w:pPr>
    </w:p>
    <w:p w14:paraId="39D015A3" w14:textId="07FDFDAA" w:rsidR="009F527F" w:rsidRPr="009F527F" w:rsidRDefault="009F527F" w:rsidP="009F527F">
      <w:pPr>
        <w:rPr>
          <w:rFonts w:ascii="Arial" w:hAnsi="Arial" w:cs="Arial"/>
        </w:rPr>
      </w:pPr>
      <w:r>
        <w:rPr>
          <w:rFonts w:ascii="Arial" w:hAnsi="Arial" w:cs="Arial"/>
        </w:rPr>
        <w:lastRenderedPageBreak/>
        <w:t>Para 2010:</w:t>
      </w:r>
    </w:p>
    <w:p w14:paraId="304A0425" w14:textId="4C4B836E" w:rsidR="009F527F" w:rsidRPr="009F527F" w:rsidRDefault="009F527F" w:rsidP="009F527F">
      <w:pPr>
        <w:pStyle w:val="Prrafodelista"/>
        <w:numPr>
          <w:ilvl w:val="0"/>
          <w:numId w:val="3"/>
        </w:numPr>
        <w:rPr>
          <w:rFonts w:ascii="Arial" w:hAnsi="Arial" w:cs="Arial"/>
        </w:rPr>
      </w:pPr>
      <w:r w:rsidRPr="009F527F">
        <w:rPr>
          <w:rFonts w:ascii="Arial" w:hAnsi="Arial" w:cs="Arial"/>
        </w:rPr>
        <w:t xml:space="preserve">Hombres: de $5,448,600 </w:t>
      </w:r>
      <w:r w:rsidRPr="009F527F">
        <w:rPr>
          <w:rFonts w:ascii="Arial" w:hAnsi="Arial" w:cs="Arial"/>
        </w:rPr>
        <w:t>a $5,808,600 (+$360,000, +6.6%)</w:t>
      </w:r>
    </w:p>
    <w:p w14:paraId="228DD397" w14:textId="77777777" w:rsidR="009F527F" w:rsidRPr="009F527F" w:rsidRDefault="009F527F" w:rsidP="009F527F">
      <w:pPr>
        <w:pStyle w:val="Prrafodelista"/>
        <w:numPr>
          <w:ilvl w:val="0"/>
          <w:numId w:val="3"/>
        </w:numPr>
        <w:rPr>
          <w:rFonts w:ascii="Arial" w:hAnsi="Arial" w:cs="Arial"/>
        </w:rPr>
      </w:pPr>
      <w:r w:rsidRPr="009F527F">
        <w:rPr>
          <w:rFonts w:ascii="Arial" w:hAnsi="Arial" w:cs="Arial"/>
        </w:rPr>
        <w:t>Mujeres: de $5,587,200 a $5,947,200 (+$360,000, +6.4%)</w:t>
      </w:r>
    </w:p>
    <w:p w14:paraId="35FAFAA8" w14:textId="77777777" w:rsidR="009F527F" w:rsidRPr="009F527F" w:rsidRDefault="009F527F" w:rsidP="009F527F">
      <w:pPr>
        <w:rPr>
          <w:rFonts w:ascii="Arial" w:hAnsi="Arial" w:cs="Arial"/>
        </w:rPr>
      </w:pPr>
    </w:p>
    <w:p w14:paraId="5062EA98" w14:textId="25FC548A" w:rsidR="009F527F" w:rsidRPr="009F527F" w:rsidRDefault="009F527F" w:rsidP="009F527F">
      <w:pPr>
        <w:rPr>
          <w:rFonts w:ascii="Arial" w:hAnsi="Arial" w:cs="Arial"/>
        </w:rPr>
      </w:pPr>
      <w:r>
        <w:rPr>
          <w:rFonts w:ascii="Arial" w:hAnsi="Arial" w:cs="Arial"/>
        </w:rPr>
        <w:t>Para 2020:</w:t>
      </w:r>
    </w:p>
    <w:p w14:paraId="7ED31FC5" w14:textId="35C92C74" w:rsidR="009F527F" w:rsidRPr="009F527F" w:rsidRDefault="009F527F" w:rsidP="009F527F">
      <w:pPr>
        <w:pStyle w:val="Prrafodelista"/>
        <w:numPr>
          <w:ilvl w:val="0"/>
          <w:numId w:val="4"/>
        </w:numPr>
        <w:rPr>
          <w:rFonts w:ascii="Arial" w:hAnsi="Arial" w:cs="Arial"/>
        </w:rPr>
      </w:pPr>
      <w:r w:rsidRPr="009F527F">
        <w:rPr>
          <w:rFonts w:ascii="Arial" w:hAnsi="Arial" w:cs="Arial"/>
        </w:rPr>
        <w:t>Hombres: de $3,016,800 a</w:t>
      </w:r>
      <w:r w:rsidRPr="009F527F">
        <w:rPr>
          <w:rFonts w:ascii="Arial" w:hAnsi="Arial" w:cs="Arial"/>
        </w:rPr>
        <w:t xml:space="preserve"> $3,376,800 (+$360,000, +11.9%)</w:t>
      </w:r>
    </w:p>
    <w:p w14:paraId="0476B4B1" w14:textId="77777777" w:rsidR="009F527F" w:rsidRPr="009F527F" w:rsidRDefault="009F527F" w:rsidP="009F527F">
      <w:pPr>
        <w:pStyle w:val="Prrafodelista"/>
        <w:numPr>
          <w:ilvl w:val="0"/>
          <w:numId w:val="4"/>
        </w:numPr>
        <w:rPr>
          <w:rFonts w:ascii="Arial" w:hAnsi="Arial" w:cs="Arial"/>
        </w:rPr>
      </w:pPr>
      <w:r w:rsidRPr="009F527F">
        <w:rPr>
          <w:rFonts w:ascii="Arial" w:hAnsi="Arial" w:cs="Arial"/>
        </w:rPr>
        <w:t>Mujeres: de $3,792,600 a $4,152,600 (+$360,000, +9.5%)</w:t>
      </w:r>
    </w:p>
    <w:p w14:paraId="58FEA1F9" w14:textId="77777777" w:rsidR="009F527F" w:rsidRPr="009F527F" w:rsidRDefault="009F527F" w:rsidP="009F527F">
      <w:pPr>
        <w:rPr>
          <w:rFonts w:ascii="Arial" w:hAnsi="Arial" w:cs="Arial"/>
        </w:rPr>
      </w:pPr>
    </w:p>
    <w:p w14:paraId="1DFBEF07" w14:textId="76D83C6E" w:rsidR="009F527F" w:rsidRDefault="009F527F" w:rsidP="009F527F">
      <w:pPr>
        <w:rPr>
          <w:rFonts w:ascii="Arial" w:hAnsi="Arial" w:cs="Arial"/>
        </w:rPr>
      </w:pPr>
      <w:r w:rsidRPr="009F527F">
        <w:rPr>
          <w:rFonts w:ascii="Arial" w:hAnsi="Arial" w:cs="Arial"/>
        </w:rPr>
        <w:t>El aumento absoluto es de $360,000 en todos los casos, equivalente a 2 años de pensión completa ($180,000 × 2). Sin embargo, el impacto porcentual es mayor en 2020 porque la esperanza de vida base es más baja, lo que hace que el mismo aumento absoluto represente una proporción más significativa del costo original.</w:t>
      </w:r>
    </w:p>
    <w:p w14:paraId="60933042" w14:textId="77777777" w:rsidR="009F527F" w:rsidRPr="009F527F" w:rsidRDefault="009F527F" w:rsidP="009F527F">
      <w:pPr>
        <w:rPr>
          <w:rFonts w:ascii="Arial" w:hAnsi="Arial" w:cs="Arial"/>
        </w:rPr>
      </w:pPr>
    </w:p>
    <w:p w14:paraId="1D1FC6A1" w14:textId="09AF4E30" w:rsidR="00581E06" w:rsidRDefault="009F527F" w:rsidP="00581E06">
      <w:pPr>
        <w:rPr>
          <w:rFonts w:ascii="Arial" w:hAnsi="Arial" w:cs="Arial"/>
          <w:b/>
        </w:rPr>
      </w:pPr>
      <w:r w:rsidRPr="009F527F">
        <w:rPr>
          <w:rFonts w:ascii="Arial" w:hAnsi="Arial" w:cs="Arial"/>
          <w:b/>
        </w:rPr>
        <w:t>(b) ¿Qu</w:t>
      </w:r>
      <w:r w:rsidR="00581E06" w:rsidRPr="009F527F">
        <w:rPr>
          <w:rFonts w:ascii="Arial" w:hAnsi="Arial" w:cs="Arial"/>
          <w:b/>
        </w:rPr>
        <w:t xml:space="preserve">e riesgos enfrenta un fondo de pensiones cuando la </w:t>
      </w:r>
      <w:r w:rsidRPr="009F527F">
        <w:rPr>
          <w:rFonts w:ascii="Arial" w:hAnsi="Arial" w:cs="Arial"/>
          <w:b/>
        </w:rPr>
        <w:t>población vive más añ</w:t>
      </w:r>
      <w:r w:rsidR="00581E06" w:rsidRPr="009F527F">
        <w:rPr>
          <w:rFonts w:ascii="Arial" w:hAnsi="Arial" w:cs="Arial"/>
          <w:b/>
        </w:rPr>
        <w:t>os?</w:t>
      </w:r>
    </w:p>
    <w:p w14:paraId="526174B1" w14:textId="74F03A63" w:rsidR="009F527F" w:rsidRPr="009F527F" w:rsidRDefault="009F527F" w:rsidP="009F527F">
      <w:pPr>
        <w:rPr>
          <w:rFonts w:ascii="Arial" w:hAnsi="Arial" w:cs="Arial"/>
        </w:rPr>
      </w:pPr>
      <w:r>
        <w:rPr>
          <w:rFonts w:ascii="Arial" w:hAnsi="Arial" w:cs="Arial"/>
          <w:b/>
        </w:rPr>
        <w:t xml:space="preserve">R= </w:t>
      </w:r>
      <w:r>
        <w:rPr>
          <w:rFonts w:ascii="Arial" w:hAnsi="Arial" w:cs="Arial"/>
        </w:rPr>
        <w:t>Los principales riesgos son:</w:t>
      </w:r>
    </w:p>
    <w:p w14:paraId="7FF5D1A8" w14:textId="03A9364F" w:rsidR="009F527F" w:rsidRPr="009F527F" w:rsidRDefault="009F527F" w:rsidP="009F527F">
      <w:pPr>
        <w:pStyle w:val="Prrafodelista"/>
        <w:numPr>
          <w:ilvl w:val="0"/>
          <w:numId w:val="5"/>
        </w:numPr>
        <w:rPr>
          <w:rFonts w:ascii="Arial" w:hAnsi="Arial" w:cs="Arial"/>
        </w:rPr>
      </w:pPr>
      <w:r w:rsidRPr="009F527F">
        <w:rPr>
          <w:rFonts w:ascii="Arial" w:hAnsi="Arial" w:cs="Arial"/>
        </w:rPr>
        <w:t>Riesgo de longevidad: Los pensionados viven más de lo proyectado, generando pagos</w:t>
      </w:r>
      <w:r w:rsidRPr="009F527F">
        <w:rPr>
          <w:rFonts w:ascii="Arial" w:hAnsi="Arial" w:cs="Arial"/>
        </w:rPr>
        <w:t xml:space="preserve"> adicionales no presupuestados.</w:t>
      </w:r>
    </w:p>
    <w:p w14:paraId="05CAB7B8" w14:textId="2D3EC303" w:rsidR="009F527F" w:rsidRPr="009F527F" w:rsidRDefault="009F527F" w:rsidP="009F527F">
      <w:pPr>
        <w:pStyle w:val="Prrafodelista"/>
        <w:numPr>
          <w:ilvl w:val="0"/>
          <w:numId w:val="5"/>
        </w:numPr>
        <w:rPr>
          <w:rFonts w:ascii="Arial" w:hAnsi="Arial" w:cs="Arial"/>
        </w:rPr>
      </w:pPr>
      <w:r w:rsidRPr="009F527F">
        <w:rPr>
          <w:rFonts w:ascii="Arial" w:hAnsi="Arial" w:cs="Arial"/>
        </w:rPr>
        <w:t>Riesgo financiero: Los rendimientos de las inversiones pueden ser insuficientes par</w:t>
      </w:r>
      <w:r w:rsidRPr="009F527F">
        <w:rPr>
          <w:rFonts w:ascii="Arial" w:hAnsi="Arial" w:cs="Arial"/>
        </w:rPr>
        <w:t>a cubrir los pagos adicionales.</w:t>
      </w:r>
    </w:p>
    <w:p w14:paraId="316BD813" w14:textId="423A8B3E" w:rsidR="009F527F" w:rsidRPr="009F527F" w:rsidRDefault="009F527F" w:rsidP="009F527F">
      <w:pPr>
        <w:pStyle w:val="Prrafodelista"/>
        <w:numPr>
          <w:ilvl w:val="0"/>
          <w:numId w:val="5"/>
        </w:numPr>
        <w:rPr>
          <w:rFonts w:ascii="Arial" w:hAnsi="Arial" w:cs="Arial"/>
        </w:rPr>
      </w:pPr>
      <w:r w:rsidRPr="009F527F">
        <w:rPr>
          <w:rFonts w:ascii="Arial" w:hAnsi="Arial" w:cs="Arial"/>
        </w:rPr>
        <w:t>Riesgo de descalce: Los pasivos crecen más rá</w:t>
      </w:r>
      <w:r w:rsidRPr="009F527F">
        <w:rPr>
          <w:rFonts w:ascii="Arial" w:hAnsi="Arial" w:cs="Arial"/>
        </w:rPr>
        <w:t>pido que los activos del fondo.</w:t>
      </w:r>
    </w:p>
    <w:p w14:paraId="568202CF" w14:textId="2B94FB9E" w:rsidR="009F527F" w:rsidRPr="009F527F" w:rsidRDefault="009F527F" w:rsidP="009F527F">
      <w:pPr>
        <w:pStyle w:val="Prrafodelista"/>
        <w:numPr>
          <w:ilvl w:val="0"/>
          <w:numId w:val="5"/>
        </w:numPr>
        <w:rPr>
          <w:rFonts w:ascii="Arial" w:hAnsi="Arial" w:cs="Arial"/>
        </w:rPr>
      </w:pPr>
      <w:r w:rsidRPr="009F527F">
        <w:rPr>
          <w:rFonts w:ascii="Arial" w:hAnsi="Arial" w:cs="Arial"/>
        </w:rPr>
        <w:t>Riesgo inflacionario: El valor real de las pensiones puede erosionarse</w:t>
      </w:r>
      <w:r w:rsidRPr="009F527F">
        <w:rPr>
          <w:rFonts w:ascii="Arial" w:hAnsi="Arial" w:cs="Arial"/>
        </w:rPr>
        <w:t xml:space="preserve"> o aumentar el costo del fondo.</w:t>
      </w:r>
    </w:p>
    <w:p w14:paraId="64B3EEA3" w14:textId="1F52D239" w:rsidR="009F527F" w:rsidRPr="00017847" w:rsidRDefault="009F527F" w:rsidP="009F527F">
      <w:pPr>
        <w:pStyle w:val="Prrafodelista"/>
        <w:numPr>
          <w:ilvl w:val="0"/>
          <w:numId w:val="5"/>
        </w:numPr>
        <w:rPr>
          <w:rFonts w:ascii="Arial" w:hAnsi="Arial" w:cs="Arial"/>
        </w:rPr>
      </w:pPr>
      <w:r w:rsidRPr="009F527F">
        <w:rPr>
          <w:rFonts w:ascii="Arial" w:hAnsi="Arial" w:cs="Arial"/>
        </w:rPr>
        <w:t>Riesgo demográfico: El envejecimiento poblacional reduce la base de cotizantes.</w:t>
      </w:r>
    </w:p>
    <w:p w14:paraId="255744BB" w14:textId="47578A5B" w:rsidR="009F527F" w:rsidRDefault="009F527F" w:rsidP="009F527F">
      <w:pPr>
        <w:rPr>
          <w:rFonts w:ascii="Arial" w:hAnsi="Arial" w:cs="Arial"/>
        </w:rPr>
      </w:pPr>
      <w:r w:rsidRPr="009F527F">
        <w:rPr>
          <w:rFonts w:ascii="Arial" w:hAnsi="Arial" w:cs="Arial"/>
        </w:rPr>
        <w:t>En el contexto de Tultitlán, estos riesgos son particularmente relevantes debido a la alta densidad poblacional, el predominio de la economía informal y la tendencia al envejecimiento poblacional.</w:t>
      </w:r>
    </w:p>
    <w:p w14:paraId="0463A100" w14:textId="7D242B9A" w:rsidR="00017847" w:rsidRDefault="00017847" w:rsidP="009F527F">
      <w:pPr>
        <w:rPr>
          <w:rFonts w:ascii="Arial" w:hAnsi="Arial" w:cs="Arial"/>
        </w:rPr>
      </w:pPr>
    </w:p>
    <w:p w14:paraId="6FA9B265" w14:textId="0BA8D24C" w:rsidR="00017847" w:rsidRDefault="00017847" w:rsidP="00017847">
      <w:pPr>
        <w:jc w:val="center"/>
        <w:rPr>
          <w:rFonts w:ascii="Arial" w:hAnsi="Arial" w:cs="Arial"/>
          <w:b/>
          <w:sz w:val="32"/>
        </w:rPr>
      </w:pPr>
      <w:r w:rsidRPr="00017847">
        <w:rPr>
          <w:rFonts w:ascii="Arial" w:hAnsi="Arial" w:cs="Arial"/>
          <w:b/>
          <w:sz w:val="32"/>
        </w:rPr>
        <w:t>Bibliografía</w:t>
      </w:r>
    </w:p>
    <w:p w14:paraId="0629D1FF" w14:textId="2DDEE2B2" w:rsidR="00F94012" w:rsidRPr="00F94012" w:rsidRDefault="00F94012" w:rsidP="00F94012">
      <w:pPr>
        <w:pStyle w:val="Prrafodelista"/>
        <w:numPr>
          <w:ilvl w:val="0"/>
          <w:numId w:val="7"/>
        </w:numPr>
        <w:rPr>
          <w:rFonts w:ascii="Arial" w:hAnsi="Arial" w:cs="Arial"/>
        </w:rPr>
      </w:pPr>
      <w:r w:rsidRPr="00F94012">
        <w:rPr>
          <w:rFonts w:ascii="Arial" w:hAnsi="Arial" w:cs="Arial"/>
        </w:rPr>
        <w:t>INEGI. (2010). Censo de Población y Vivienda 2010. Instituto Nacional de Estadística y Geografía.</w:t>
      </w:r>
    </w:p>
    <w:p w14:paraId="583FC4ED" w14:textId="1886D806" w:rsidR="00F94012" w:rsidRDefault="00F94012" w:rsidP="00F94012">
      <w:pPr>
        <w:rPr>
          <w:rFonts w:ascii="Arial" w:hAnsi="Arial" w:cs="Arial"/>
        </w:rPr>
      </w:pPr>
      <w:hyperlink r:id="rId36" w:history="1">
        <w:r w:rsidRPr="0046214D">
          <w:rPr>
            <w:rStyle w:val="Hipervnculo"/>
            <w:rFonts w:ascii="Arial" w:hAnsi="Arial" w:cs="Arial"/>
          </w:rPr>
          <w:t>https://www.inegi.org.mx/programas/ccpv/2010/</w:t>
        </w:r>
      </w:hyperlink>
    </w:p>
    <w:p w14:paraId="5DDF5351" w14:textId="081A1A0D" w:rsidR="00F94012" w:rsidRDefault="00F94012" w:rsidP="00F94012">
      <w:pPr>
        <w:pStyle w:val="Prrafodelista"/>
        <w:numPr>
          <w:ilvl w:val="0"/>
          <w:numId w:val="6"/>
        </w:numPr>
        <w:rPr>
          <w:rFonts w:ascii="Arial" w:hAnsi="Arial" w:cs="Arial"/>
        </w:rPr>
      </w:pPr>
      <w:r w:rsidRPr="00F94012">
        <w:rPr>
          <w:rFonts w:ascii="Arial" w:hAnsi="Arial" w:cs="Arial"/>
        </w:rPr>
        <w:t>H. Ayuntamiento de Tultitlán. (2021). *Plan de Desarrollo Municipal de Tultitlán 2019-2021*. Gobierno Municipal de Tultitlán.</w:t>
      </w:r>
    </w:p>
    <w:p w14:paraId="6C661D37" w14:textId="71C86B57" w:rsidR="00F94012" w:rsidRPr="00F94012" w:rsidRDefault="00F94012" w:rsidP="00F94012">
      <w:pPr>
        <w:pStyle w:val="Prrafodelista"/>
        <w:numPr>
          <w:ilvl w:val="0"/>
          <w:numId w:val="6"/>
        </w:numPr>
        <w:rPr>
          <w:rFonts w:ascii="Arial" w:hAnsi="Arial" w:cs="Arial"/>
        </w:rPr>
      </w:pPr>
      <w:r w:rsidRPr="00F94012">
        <w:rPr>
          <w:rFonts w:ascii="Arial" w:hAnsi="Arial" w:cs="Arial"/>
        </w:rPr>
        <w:t>Notas de la clase de Demografía del grupo 9217 del semestre 2026-2</w:t>
      </w:r>
    </w:p>
    <w:sectPr w:rsidR="00F94012" w:rsidRPr="00F94012" w:rsidSect="00886F70">
      <w:pgSz w:w="12240" w:h="15840"/>
      <w:pgMar w:top="1417" w:right="1701" w:bottom="1417" w:left="1701"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B0639"/>
    <w:multiLevelType w:val="hybridMultilevel"/>
    <w:tmpl w:val="F7B0BF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260887"/>
    <w:multiLevelType w:val="hybridMultilevel"/>
    <w:tmpl w:val="B2D047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D855DDD"/>
    <w:multiLevelType w:val="hybridMultilevel"/>
    <w:tmpl w:val="4D16B1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2115981"/>
    <w:multiLevelType w:val="hybridMultilevel"/>
    <w:tmpl w:val="E482FE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220591D"/>
    <w:multiLevelType w:val="hybridMultilevel"/>
    <w:tmpl w:val="F66044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5F82DDC"/>
    <w:multiLevelType w:val="hybridMultilevel"/>
    <w:tmpl w:val="1C58B8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0822ABA"/>
    <w:multiLevelType w:val="hybridMultilevel"/>
    <w:tmpl w:val="B36A7E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0"/>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F70"/>
    <w:rsid w:val="00017847"/>
    <w:rsid w:val="001E736C"/>
    <w:rsid w:val="002C05F0"/>
    <w:rsid w:val="00325E12"/>
    <w:rsid w:val="00506CF1"/>
    <w:rsid w:val="00513F92"/>
    <w:rsid w:val="00581E06"/>
    <w:rsid w:val="005D04F1"/>
    <w:rsid w:val="00622039"/>
    <w:rsid w:val="006409FC"/>
    <w:rsid w:val="007751C3"/>
    <w:rsid w:val="00777E0C"/>
    <w:rsid w:val="00886F70"/>
    <w:rsid w:val="009F527F"/>
    <w:rsid w:val="00AF491F"/>
    <w:rsid w:val="00B80B2E"/>
    <w:rsid w:val="00BD0115"/>
    <w:rsid w:val="00C60354"/>
    <w:rsid w:val="00DA5206"/>
    <w:rsid w:val="00DC5CA5"/>
    <w:rsid w:val="00E144B1"/>
    <w:rsid w:val="00F93385"/>
    <w:rsid w:val="00F94012"/>
    <w:rsid w:val="00F96C5A"/>
    <w:rsid w:val="00FA0657"/>
    <w:rsid w:val="00FA562F"/>
    <w:rsid w:val="00FF44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57E8B"/>
  <w15:chartTrackingRefBased/>
  <w15:docId w15:val="{C26B590D-32C0-4E2A-978D-CF326177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F449A"/>
    <w:pPr>
      <w:ind w:left="720"/>
      <w:contextualSpacing/>
    </w:pPr>
  </w:style>
  <w:style w:type="paragraph" w:customStyle="1" w:styleId="ds-markdown-paragraph">
    <w:name w:val="ds-markdown-paragraph"/>
    <w:basedOn w:val="Normal"/>
    <w:rsid w:val="00F96C5A"/>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F96C5A"/>
    <w:rPr>
      <w:b/>
      <w:bCs/>
    </w:rPr>
  </w:style>
  <w:style w:type="character" w:styleId="Hipervnculo">
    <w:name w:val="Hyperlink"/>
    <w:basedOn w:val="Fuentedeprrafopredeter"/>
    <w:uiPriority w:val="99"/>
    <w:unhideWhenUsed/>
    <w:rsid w:val="00F940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0983">
      <w:bodyDiv w:val="1"/>
      <w:marLeft w:val="0"/>
      <w:marRight w:val="0"/>
      <w:marTop w:val="0"/>
      <w:marBottom w:val="0"/>
      <w:divBdr>
        <w:top w:val="none" w:sz="0" w:space="0" w:color="auto"/>
        <w:left w:val="none" w:sz="0" w:space="0" w:color="auto"/>
        <w:bottom w:val="none" w:sz="0" w:space="0" w:color="auto"/>
        <w:right w:val="none" w:sz="0" w:space="0" w:color="auto"/>
      </w:divBdr>
    </w:div>
    <w:div w:id="95058834">
      <w:bodyDiv w:val="1"/>
      <w:marLeft w:val="0"/>
      <w:marRight w:val="0"/>
      <w:marTop w:val="0"/>
      <w:marBottom w:val="0"/>
      <w:divBdr>
        <w:top w:val="none" w:sz="0" w:space="0" w:color="auto"/>
        <w:left w:val="none" w:sz="0" w:space="0" w:color="auto"/>
        <w:bottom w:val="none" w:sz="0" w:space="0" w:color="auto"/>
        <w:right w:val="none" w:sz="0" w:space="0" w:color="auto"/>
      </w:divBdr>
    </w:div>
    <w:div w:id="190412136">
      <w:bodyDiv w:val="1"/>
      <w:marLeft w:val="0"/>
      <w:marRight w:val="0"/>
      <w:marTop w:val="0"/>
      <w:marBottom w:val="0"/>
      <w:divBdr>
        <w:top w:val="none" w:sz="0" w:space="0" w:color="auto"/>
        <w:left w:val="none" w:sz="0" w:space="0" w:color="auto"/>
        <w:bottom w:val="none" w:sz="0" w:space="0" w:color="auto"/>
        <w:right w:val="none" w:sz="0" w:space="0" w:color="auto"/>
      </w:divBdr>
    </w:div>
    <w:div w:id="196360060">
      <w:bodyDiv w:val="1"/>
      <w:marLeft w:val="0"/>
      <w:marRight w:val="0"/>
      <w:marTop w:val="0"/>
      <w:marBottom w:val="0"/>
      <w:divBdr>
        <w:top w:val="none" w:sz="0" w:space="0" w:color="auto"/>
        <w:left w:val="none" w:sz="0" w:space="0" w:color="auto"/>
        <w:bottom w:val="none" w:sz="0" w:space="0" w:color="auto"/>
        <w:right w:val="none" w:sz="0" w:space="0" w:color="auto"/>
      </w:divBdr>
    </w:div>
    <w:div w:id="301156928">
      <w:bodyDiv w:val="1"/>
      <w:marLeft w:val="0"/>
      <w:marRight w:val="0"/>
      <w:marTop w:val="0"/>
      <w:marBottom w:val="0"/>
      <w:divBdr>
        <w:top w:val="none" w:sz="0" w:space="0" w:color="auto"/>
        <w:left w:val="none" w:sz="0" w:space="0" w:color="auto"/>
        <w:bottom w:val="none" w:sz="0" w:space="0" w:color="auto"/>
        <w:right w:val="none" w:sz="0" w:space="0" w:color="auto"/>
      </w:divBdr>
    </w:div>
    <w:div w:id="346761654">
      <w:bodyDiv w:val="1"/>
      <w:marLeft w:val="0"/>
      <w:marRight w:val="0"/>
      <w:marTop w:val="0"/>
      <w:marBottom w:val="0"/>
      <w:divBdr>
        <w:top w:val="none" w:sz="0" w:space="0" w:color="auto"/>
        <w:left w:val="none" w:sz="0" w:space="0" w:color="auto"/>
        <w:bottom w:val="none" w:sz="0" w:space="0" w:color="auto"/>
        <w:right w:val="none" w:sz="0" w:space="0" w:color="auto"/>
      </w:divBdr>
    </w:div>
    <w:div w:id="375859662">
      <w:bodyDiv w:val="1"/>
      <w:marLeft w:val="0"/>
      <w:marRight w:val="0"/>
      <w:marTop w:val="0"/>
      <w:marBottom w:val="0"/>
      <w:divBdr>
        <w:top w:val="none" w:sz="0" w:space="0" w:color="auto"/>
        <w:left w:val="none" w:sz="0" w:space="0" w:color="auto"/>
        <w:bottom w:val="none" w:sz="0" w:space="0" w:color="auto"/>
        <w:right w:val="none" w:sz="0" w:space="0" w:color="auto"/>
      </w:divBdr>
    </w:div>
    <w:div w:id="531919611">
      <w:bodyDiv w:val="1"/>
      <w:marLeft w:val="0"/>
      <w:marRight w:val="0"/>
      <w:marTop w:val="0"/>
      <w:marBottom w:val="0"/>
      <w:divBdr>
        <w:top w:val="none" w:sz="0" w:space="0" w:color="auto"/>
        <w:left w:val="none" w:sz="0" w:space="0" w:color="auto"/>
        <w:bottom w:val="none" w:sz="0" w:space="0" w:color="auto"/>
        <w:right w:val="none" w:sz="0" w:space="0" w:color="auto"/>
      </w:divBdr>
    </w:div>
    <w:div w:id="753090019">
      <w:bodyDiv w:val="1"/>
      <w:marLeft w:val="0"/>
      <w:marRight w:val="0"/>
      <w:marTop w:val="0"/>
      <w:marBottom w:val="0"/>
      <w:divBdr>
        <w:top w:val="none" w:sz="0" w:space="0" w:color="auto"/>
        <w:left w:val="none" w:sz="0" w:space="0" w:color="auto"/>
        <w:bottom w:val="none" w:sz="0" w:space="0" w:color="auto"/>
        <w:right w:val="none" w:sz="0" w:space="0" w:color="auto"/>
      </w:divBdr>
    </w:div>
    <w:div w:id="1018968696">
      <w:bodyDiv w:val="1"/>
      <w:marLeft w:val="0"/>
      <w:marRight w:val="0"/>
      <w:marTop w:val="0"/>
      <w:marBottom w:val="0"/>
      <w:divBdr>
        <w:top w:val="none" w:sz="0" w:space="0" w:color="auto"/>
        <w:left w:val="none" w:sz="0" w:space="0" w:color="auto"/>
        <w:bottom w:val="none" w:sz="0" w:space="0" w:color="auto"/>
        <w:right w:val="none" w:sz="0" w:space="0" w:color="auto"/>
      </w:divBdr>
      <w:divsChild>
        <w:div w:id="193082129">
          <w:marLeft w:val="0"/>
          <w:marRight w:val="0"/>
          <w:marTop w:val="0"/>
          <w:marBottom w:val="0"/>
          <w:divBdr>
            <w:top w:val="none" w:sz="0" w:space="0" w:color="auto"/>
            <w:left w:val="none" w:sz="0" w:space="0" w:color="auto"/>
            <w:bottom w:val="none" w:sz="0" w:space="0" w:color="auto"/>
            <w:right w:val="none" w:sz="0" w:space="0" w:color="auto"/>
          </w:divBdr>
          <w:divsChild>
            <w:div w:id="704411226">
              <w:marLeft w:val="0"/>
              <w:marRight w:val="0"/>
              <w:marTop w:val="0"/>
              <w:marBottom w:val="0"/>
              <w:divBdr>
                <w:top w:val="none" w:sz="0" w:space="0" w:color="auto"/>
                <w:left w:val="none" w:sz="0" w:space="0" w:color="auto"/>
                <w:bottom w:val="none" w:sz="0" w:space="0" w:color="auto"/>
                <w:right w:val="none" w:sz="0" w:space="0" w:color="auto"/>
              </w:divBdr>
              <w:divsChild>
                <w:div w:id="807893953">
                  <w:marLeft w:val="0"/>
                  <w:marRight w:val="0"/>
                  <w:marTop w:val="0"/>
                  <w:marBottom w:val="0"/>
                  <w:divBdr>
                    <w:top w:val="none" w:sz="0" w:space="0" w:color="auto"/>
                    <w:left w:val="none" w:sz="0" w:space="0" w:color="auto"/>
                    <w:bottom w:val="none" w:sz="0" w:space="0" w:color="auto"/>
                    <w:right w:val="none" w:sz="0" w:space="0" w:color="auto"/>
                  </w:divBdr>
                </w:div>
                <w:div w:id="1992171170">
                  <w:marLeft w:val="0"/>
                  <w:marRight w:val="0"/>
                  <w:marTop w:val="0"/>
                  <w:marBottom w:val="0"/>
                  <w:divBdr>
                    <w:top w:val="none" w:sz="0" w:space="0" w:color="auto"/>
                    <w:left w:val="none" w:sz="0" w:space="0" w:color="auto"/>
                    <w:bottom w:val="none" w:sz="0" w:space="0" w:color="auto"/>
                    <w:right w:val="none" w:sz="0" w:space="0" w:color="auto"/>
                  </w:divBdr>
                </w:div>
                <w:div w:id="37666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309401">
      <w:bodyDiv w:val="1"/>
      <w:marLeft w:val="0"/>
      <w:marRight w:val="0"/>
      <w:marTop w:val="0"/>
      <w:marBottom w:val="0"/>
      <w:divBdr>
        <w:top w:val="none" w:sz="0" w:space="0" w:color="auto"/>
        <w:left w:val="none" w:sz="0" w:space="0" w:color="auto"/>
        <w:bottom w:val="none" w:sz="0" w:space="0" w:color="auto"/>
        <w:right w:val="none" w:sz="0" w:space="0" w:color="auto"/>
      </w:divBdr>
      <w:divsChild>
        <w:div w:id="1086271963">
          <w:marLeft w:val="0"/>
          <w:marRight w:val="0"/>
          <w:marTop w:val="0"/>
          <w:marBottom w:val="0"/>
          <w:divBdr>
            <w:top w:val="none" w:sz="0" w:space="0" w:color="auto"/>
            <w:left w:val="none" w:sz="0" w:space="0" w:color="auto"/>
            <w:bottom w:val="none" w:sz="0" w:space="0" w:color="auto"/>
            <w:right w:val="none" w:sz="0" w:space="0" w:color="auto"/>
          </w:divBdr>
        </w:div>
      </w:divsChild>
    </w:div>
    <w:div w:id="1201433248">
      <w:bodyDiv w:val="1"/>
      <w:marLeft w:val="0"/>
      <w:marRight w:val="0"/>
      <w:marTop w:val="0"/>
      <w:marBottom w:val="0"/>
      <w:divBdr>
        <w:top w:val="none" w:sz="0" w:space="0" w:color="auto"/>
        <w:left w:val="none" w:sz="0" w:space="0" w:color="auto"/>
        <w:bottom w:val="none" w:sz="0" w:space="0" w:color="auto"/>
        <w:right w:val="none" w:sz="0" w:space="0" w:color="auto"/>
      </w:divBdr>
    </w:div>
    <w:div w:id="1551839172">
      <w:bodyDiv w:val="1"/>
      <w:marLeft w:val="0"/>
      <w:marRight w:val="0"/>
      <w:marTop w:val="0"/>
      <w:marBottom w:val="0"/>
      <w:divBdr>
        <w:top w:val="none" w:sz="0" w:space="0" w:color="auto"/>
        <w:left w:val="none" w:sz="0" w:space="0" w:color="auto"/>
        <w:bottom w:val="none" w:sz="0" w:space="0" w:color="auto"/>
        <w:right w:val="none" w:sz="0" w:space="0" w:color="auto"/>
      </w:divBdr>
    </w:div>
    <w:div w:id="1704212436">
      <w:bodyDiv w:val="1"/>
      <w:marLeft w:val="0"/>
      <w:marRight w:val="0"/>
      <w:marTop w:val="0"/>
      <w:marBottom w:val="0"/>
      <w:divBdr>
        <w:top w:val="none" w:sz="0" w:space="0" w:color="auto"/>
        <w:left w:val="none" w:sz="0" w:space="0" w:color="auto"/>
        <w:bottom w:val="none" w:sz="0" w:space="0" w:color="auto"/>
        <w:right w:val="none" w:sz="0" w:space="0" w:color="auto"/>
      </w:divBdr>
    </w:div>
    <w:div w:id="1807576611">
      <w:bodyDiv w:val="1"/>
      <w:marLeft w:val="0"/>
      <w:marRight w:val="0"/>
      <w:marTop w:val="0"/>
      <w:marBottom w:val="0"/>
      <w:divBdr>
        <w:top w:val="none" w:sz="0" w:space="0" w:color="auto"/>
        <w:left w:val="none" w:sz="0" w:space="0" w:color="auto"/>
        <w:bottom w:val="none" w:sz="0" w:space="0" w:color="auto"/>
        <w:right w:val="none" w:sz="0" w:space="0" w:color="auto"/>
      </w:divBdr>
    </w:div>
    <w:div w:id="1884829671">
      <w:bodyDiv w:val="1"/>
      <w:marLeft w:val="0"/>
      <w:marRight w:val="0"/>
      <w:marTop w:val="0"/>
      <w:marBottom w:val="0"/>
      <w:divBdr>
        <w:top w:val="none" w:sz="0" w:space="0" w:color="auto"/>
        <w:left w:val="none" w:sz="0" w:space="0" w:color="auto"/>
        <w:bottom w:val="none" w:sz="0" w:space="0" w:color="auto"/>
        <w:right w:val="none" w:sz="0" w:space="0" w:color="auto"/>
      </w:divBdr>
    </w:div>
    <w:div w:id="1899779987">
      <w:bodyDiv w:val="1"/>
      <w:marLeft w:val="0"/>
      <w:marRight w:val="0"/>
      <w:marTop w:val="0"/>
      <w:marBottom w:val="0"/>
      <w:divBdr>
        <w:top w:val="none" w:sz="0" w:space="0" w:color="auto"/>
        <w:left w:val="none" w:sz="0" w:space="0" w:color="auto"/>
        <w:bottom w:val="none" w:sz="0" w:space="0" w:color="auto"/>
        <w:right w:val="none" w:sz="0" w:space="0" w:color="auto"/>
      </w:divBdr>
    </w:div>
    <w:div w:id="1976909853">
      <w:bodyDiv w:val="1"/>
      <w:marLeft w:val="0"/>
      <w:marRight w:val="0"/>
      <w:marTop w:val="0"/>
      <w:marBottom w:val="0"/>
      <w:divBdr>
        <w:top w:val="none" w:sz="0" w:space="0" w:color="auto"/>
        <w:left w:val="none" w:sz="0" w:space="0" w:color="auto"/>
        <w:bottom w:val="none" w:sz="0" w:space="0" w:color="auto"/>
        <w:right w:val="none" w:sz="0" w:space="0" w:color="auto"/>
      </w:divBdr>
      <w:divsChild>
        <w:div w:id="1358507905">
          <w:marLeft w:val="0"/>
          <w:marRight w:val="0"/>
          <w:marTop w:val="0"/>
          <w:marBottom w:val="0"/>
          <w:divBdr>
            <w:top w:val="none" w:sz="0" w:space="0" w:color="auto"/>
            <w:left w:val="none" w:sz="0" w:space="0" w:color="auto"/>
            <w:bottom w:val="none" w:sz="0" w:space="0" w:color="auto"/>
            <w:right w:val="none" w:sz="0" w:space="0" w:color="auto"/>
          </w:divBdr>
        </w:div>
      </w:divsChild>
    </w:div>
    <w:div w:id="2074691378">
      <w:bodyDiv w:val="1"/>
      <w:marLeft w:val="0"/>
      <w:marRight w:val="0"/>
      <w:marTop w:val="0"/>
      <w:marBottom w:val="0"/>
      <w:divBdr>
        <w:top w:val="none" w:sz="0" w:space="0" w:color="auto"/>
        <w:left w:val="none" w:sz="0" w:space="0" w:color="auto"/>
        <w:bottom w:val="none" w:sz="0" w:space="0" w:color="auto"/>
        <w:right w:val="none" w:sz="0" w:space="0" w:color="auto"/>
      </w:divBdr>
    </w:div>
    <w:div w:id="212141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chart" Target="charts/chart4.xml"/><Relationship Id="rId21" Type="http://schemas.openxmlformats.org/officeDocument/2006/relationships/chart" Target="charts/chart2.xml"/><Relationship Id="rId34" Type="http://schemas.openxmlformats.org/officeDocument/2006/relationships/image" Target="media/image24.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chart" Target="charts/chart1.xml"/><Relationship Id="rId29" Type="http://schemas.openxmlformats.org/officeDocument/2006/relationships/chart" Target="charts/chart5.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hart" Target="charts/chart3.xml"/><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0.png"/><Relationship Id="rId36" Type="http://schemas.openxmlformats.org/officeDocument/2006/relationships/hyperlink" Target="https://www.inegi.org.mx/programas/ccpv/2010/"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chart" Target="charts/chart6.xml"/><Relationship Id="rId35" Type="http://schemas.openxmlformats.org/officeDocument/2006/relationships/image" Target="media/image25.png"/><Relationship Id="rId8" Type="http://schemas.openxmlformats.org/officeDocument/2006/relationships/image" Target="media/image4.png"/><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1d823f59b95e580c/Escritorio/Excel%20Demografia/Laboratorio%20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1d823f59b95e580c/Escritorio/Excel%20Demografia/Laboratorio%20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1d823f59b95e580c/Escritorio/Excel%20Demografia/Laboratorio%20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1d823f59b95e580c/Escritorio/Excel%20Demografia/Laboratorio%20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1d823f59b95e580c/Escritorio/Excel%20Demografia/Laboratorio%203.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1d823f59b95e580c/Escritorio/Excel%20Demografia/Laboratorio%203.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s-MX"/>
              <a:t>Esperanza de vida 2010. Hombres</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val>
            <c:numRef>
              <c:f>'[Laboratorio 3.xlsx]Tablas de Vida'!$N$6:$N$24</c:f>
              <c:numCache>
                <c:formatCode>General</c:formatCode>
                <c:ptCount val="19"/>
                <c:pt idx="0">
                  <c:v>86.025403320214991</c:v>
                </c:pt>
                <c:pt idx="1">
                  <c:v>86.134256513884552</c:v>
                </c:pt>
                <c:pt idx="2">
                  <c:v>82.167481534252019</c:v>
                </c:pt>
                <c:pt idx="3">
                  <c:v>77.209521033290088</c:v>
                </c:pt>
                <c:pt idx="4">
                  <c:v>72.224442435631104</c:v>
                </c:pt>
                <c:pt idx="5">
                  <c:v>67.41575567004358</c:v>
                </c:pt>
                <c:pt idx="6">
                  <c:v>62.620654309189661</c:v>
                </c:pt>
                <c:pt idx="7">
                  <c:v>57.865050316083575</c:v>
                </c:pt>
                <c:pt idx="8">
                  <c:v>53.062501709759168</c:v>
                </c:pt>
                <c:pt idx="9">
                  <c:v>48.319285198213841</c:v>
                </c:pt>
                <c:pt idx="10">
                  <c:v>43.556845715530009</c:v>
                </c:pt>
                <c:pt idx="11">
                  <c:v>39.061343862018326</c:v>
                </c:pt>
                <c:pt idx="12">
                  <c:v>34.57668305706845</c:v>
                </c:pt>
                <c:pt idx="13">
                  <c:v>30.268864242923737</c:v>
                </c:pt>
                <c:pt idx="14">
                  <c:v>26.235491484910519</c:v>
                </c:pt>
                <c:pt idx="15">
                  <c:v>22.358827784532593</c:v>
                </c:pt>
                <c:pt idx="16">
                  <c:v>18.702393799743874</c:v>
                </c:pt>
                <c:pt idx="17">
                  <c:v>15.603328860334226</c:v>
                </c:pt>
                <c:pt idx="18">
                  <c:v>12.378181371411289</c:v>
                </c:pt>
              </c:numCache>
            </c:numRef>
          </c:val>
          <c:extLst>
            <c:ext xmlns:c16="http://schemas.microsoft.com/office/drawing/2014/chart" uri="{C3380CC4-5D6E-409C-BE32-E72D297353CC}">
              <c16:uniqueId val="{00000000-5AEC-4353-B626-11EF820E0A64}"/>
            </c:ext>
          </c:extLst>
        </c:ser>
        <c:dLbls>
          <c:showLegendKey val="0"/>
          <c:showVal val="0"/>
          <c:showCatName val="0"/>
          <c:showSerName val="0"/>
          <c:showPercent val="0"/>
          <c:showBubbleSize val="0"/>
        </c:dLbls>
        <c:gapWidth val="267"/>
        <c:overlap val="-43"/>
        <c:axId val="828694512"/>
        <c:axId val="706090464"/>
      </c:barChart>
      <c:catAx>
        <c:axId val="828694512"/>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MX"/>
          </a:p>
        </c:txPr>
        <c:crossAx val="706090464"/>
        <c:crosses val="autoZero"/>
        <c:auto val="1"/>
        <c:lblAlgn val="ctr"/>
        <c:lblOffset val="100"/>
        <c:noMultiLvlLbl val="0"/>
      </c:catAx>
      <c:valAx>
        <c:axId val="70609046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MX"/>
          </a:p>
        </c:txPr>
        <c:crossAx val="828694512"/>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s-MX"/>
              <a:t>Esperanza de vida 2010. Mujeres</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val>
            <c:numRef>
              <c:f>'[Laboratorio 3.xlsx]Tablas de Vida'!$AC$6:$AC$24</c:f>
              <c:numCache>
                <c:formatCode>General</c:formatCode>
                <c:ptCount val="19"/>
                <c:pt idx="0">
                  <c:v>88.694643997309399</c:v>
                </c:pt>
                <c:pt idx="1">
                  <c:v>88.475543957854882</c:v>
                </c:pt>
                <c:pt idx="2">
                  <c:v>84.489683971358389</c:v>
                </c:pt>
                <c:pt idx="3">
                  <c:v>79.519080778829675</c:v>
                </c:pt>
                <c:pt idx="4">
                  <c:v>74.581316083736255</c:v>
                </c:pt>
                <c:pt idx="5">
                  <c:v>69.626407855644317</c:v>
                </c:pt>
                <c:pt idx="6">
                  <c:v>64.748725368006006</c:v>
                </c:pt>
                <c:pt idx="7">
                  <c:v>59.816539158309695</c:v>
                </c:pt>
                <c:pt idx="8">
                  <c:v>54.838509706724246</c:v>
                </c:pt>
                <c:pt idx="9">
                  <c:v>49.895354533044909</c:v>
                </c:pt>
                <c:pt idx="10">
                  <c:v>45.056785727929814</c:v>
                </c:pt>
                <c:pt idx="11">
                  <c:v>40.215794642181166</c:v>
                </c:pt>
                <c:pt idx="12">
                  <c:v>35.521039433750502</c:v>
                </c:pt>
                <c:pt idx="13">
                  <c:v>31.035445220107473</c:v>
                </c:pt>
                <c:pt idx="14">
                  <c:v>26.550942309010303</c:v>
                </c:pt>
                <c:pt idx="15">
                  <c:v>22.380710196776107</c:v>
                </c:pt>
                <c:pt idx="16">
                  <c:v>18.450665329879161</c:v>
                </c:pt>
                <c:pt idx="17">
                  <c:v>15.718944642396856</c:v>
                </c:pt>
                <c:pt idx="18">
                  <c:v>13.099421729580177</c:v>
                </c:pt>
              </c:numCache>
            </c:numRef>
          </c:val>
          <c:extLst>
            <c:ext xmlns:c16="http://schemas.microsoft.com/office/drawing/2014/chart" uri="{C3380CC4-5D6E-409C-BE32-E72D297353CC}">
              <c16:uniqueId val="{00000000-BEE7-442E-BDAD-52A352BED4A9}"/>
            </c:ext>
          </c:extLst>
        </c:ser>
        <c:dLbls>
          <c:showLegendKey val="0"/>
          <c:showVal val="0"/>
          <c:showCatName val="0"/>
          <c:showSerName val="0"/>
          <c:showPercent val="0"/>
          <c:showBubbleSize val="0"/>
        </c:dLbls>
        <c:gapWidth val="267"/>
        <c:overlap val="-43"/>
        <c:axId val="708764240"/>
        <c:axId val="708762160"/>
      </c:barChart>
      <c:catAx>
        <c:axId val="708764240"/>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MX"/>
          </a:p>
        </c:txPr>
        <c:crossAx val="708762160"/>
        <c:crosses val="autoZero"/>
        <c:auto val="1"/>
        <c:lblAlgn val="ctr"/>
        <c:lblOffset val="100"/>
        <c:noMultiLvlLbl val="0"/>
      </c:catAx>
      <c:valAx>
        <c:axId val="708762160"/>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MX"/>
          </a:p>
        </c:txPr>
        <c:crossAx val="708764240"/>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MX"/>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s-MX"/>
              <a:t>Esperanza de vida 2020. Hombres</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val>
            <c:numRef>
              <c:f>'[Laboratorio 3.xlsx]Tablas de Vida'!$N$47:$N$65</c:f>
              <c:numCache>
                <c:formatCode>General</c:formatCode>
                <c:ptCount val="19"/>
                <c:pt idx="0">
                  <c:v>70.190953588473207</c:v>
                </c:pt>
                <c:pt idx="1">
                  <c:v>69.706255480723698</c:v>
                </c:pt>
                <c:pt idx="2">
                  <c:v>65.729285882347241</c:v>
                </c:pt>
                <c:pt idx="3">
                  <c:v>60.779615768011531</c:v>
                </c:pt>
                <c:pt idx="4">
                  <c:v>55.806656476285774</c:v>
                </c:pt>
                <c:pt idx="5">
                  <c:v>51.03839918468195</c:v>
                </c:pt>
                <c:pt idx="6">
                  <c:v>46.398461968918937</c:v>
                </c:pt>
                <c:pt idx="7">
                  <c:v>41.806058249129372</c:v>
                </c:pt>
                <c:pt idx="8">
                  <c:v>37.231169123180585</c:v>
                </c:pt>
                <c:pt idx="9">
                  <c:v>32.712084394892806</c:v>
                </c:pt>
                <c:pt idx="10">
                  <c:v>28.311024417204433</c:v>
                </c:pt>
                <c:pt idx="11">
                  <c:v>24.057430313618489</c:v>
                </c:pt>
                <c:pt idx="12">
                  <c:v>20.006817358303906</c:v>
                </c:pt>
                <c:pt idx="13">
                  <c:v>16.75981804005318</c:v>
                </c:pt>
                <c:pt idx="14">
                  <c:v>13.900071065496887</c:v>
                </c:pt>
                <c:pt idx="15">
                  <c:v>11.745927558241339</c:v>
                </c:pt>
                <c:pt idx="16">
                  <c:v>10.247014423739248</c:v>
                </c:pt>
                <c:pt idx="17">
                  <c:v>8.4188276105225022</c:v>
                </c:pt>
                <c:pt idx="18">
                  <c:v>6.3949831009821221</c:v>
                </c:pt>
              </c:numCache>
            </c:numRef>
          </c:val>
          <c:extLst>
            <c:ext xmlns:c16="http://schemas.microsoft.com/office/drawing/2014/chart" uri="{C3380CC4-5D6E-409C-BE32-E72D297353CC}">
              <c16:uniqueId val="{00000000-D343-44D0-86CB-98CFC70BE03F}"/>
            </c:ext>
          </c:extLst>
        </c:ser>
        <c:dLbls>
          <c:showLegendKey val="0"/>
          <c:showVal val="0"/>
          <c:showCatName val="0"/>
          <c:showSerName val="0"/>
          <c:showPercent val="0"/>
          <c:showBubbleSize val="0"/>
        </c:dLbls>
        <c:gapWidth val="267"/>
        <c:overlap val="-43"/>
        <c:axId val="727600416"/>
        <c:axId val="727597920"/>
      </c:barChart>
      <c:catAx>
        <c:axId val="727600416"/>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MX"/>
          </a:p>
        </c:txPr>
        <c:crossAx val="727597920"/>
        <c:crosses val="autoZero"/>
        <c:auto val="1"/>
        <c:lblAlgn val="ctr"/>
        <c:lblOffset val="100"/>
        <c:noMultiLvlLbl val="0"/>
      </c:catAx>
      <c:valAx>
        <c:axId val="727597920"/>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MX"/>
          </a:p>
        </c:txPr>
        <c:crossAx val="727600416"/>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MX"/>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Esperanza</a:t>
            </a:r>
            <a:r>
              <a:rPr lang="es-MX" baseline="0"/>
              <a:t> de vida 2020. Mujeres</a:t>
            </a:r>
            <a:endParaRPr lang="es-MX"/>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val>
            <c:numRef>
              <c:f>'[Laboratorio 3.xlsx]Tablas de Vida'!$AC$47:$AC$65</c:f>
              <c:numCache>
                <c:formatCode>General</c:formatCode>
                <c:ptCount val="19"/>
                <c:pt idx="0">
                  <c:v>77.377396768841777</c:v>
                </c:pt>
                <c:pt idx="1">
                  <c:v>76.963353108500726</c:v>
                </c:pt>
                <c:pt idx="2">
                  <c:v>72.976147122914497</c:v>
                </c:pt>
                <c:pt idx="3">
                  <c:v>67.987743225204767</c:v>
                </c:pt>
                <c:pt idx="4">
                  <c:v>63.050745572207816</c:v>
                </c:pt>
                <c:pt idx="5">
                  <c:v>58.082256483257623</c:v>
                </c:pt>
                <c:pt idx="6">
                  <c:v>53.202610568764037</c:v>
                </c:pt>
                <c:pt idx="7">
                  <c:v>48.268871735952196</c:v>
                </c:pt>
                <c:pt idx="8">
                  <c:v>43.396239386808439</c:v>
                </c:pt>
                <c:pt idx="9">
                  <c:v>38.545762039028375</c:v>
                </c:pt>
                <c:pt idx="10">
                  <c:v>33.812955254628953</c:v>
                </c:pt>
                <c:pt idx="11">
                  <c:v>29.226809160546548</c:v>
                </c:pt>
                <c:pt idx="12">
                  <c:v>24.884779049544179</c:v>
                </c:pt>
                <c:pt idx="13">
                  <c:v>21.066348566684123</c:v>
                </c:pt>
                <c:pt idx="14">
                  <c:v>17.654750646041077</c:v>
                </c:pt>
                <c:pt idx="15">
                  <c:v>14.622915390288112</c:v>
                </c:pt>
                <c:pt idx="16">
                  <c:v>11.979174815842381</c:v>
                </c:pt>
                <c:pt idx="17">
                  <c:v>9.6123493332270638</c:v>
                </c:pt>
                <c:pt idx="18">
                  <c:v>7.3031237895160652</c:v>
                </c:pt>
              </c:numCache>
            </c:numRef>
          </c:val>
          <c:extLst>
            <c:ext xmlns:c16="http://schemas.microsoft.com/office/drawing/2014/chart" uri="{C3380CC4-5D6E-409C-BE32-E72D297353CC}">
              <c16:uniqueId val="{00000000-4738-4BF3-942C-351F17DFC1DF}"/>
            </c:ext>
          </c:extLst>
        </c:ser>
        <c:dLbls>
          <c:showLegendKey val="0"/>
          <c:showVal val="0"/>
          <c:showCatName val="0"/>
          <c:showSerName val="0"/>
          <c:showPercent val="0"/>
          <c:showBubbleSize val="0"/>
        </c:dLbls>
        <c:gapWidth val="219"/>
        <c:overlap val="-27"/>
        <c:axId val="827640112"/>
        <c:axId val="827629712"/>
      </c:barChart>
      <c:catAx>
        <c:axId val="827640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827629712"/>
        <c:crosses val="autoZero"/>
        <c:auto val="1"/>
        <c:lblAlgn val="ctr"/>
        <c:lblOffset val="100"/>
        <c:noMultiLvlLbl val="0"/>
      </c:catAx>
      <c:valAx>
        <c:axId val="8276297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8276401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Esperanza</a:t>
            </a:r>
            <a:r>
              <a:rPr lang="es-MX" baseline="0"/>
              <a:t> de vida 2010</a:t>
            </a:r>
            <a:endParaRPr lang="es-MX"/>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tx>
            <c:strRef>
              <c:f>'[Laboratorio 3.xlsx]Tablas de Vida'!$I$85:$I$87</c:f>
              <c:strCache>
                <c:ptCount val="3"/>
                <c:pt idx="0">
                  <c:v>Hombres</c:v>
                </c:pt>
                <c:pt idx="1">
                  <c:v>2010</c:v>
                </c:pt>
                <c:pt idx="2">
                  <c:v>ex</c:v>
                </c:pt>
              </c:strCache>
            </c:strRef>
          </c:tx>
          <c:spPr>
            <a:solidFill>
              <a:srgbClr val="0070C0"/>
            </a:solidFill>
            <a:ln>
              <a:noFill/>
            </a:ln>
            <a:effectLst/>
          </c:spPr>
          <c:invertIfNegative val="0"/>
          <c:val>
            <c:numRef>
              <c:f>'[Laboratorio 3.xlsx]Tablas de Vida'!$I$88:$I$106</c:f>
              <c:numCache>
                <c:formatCode>General</c:formatCode>
                <c:ptCount val="19"/>
                <c:pt idx="0">
                  <c:v>86.025403320214991</c:v>
                </c:pt>
                <c:pt idx="1">
                  <c:v>86.134256513884552</c:v>
                </c:pt>
                <c:pt idx="2">
                  <c:v>82.167481534252019</c:v>
                </c:pt>
                <c:pt idx="3">
                  <c:v>77.209521033290088</c:v>
                </c:pt>
                <c:pt idx="4">
                  <c:v>72.224442435631104</c:v>
                </c:pt>
                <c:pt idx="5">
                  <c:v>67.41575567004358</c:v>
                </c:pt>
                <c:pt idx="6">
                  <c:v>62.620654309189661</c:v>
                </c:pt>
                <c:pt idx="7">
                  <c:v>57.865050316083575</c:v>
                </c:pt>
                <c:pt idx="8">
                  <c:v>53.062501709759168</c:v>
                </c:pt>
                <c:pt idx="9">
                  <c:v>48.319285198213841</c:v>
                </c:pt>
                <c:pt idx="10">
                  <c:v>43.556845715530009</c:v>
                </c:pt>
                <c:pt idx="11">
                  <c:v>39.061343862018326</c:v>
                </c:pt>
                <c:pt idx="12">
                  <c:v>34.57668305706845</c:v>
                </c:pt>
                <c:pt idx="13">
                  <c:v>30.268864242923737</c:v>
                </c:pt>
                <c:pt idx="14">
                  <c:v>26.235491484910519</c:v>
                </c:pt>
                <c:pt idx="15">
                  <c:v>22.358827784532593</c:v>
                </c:pt>
                <c:pt idx="16">
                  <c:v>18.702393799743874</c:v>
                </c:pt>
                <c:pt idx="17">
                  <c:v>15.603328860334226</c:v>
                </c:pt>
                <c:pt idx="18">
                  <c:v>12.378181371411289</c:v>
                </c:pt>
              </c:numCache>
            </c:numRef>
          </c:val>
          <c:extLst>
            <c:ext xmlns:c16="http://schemas.microsoft.com/office/drawing/2014/chart" uri="{C3380CC4-5D6E-409C-BE32-E72D297353CC}">
              <c16:uniqueId val="{00000000-3396-4B3B-9F54-D6EEEE3C889B}"/>
            </c:ext>
          </c:extLst>
        </c:ser>
        <c:ser>
          <c:idx val="1"/>
          <c:order val="1"/>
          <c:tx>
            <c:strRef>
              <c:f>'[Laboratorio 3.xlsx]Tablas de Vida'!$J$85:$J$87</c:f>
              <c:strCache>
                <c:ptCount val="3"/>
                <c:pt idx="0">
                  <c:v>Mujeres</c:v>
                </c:pt>
                <c:pt idx="1">
                  <c:v>2010</c:v>
                </c:pt>
                <c:pt idx="2">
                  <c:v>ex</c:v>
                </c:pt>
              </c:strCache>
            </c:strRef>
          </c:tx>
          <c:spPr>
            <a:solidFill>
              <a:srgbClr val="FF66FF"/>
            </a:solidFill>
            <a:ln>
              <a:noFill/>
            </a:ln>
            <a:effectLst/>
          </c:spPr>
          <c:invertIfNegative val="0"/>
          <c:val>
            <c:numRef>
              <c:f>'[Laboratorio 3.xlsx]Tablas de Vida'!$J$88:$J$106</c:f>
              <c:numCache>
                <c:formatCode>General</c:formatCode>
                <c:ptCount val="19"/>
                <c:pt idx="0">
                  <c:v>88.694643997309399</c:v>
                </c:pt>
                <c:pt idx="1">
                  <c:v>88.475543957854882</c:v>
                </c:pt>
                <c:pt idx="2">
                  <c:v>84.489683971358389</c:v>
                </c:pt>
                <c:pt idx="3">
                  <c:v>79.519080778829675</c:v>
                </c:pt>
                <c:pt idx="4">
                  <c:v>74.581316083736255</c:v>
                </c:pt>
                <c:pt idx="5">
                  <c:v>69.626407855644317</c:v>
                </c:pt>
                <c:pt idx="6">
                  <c:v>64.748725368006006</c:v>
                </c:pt>
                <c:pt idx="7">
                  <c:v>59.816539158309695</c:v>
                </c:pt>
                <c:pt idx="8">
                  <c:v>54.838509706724246</c:v>
                </c:pt>
                <c:pt idx="9">
                  <c:v>49.895354533044909</c:v>
                </c:pt>
                <c:pt idx="10">
                  <c:v>45.056785727929814</c:v>
                </c:pt>
                <c:pt idx="11">
                  <c:v>40.215794642181166</c:v>
                </c:pt>
                <c:pt idx="12">
                  <c:v>35.521039433750502</c:v>
                </c:pt>
                <c:pt idx="13">
                  <c:v>31.035445220107473</c:v>
                </c:pt>
                <c:pt idx="14">
                  <c:v>26.550942309010303</c:v>
                </c:pt>
                <c:pt idx="15">
                  <c:v>22.380710196776107</c:v>
                </c:pt>
                <c:pt idx="16">
                  <c:v>18.450665329879161</c:v>
                </c:pt>
                <c:pt idx="17">
                  <c:v>15.718944642396856</c:v>
                </c:pt>
                <c:pt idx="18">
                  <c:v>13.099421729580177</c:v>
                </c:pt>
              </c:numCache>
            </c:numRef>
          </c:val>
          <c:extLst>
            <c:ext xmlns:c16="http://schemas.microsoft.com/office/drawing/2014/chart" uri="{C3380CC4-5D6E-409C-BE32-E72D297353CC}">
              <c16:uniqueId val="{00000001-3396-4B3B-9F54-D6EEEE3C889B}"/>
            </c:ext>
          </c:extLst>
        </c:ser>
        <c:dLbls>
          <c:showLegendKey val="0"/>
          <c:showVal val="0"/>
          <c:showCatName val="0"/>
          <c:showSerName val="0"/>
          <c:showPercent val="0"/>
          <c:showBubbleSize val="0"/>
        </c:dLbls>
        <c:gapWidth val="219"/>
        <c:overlap val="-27"/>
        <c:axId val="706677120"/>
        <c:axId val="706672128"/>
      </c:barChart>
      <c:catAx>
        <c:axId val="70667712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706672128"/>
        <c:crosses val="autoZero"/>
        <c:auto val="1"/>
        <c:lblAlgn val="ctr"/>
        <c:lblOffset val="100"/>
        <c:noMultiLvlLbl val="0"/>
      </c:catAx>
      <c:valAx>
        <c:axId val="7066721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706677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Esperanza</a:t>
            </a:r>
            <a:r>
              <a:rPr lang="es-MX" baseline="0"/>
              <a:t> de vida 2020</a:t>
            </a:r>
            <a:endParaRPr lang="es-MX"/>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tx>
            <c:strRef>
              <c:f>'[Laboratorio 3.xlsx]Tablas de Vida'!$Z$85:$Z$87</c:f>
              <c:strCache>
                <c:ptCount val="3"/>
                <c:pt idx="0">
                  <c:v>Hombres</c:v>
                </c:pt>
                <c:pt idx="1">
                  <c:v>2020</c:v>
                </c:pt>
                <c:pt idx="2">
                  <c:v>ex</c:v>
                </c:pt>
              </c:strCache>
            </c:strRef>
          </c:tx>
          <c:spPr>
            <a:solidFill>
              <a:srgbClr val="0070C0"/>
            </a:solidFill>
            <a:ln>
              <a:noFill/>
            </a:ln>
            <a:effectLst/>
          </c:spPr>
          <c:invertIfNegative val="0"/>
          <c:val>
            <c:numRef>
              <c:f>'[Laboratorio 3.xlsx]Tablas de Vida'!$Z$88:$Z$106</c:f>
              <c:numCache>
                <c:formatCode>General</c:formatCode>
                <c:ptCount val="19"/>
                <c:pt idx="0">
                  <c:v>70.190953588473207</c:v>
                </c:pt>
                <c:pt idx="1">
                  <c:v>69.706255480723698</c:v>
                </c:pt>
                <c:pt idx="2">
                  <c:v>65.729285882347241</c:v>
                </c:pt>
                <c:pt idx="3">
                  <c:v>60.779615768011531</c:v>
                </c:pt>
                <c:pt idx="4">
                  <c:v>55.806656476285774</c:v>
                </c:pt>
                <c:pt idx="5">
                  <c:v>51.03839918468195</c:v>
                </c:pt>
                <c:pt idx="6">
                  <c:v>46.398461968918937</c:v>
                </c:pt>
                <c:pt idx="7">
                  <c:v>41.806058249129372</c:v>
                </c:pt>
                <c:pt idx="8">
                  <c:v>37.231169123180585</c:v>
                </c:pt>
                <c:pt idx="9">
                  <c:v>32.712084394892806</c:v>
                </c:pt>
                <c:pt idx="10">
                  <c:v>28.311024417204433</c:v>
                </c:pt>
                <c:pt idx="11">
                  <c:v>24.057430313618489</c:v>
                </c:pt>
                <c:pt idx="12">
                  <c:v>20.006817358303906</c:v>
                </c:pt>
                <c:pt idx="13">
                  <c:v>16.75981804005318</c:v>
                </c:pt>
                <c:pt idx="14">
                  <c:v>13.900071065496887</c:v>
                </c:pt>
                <c:pt idx="15">
                  <c:v>11.745927558241339</c:v>
                </c:pt>
                <c:pt idx="16">
                  <c:v>10.247014423739248</c:v>
                </c:pt>
                <c:pt idx="17">
                  <c:v>8.4188276105225022</c:v>
                </c:pt>
                <c:pt idx="18">
                  <c:v>6.3949831009821221</c:v>
                </c:pt>
              </c:numCache>
            </c:numRef>
          </c:val>
          <c:extLst>
            <c:ext xmlns:c16="http://schemas.microsoft.com/office/drawing/2014/chart" uri="{C3380CC4-5D6E-409C-BE32-E72D297353CC}">
              <c16:uniqueId val="{00000000-9701-4890-A25F-68CA63104256}"/>
            </c:ext>
          </c:extLst>
        </c:ser>
        <c:ser>
          <c:idx val="1"/>
          <c:order val="1"/>
          <c:tx>
            <c:strRef>
              <c:f>'[Laboratorio 3.xlsx]Tablas de Vida'!$AA$85:$AA$87</c:f>
              <c:strCache>
                <c:ptCount val="3"/>
                <c:pt idx="0">
                  <c:v>Mujeres</c:v>
                </c:pt>
                <c:pt idx="1">
                  <c:v>2020</c:v>
                </c:pt>
                <c:pt idx="2">
                  <c:v>ex</c:v>
                </c:pt>
              </c:strCache>
            </c:strRef>
          </c:tx>
          <c:spPr>
            <a:solidFill>
              <a:srgbClr val="FF66FF"/>
            </a:solidFill>
            <a:ln>
              <a:noFill/>
            </a:ln>
            <a:effectLst/>
          </c:spPr>
          <c:invertIfNegative val="0"/>
          <c:val>
            <c:numRef>
              <c:f>'[Laboratorio 3.xlsx]Tablas de Vida'!$AA$88:$AA$106</c:f>
              <c:numCache>
                <c:formatCode>General</c:formatCode>
                <c:ptCount val="19"/>
                <c:pt idx="0">
                  <c:v>77.377396768841777</c:v>
                </c:pt>
                <c:pt idx="1">
                  <c:v>76.963353108500726</c:v>
                </c:pt>
                <c:pt idx="2">
                  <c:v>72.976147122914497</c:v>
                </c:pt>
                <c:pt idx="3">
                  <c:v>67.987743225204767</c:v>
                </c:pt>
                <c:pt idx="4">
                  <c:v>63.050745572207816</c:v>
                </c:pt>
                <c:pt idx="5">
                  <c:v>58.082256483257623</c:v>
                </c:pt>
                <c:pt idx="6">
                  <c:v>53.202610568764037</c:v>
                </c:pt>
                <c:pt idx="7">
                  <c:v>48.268871735952196</c:v>
                </c:pt>
                <c:pt idx="8">
                  <c:v>43.396239386808439</c:v>
                </c:pt>
                <c:pt idx="9">
                  <c:v>38.545762039028375</c:v>
                </c:pt>
                <c:pt idx="10">
                  <c:v>33.812955254628953</c:v>
                </c:pt>
                <c:pt idx="11">
                  <c:v>29.226809160546548</c:v>
                </c:pt>
                <c:pt idx="12">
                  <c:v>24.884779049544179</c:v>
                </c:pt>
                <c:pt idx="13">
                  <c:v>21.066348566684123</c:v>
                </c:pt>
                <c:pt idx="14">
                  <c:v>17.654750646041077</c:v>
                </c:pt>
                <c:pt idx="15">
                  <c:v>14.622915390288112</c:v>
                </c:pt>
                <c:pt idx="16">
                  <c:v>11.979174815842381</c:v>
                </c:pt>
                <c:pt idx="17">
                  <c:v>9.6123493332270638</c:v>
                </c:pt>
                <c:pt idx="18">
                  <c:v>7.3031237895160652</c:v>
                </c:pt>
              </c:numCache>
            </c:numRef>
          </c:val>
          <c:extLst>
            <c:ext xmlns:c16="http://schemas.microsoft.com/office/drawing/2014/chart" uri="{C3380CC4-5D6E-409C-BE32-E72D297353CC}">
              <c16:uniqueId val="{00000001-9701-4890-A25F-68CA63104256}"/>
            </c:ext>
          </c:extLst>
        </c:ser>
        <c:dLbls>
          <c:showLegendKey val="0"/>
          <c:showVal val="0"/>
          <c:showCatName val="0"/>
          <c:showSerName val="0"/>
          <c:showPercent val="0"/>
          <c:showBubbleSize val="0"/>
        </c:dLbls>
        <c:gapWidth val="219"/>
        <c:overlap val="-27"/>
        <c:axId val="706678784"/>
        <c:axId val="706680448"/>
      </c:barChart>
      <c:catAx>
        <c:axId val="70667878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706680448"/>
        <c:crosses val="autoZero"/>
        <c:auto val="1"/>
        <c:lblAlgn val="ctr"/>
        <c:lblOffset val="100"/>
        <c:noMultiLvlLbl val="0"/>
      </c:catAx>
      <c:valAx>
        <c:axId val="706680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7066787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2.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3.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1219</TotalTime>
  <Pages>17</Pages>
  <Words>2854</Words>
  <Characters>15698</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14</cp:revision>
  <cp:lastPrinted>2026-05-03T07:56:00Z</cp:lastPrinted>
  <dcterms:created xsi:type="dcterms:W3CDTF">2026-05-03T07:57:00Z</dcterms:created>
  <dcterms:modified xsi:type="dcterms:W3CDTF">2026-05-04T04:15:00Z</dcterms:modified>
</cp:coreProperties>
</file>