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pPr>
      <w:r>
        <w:rPr>
          <w:rFonts w:ascii="Arial" w:cs="Arial" w:eastAsia="Arial" w:hAnsi="Arial"/>
          <w:b/>
          <w:bCs/>
          <w:caps/>
          <w:color w:val="14213D"/>
          <w:sz w:val="38"/>
          <w:szCs w:val="38"/>
        </w:rPr>
        <w:t xml:space="preserve">ANNUAL AUTHORIZER PERFORMANCE REVIEW</w:t>
      </w:r>
    </w:p>
    <w:p>
      <w:pPr>
        <w:spacing w:after="40"/>
      </w:pPr>
      <w:r>
        <w:rPr>
          <w:rFonts w:ascii="Arial" w:cs="Arial" w:eastAsia="Arial" w:hAnsi="Arial"/>
          <w:b/>
          <w:bCs/>
          <w:color w:val="E2BC4B"/>
          <w:sz w:val="24"/>
          <w:szCs w:val="24"/>
        </w:rPr>
        <w:t xml:space="preserve">Riverside Preparatory Academy  ·  Academic Year 2025–2026</w:t>
      </w:r>
    </w:p>
    <w:p>
      <w:pPr>
        <w:spacing w:after="40"/>
      </w:pPr>
      <w:r>
        <w:rPr>
          <w:rFonts w:ascii="Arial" w:cs="Arial" w:eastAsia="Arial" w:hAnsi="Arial"/>
          <w:color w:val="6B7488"/>
          <w:sz w:val="19"/>
          <w:szCs w:val="19"/>
        </w:rPr>
        <w:t xml:space="preserve">Authorizer: Great Lakes Charter Authorizing Consortium (GLCAC)  ·  Issued: April 2026</w:t>
      </w:r>
    </w:p>
    <w:p>
      <w:pPr>
        <w:pBdr>
          <w:bottom w:val="single" w:color="E2BC4B" w:sz="8" w:space="1"/>
        </w:pBdr>
        <w:spacing w:after="280"/>
      </w:pPr>
    </w:p>
    <w:p>
      <w:pPr>
        <w:pStyle w:val="Heading1"/>
        <w:spacing w:after="100" w:before="300"/>
      </w:pPr>
      <w:r>
        <w:rPr>
          <w:rFonts w:ascii="Arial" w:cs="Arial" w:eastAsia="Arial" w:hAnsi="Arial"/>
          <w:b/>
          <w:bCs/>
          <w:color w:val="14213D"/>
          <w:sz w:val="26"/>
          <w:szCs w:val="26"/>
        </w:rPr>
        <w:t xml:space="preserve">1.  School Profile &amp; Enrollment</w:t>
      </w:r>
    </w:p>
    <w:p>
      <w:pPr>
        <w:spacing w:after="120"/>
      </w:pPr>
      <w:r>
        <w:rPr>
          <w:rFonts w:ascii="Arial" w:cs="Arial" w:eastAsia="Arial" w:hAnsi="Arial"/>
          <w:b w:val="false"/>
          <w:bCs w:val="false"/>
          <w:i w:val="false"/>
          <w:iCs w:val="false"/>
          <w:color w:val="222222"/>
          <w:sz w:val="22"/>
          <w:szCs w:val="22"/>
        </w:rPr>
        <w:t xml:space="preserve">Riverside Preparatory Academy is a K–8 public charter school currently in its seventh year of operation under authorization from GLCAC. The school is located in Ypsilanti, Michigan and serves a predominantly low-income student population with 78% of students qualifying for free and reduced-price lunch.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3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14213D"/>
                <w:sz w:val="20"/>
                <w:szCs w:val="20"/>
              </w:rPr>
              <w:t xml:space="preserve">Metric</w:t>
            </w:r>
          </w:p>
        </w:tc>
        <w:tc>
          <w:tcPr>
            <w:tcW w:type="dxa" w:w="23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14213D"/>
                <w:sz w:val="20"/>
                <w:szCs w:val="20"/>
              </w:rPr>
              <w:t xml:space="preserve">2024–2025</w:t>
            </w:r>
          </w:p>
        </w:tc>
        <w:tc>
          <w:tcPr>
            <w:tcW w:type="dxa" w:w="23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14213D"/>
                <w:sz w:val="20"/>
                <w:szCs w:val="20"/>
              </w:rPr>
              <w:t xml:space="preserve">2025–2026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Total Enrollment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387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342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Capacity Utilization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Avg Daily Attendance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91.2%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89.7%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Student-to-Teacher Ratio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18:1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17:1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Teacher Retention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68%</w:t>
            </w:r>
          </w:p>
        </w:tc>
      </w:tr>
    </w:tbl>
    <w:p>
      <w:pPr>
        <w:spacing w:after="160"/>
      </w:pPr>
    </w:p>
    <w:p>
      <w:pPr>
        <w:spacing w:after="120"/>
      </w:pPr>
      <w:r>
        <w:rPr>
          <w:rFonts w:ascii="Arial" w:cs="Arial" w:eastAsia="Arial" w:hAnsi="Arial"/>
          <w:b w:val="false"/>
          <w:bCs w:val="false"/>
          <w:i w:val="false"/>
          <w:iCs w:val="false"/>
          <w:color w:val="222222"/>
          <w:sz w:val="22"/>
          <w:szCs w:val="22"/>
        </w:rPr>
        <w:t xml:space="preserve">Enrollment has declined 11.6% over the past year, which the school attributes to increased competition from two newly opened charter schools in the same district and pandemic-era population shifts in the Ypsilanti area. The authorizer notes this trend as a significant concern and has flagged it for monitoring in the upcoming renewal cycle.</w:t>
      </w:r>
    </w:p>
    <w:p>
      <w:pPr>
        <w:spacing w:after="240"/>
      </w:pPr>
    </w:p>
    <w:p>
      <w:pPr>
        <w:pStyle w:val="Heading1"/>
        <w:spacing w:after="100" w:before="300"/>
      </w:pPr>
      <w:r>
        <w:rPr>
          <w:rFonts w:ascii="Arial" w:cs="Arial" w:eastAsia="Arial" w:hAnsi="Arial"/>
          <w:b/>
          <w:bCs/>
          <w:color w:val="14213D"/>
          <w:sz w:val="26"/>
          <w:szCs w:val="26"/>
        </w:rPr>
        <w:t xml:space="preserve">2.  Academic Performance Summary</w:t>
      </w:r>
    </w:p>
    <w:p>
      <w:pPr>
        <w:spacing w:after="120"/>
      </w:pPr>
      <w:r>
        <w:rPr>
          <w:rFonts w:ascii="Arial" w:cs="Arial" w:eastAsia="Arial" w:hAnsi="Arial"/>
          <w:b w:val="false"/>
          <w:bCs w:val="false"/>
          <w:i w:val="false"/>
          <w:iCs w:val="false"/>
          <w:color w:val="222222"/>
          <w:sz w:val="22"/>
          <w:szCs w:val="22"/>
        </w:rPr>
        <w:t xml:space="preserve">State assessment results for 2025–2026 reflect mixed progress. ELA proficiency rates improved for the third consecutive year, while math proficiency remains below the state average and below the school's own targets.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3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14213D"/>
                <w:sz w:val="20"/>
                <w:szCs w:val="20"/>
              </w:rPr>
              <w:t xml:space="preserve">Subject / Grade</w:t>
            </w:r>
          </w:p>
        </w:tc>
        <w:tc>
          <w:tcPr>
            <w:tcW w:type="dxa" w:w="23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14213D"/>
                <w:sz w:val="20"/>
                <w:szCs w:val="20"/>
              </w:rPr>
              <w:t xml:space="preserve">State Avg</w:t>
            </w:r>
          </w:p>
        </w:tc>
        <w:tc>
          <w:tcPr>
            <w:tcW w:type="dxa" w:w="23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14213D"/>
                <w:sz w:val="20"/>
                <w:szCs w:val="20"/>
              </w:rPr>
              <w:t xml:space="preserve">School Target</w:t>
            </w:r>
          </w:p>
        </w:tc>
        <w:tc>
          <w:tcPr>
            <w:tcW w:type="dxa" w:w="23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14213D"/>
                <w:sz w:val="20"/>
                <w:szCs w:val="20"/>
              </w:rPr>
              <w:t xml:space="preserve">2024–25 Actual</w:t>
            </w:r>
          </w:p>
        </w:tc>
        <w:tc>
          <w:tcPr>
            <w:tcW w:type="dxa" w:w="23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14213D"/>
                <w:sz w:val="20"/>
                <w:szCs w:val="20"/>
              </w:rPr>
              <w:t xml:space="preserve">2025–26 Actual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ELA — Grades 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ELA — Grades 6–8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Math — Grades 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Math — Grades 6–8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Science — Grade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35%</w:t>
            </w:r>
          </w:p>
        </w:tc>
      </w:tr>
    </w:tbl>
    <w:p>
      <w:pPr>
        <w:spacing w:after="160"/>
      </w:pPr>
    </w:p>
    <w:p>
      <w:pPr>
        <w:spacing w:after="200"/>
      </w:pPr>
      <w:r>
        <w:rPr>
          <w:rFonts w:ascii="Arial" w:cs="Arial" w:eastAsia="Arial" w:hAnsi="Arial"/>
          <w:b w:val="false"/>
          <w:bCs w:val="false"/>
          <w:i w:val="false"/>
          <w:iCs w:val="false"/>
          <w:color w:val="222222"/>
          <w:sz w:val="22"/>
          <w:szCs w:val="22"/>
        </w:rPr>
        <w:t xml:space="preserve">The school's ELA gains are commendable and reflect a sustained investment in literacy coaching and curriculum alignment. However, math proficiency remains 9 percentage points below the state average at the Grades 6–8 level, and the school has not demonstrated sufficient improvement to meet its own stated annual targets in this area.</w:t>
      </w:r>
    </w:p>
    <w:p>
      <w:pPr>
        <w:pStyle w:val="Heading1"/>
        <w:spacing w:after="100" w:before="300"/>
      </w:pPr>
      <w:r>
        <w:rPr>
          <w:rFonts w:ascii="Arial" w:cs="Arial" w:eastAsia="Arial" w:hAnsi="Arial"/>
          <w:b/>
          <w:bCs/>
          <w:color w:val="14213D"/>
          <w:sz w:val="26"/>
          <w:szCs w:val="26"/>
        </w:rPr>
        <w:t xml:space="preserve">3.  Financial Health &amp; Compliance</w:t>
      </w:r>
    </w:p>
    <w:p>
      <w:pPr>
        <w:spacing w:after="120"/>
      </w:pPr>
      <w:r>
        <w:rPr>
          <w:rFonts w:ascii="Arial" w:cs="Arial" w:eastAsia="Arial" w:hAnsi="Arial"/>
          <w:b w:val="false"/>
          <w:bCs w:val="false"/>
          <w:i w:val="false"/>
          <w:iCs w:val="false"/>
          <w:color w:val="222222"/>
          <w:sz w:val="22"/>
          <w:szCs w:val="22"/>
        </w:rPr>
        <w:t xml:space="preserve">GLCAC conducted a full financial review in January 2026. The school received a Satisfactory rating on fiscal management overall, with the following findings:</w:t>
      </w:r>
    </w:p>
    <w:p>
      <w:pPr>
        <w:spacing w:after="60"/>
      </w:pPr>
    </w:p>
    <w:p>
      <w:pPr>
        <w:pStyle w:val="ListParagraph"/>
        <w:numPr>
          <w:ilvl w:val="0"/>
          <w:numId w:val="2"/>
        </w:numPr>
        <w:spacing w:after="100"/>
      </w:pPr>
      <w:r>
        <w:rPr>
          <w:rFonts w:ascii="Arial" w:cs="Arial" w:eastAsia="Arial" w:hAnsi="Arial"/>
          <w:color w:val="222222"/>
          <w:sz w:val="22"/>
          <w:szCs w:val="22"/>
        </w:rPr>
        <w:t xml:space="preserve">General fund reserves stand at 6.2% of annual operating budget, meeting the minimum 5% threshold established in the charter agreement.</w:t>
      </w:r>
    </w:p>
    <w:p>
      <w:pPr>
        <w:pStyle w:val="ListParagraph"/>
        <w:numPr>
          <w:ilvl w:val="0"/>
          <w:numId w:val="2"/>
        </w:numPr>
        <w:spacing w:after="100"/>
      </w:pPr>
      <w:r>
        <w:rPr>
          <w:rFonts w:ascii="Arial" w:cs="Arial" w:eastAsia="Arial" w:hAnsi="Arial"/>
          <w:color w:val="222222"/>
          <w:sz w:val="22"/>
          <w:szCs w:val="22"/>
        </w:rPr>
        <w:t xml:space="preserve">The school carried a deficit of $47,200 in FY2025 due to unanticipated special education costs. A corrective action plan was submitted in March 2026 and has been reviewed.</w:t>
      </w:r>
    </w:p>
    <w:p>
      <w:pPr>
        <w:pStyle w:val="ListParagraph"/>
        <w:numPr>
          <w:ilvl w:val="0"/>
          <w:numId w:val="2"/>
        </w:numPr>
        <w:spacing w:after="100"/>
      </w:pPr>
      <w:r>
        <w:rPr>
          <w:rFonts w:ascii="Arial" w:cs="Arial" w:eastAsia="Arial" w:hAnsi="Arial"/>
          <w:color w:val="222222"/>
          <w:sz w:val="22"/>
          <w:szCs w:val="22"/>
        </w:rPr>
        <w:t xml:space="preserve">Procurement practices were found to be largely compliant. One finding: three vendor contracts above the $10,000 threshold were executed without documented competitive bids. School leadership acknowledged the finding and submitted a revised procurement policy.</w:t>
      </w:r>
    </w:p>
    <w:p>
      <w:pPr>
        <w:pStyle w:val="ListParagraph"/>
        <w:numPr>
          <w:ilvl w:val="0"/>
          <w:numId w:val="2"/>
        </w:numPr>
        <w:spacing w:after="100"/>
      </w:pPr>
      <w:r>
        <w:rPr>
          <w:rFonts w:ascii="Arial" w:cs="Arial" w:eastAsia="Arial" w:hAnsi="Arial"/>
          <w:color w:val="222222"/>
          <w:sz w:val="22"/>
          <w:szCs w:val="22"/>
        </w:rPr>
        <w:t xml:space="preserve">Federal Title I expenditure documentation was complete and compliant.</w:t>
      </w:r>
    </w:p>
    <w:p>
      <w:pPr>
        <w:spacing w:after="160"/>
      </w:pPr>
    </w:p>
    <w:p>
      <w:pPr>
        <w:spacing w:after="200"/>
      </w:pPr>
      <w:r>
        <w:rPr>
          <w:rFonts w:ascii="Arial" w:cs="Arial" w:eastAsia="Arial" w:hAnsi="Arial"/>
          <w:b w:val="false"/>
          <w:bCs w:val="false"/>
          <w:i w:val="false"/>
          <w:iCs w:val="false"/>
          <w:color w:val="222222"/>
          <w:sz w:val="22"/>
          <w:szCs w:val="22"/>
        </w:rPr>
        <w:t xml:space="preserve">The authorizer has flagged the deficit and procurement finding for follow-up at the mid-year check-in scheduled for October 2026. No immediate action is required, but the school must demonstrate corrective progress by that date.</w:t>
      </w:r>
    </w:p>
    <w:p>
      <w:pPr>
        <w:pStyle w:val="Heading1"/>
        <w:spacing w:after="100" w:before="300"/>
      </w:pPr>
      <w:r>
        <w:rPr>
          <w:rFonts w:ascii="Arial" w:cs="Arial" w:eastAsia="Arial" w:hAnsi="Arial"/>
          <w:b/>
          <w:bCs/>
          <w:color w:val="14213D"/>
          <w:sz w:val="26"/>
          <w:szCs w:val="26"/>
        </w:rPr>
        <w:t xml:space="preserve">4.  Board Governance &amp; Leadership</w:t>
      </w:r>
    </w:p>
    <w:p>
      <w:pPr>
        <w:spacing w:after="120"/>
      </w:pPr>
      <w:r>
        <w:rPr>
          <w:rFonts w:ascii="Arial" w:cs="Arial" w:eastAsia="Arial" w:hAnsi="Arial"/>
          <w:b w:val="false"/>
          <w:bCs w:val="false"/>
          <w:i w:val="false"/>
          <w:iCs w:val="false"/>
          <w:color w:val="222222"/>
          <w:sz w:val="22"/>
          <w:szCs w:val="22"/>
        </w:rPr>
        <w:t xml:space="preserve">The school's governing board currently has seven members. Two board seats have been vacant since November 2025 following the resignations of the board treasurer and one at-large member. The school has submitted a board recruitment plan but has not yet filled the vacancies as of the date of this report.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23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14213D"/>
                <w:sz w:val="20"/>
                <w:szCs w:val="20"/>
              </w:rPr>
              <w:t xml:space="preserve">Governance Indicator</w:t>
            </w:r>
          </w:p>
        </w:tc>
        <w:tc>
          <w:tcPr>
            <w:tcW w:type="dxa" w:w="234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14213D"/>
                <w:sz w:val="20"/>
                <w:szCs w:val="20"/>
              </w:rPr>
              <w:t xml:space="preserve">GLCAC Rating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Board Meeting Attendance (avg)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71% — Needs Improvement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Annual Board Self-Evaluation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Completed — Satisfactory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Conflict of Interest Disclosures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Compliant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Board Vacancy 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 seats vacant — Action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Principal Evaluation Completed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Yes — March 2026</w:t>
            </w:r>
          </w:p>
        </w:tc>
      </w:tr>
    </w:tbl>
    <w:p>
      <w:pPr>
        <w:spacing w:after="160"/>
      </w:pPr>
    </w:p>
    <w:p>
      <w:pPr>
        <w:spacing w:after="200"/>
      </w:pPr>
      <w:r>
        <w:rPr>
          <w:rFonts w:ascii="Arial" w:cs="Arial" w:eastAsia="Arial" w:hAnsi="Arial"/>
          <w:b w:val="false"/>
          <w:bCs w:val="false"/>
          <w:i w:val="false"/>
          <w:iCs w:val="false"/>
          <w:color w:val="222222"/>
          <w:sz w:val="22"/>
          <w:szCs w:val="22"/>
        </w:rPr>
        <w:t xml:space="preserve">The authorizer requires that all board vacancies be filled no later than September 1, 2026 as a condition of the upcoming renewal discussion. Failure to meet this deadline will result in a formal Notice of Concern.</w:t>
      </w:r>
    </w:p>
    <w:p>
      <w:pPr>
        <w:pStyle w:val="Heading1"/>
        <w:spacing w:after="100" w:before="300"/>
      </w:pPr>
      <w:r>
        <w:rPr>
          <w:rFonts w:ascii="Arial" w:cs="Arial" w:eastAsia="Arial" w:hAnsi="Arial"/>
          <w:b/>
          <w:bCs/>
          <w:color w:val="14213D"/>
          <w:sz w:val="26"/>
          <w:szCs w:val="26"/>
        </w:rPr>
        <w:t xml:space="preserve">5.  Renewal Outlook &amp; Required Actions</w:t>
      </w:r>
    </w:p>
    <w:p>
      <w:pPr>
        <w:spacing w:after="120"/>
      </w:pPr>
      <w:r>
        <w:rPr>
          <w:rFonts w:ascii="Arial" w:cs="Arial" w:eastAsia="Arial" w:hAnsi="Arial"/>
          <w:b w:val="false"/>
          <w:bCs w:val="false"/>
          <w:i w:val="false"/>
          <w:iCs w:val="false"/>
          <w:color w:val="222222"/>
          <w:sz w:val="22"/>
          <w:szCs w:val="22"/>
        </w:rPr>
        <w:t xml:space="preserve">Riverside Preparatory Academy's charter term expires June 30, 2027. The renewal review process will formally begin in September 2026. Based on the current performance record, GLCAC's preliminary assessment is as follows:</w:t>
      </w:r>
    </w:p>
    <w:p>
      <w:pPr>
        <w:spacing w:after="80"/>
      </w:pPr>
    </w:p>
    <w:p>
      <w:pPr>
        <w:pStyle w:val="ListParagraph"/>
        <w:numPr>
          <w:ilvl w:val="0"/>
          <w:numId w:val="2"/>
        </w:numPr>
        <w:spacing w:after="100"/>
      </w:pPr>
      <w:r>
        <w:rPr>
          <w:rFonts w:ascii="Arial" w:cs="Arial" w:eastAsia="Arial" w:hAnsi="Arial"/>
          <w:color w:val="222222"/>
          <w:sz w:val="22"/>
          <w:szCs w:val="22"/>
        </w:rPr>
        <w:t xml:space="preserve">Academic performance: Conditionally favorable. ELA trajectory is positive; math improvement must be demonstrated.</w:t>
      </w:r>
    </w:p>
    <w:p>
      <w:pPr>
        <w:pStyle w:val="ListParagraph"/>
        <w:numPr>
          <w:ilvl w:val="0"/>
          <w:numId w:val="2"/>
        </w:numPr>
        <w:spacing w:after="100"/>
      </w:pPr>
      <w:r>
        <w:rPr>
          <w:rFonts w:ascii="Arial" w:cs="Arial" w:eastAsia="Arial" w:hAnsi="Arial"/>
          <w:color w:val="222222"/>
          <w:sz w:val="22"/>
          <w:szCs w:val="22"/>
        </w:rPr>
        <w:t xml:space="preserve">Financial health: Conditionally favorable pending resolution of FY2025 deficit and procurement findings.</w:t>
      </w:r>
    </w:p>
    <w:p>
      <w:pPr>
        <w:pStyle w:val="ListParagraph"/>
        <w:numPr>
          <w:ilvl w:val="0"/>
          <w:numId w:val="2"/>
        </w:numPr>
        <w:spacing w:after="100"/>
      </w:pPr>
      <w:r>
        <w:rPr>
          <w:rFonts w:ascii="Arial" w:cs="Arial" w:eastAsia="Arial" w:hAnsi="Arial"/>
          <w:color w:val="222222"/>
          <w:sz w:val="22"/>
          <w:szCs w:val="22"/>
        </w:rPr>
        <w:t xml:space="preserve">Governance: At risk. Board vacancies and meeting attendance rates must improve prior to renewal.</w:t>
      </w:r>
    </w:p>
    <w:p>
      <w:pPr>
        <w:pStyle w:val="ListParagraph"/>
        <w:numPr>
          <w:ilvl w:val="0"/>
          <w:numId w:val="2"/>
        </w:numPr>
        <w:spacing w:after="100"/>
      </w:pPr>
      <w:r>
        <w:rPr>
          <w:rFonts w:ascii="Arial" w:cs="Arial" w:eastAsia="Arial" w:hAnsi="Arial"/>
          <w:color w:val="222222"/>
          <w:sz w:val="22"/>
          <w:szCs w:val="22"/>
        </w:rPr>
        <w:t xml:space="preserve">Enrollment: Under watch. Continued decline will be evaluated as part of the school's viability assessment.</w:t>
      </w:r>
    </w:p>
    <w:p>
      <w:pPr>
        <w:spacing w:after="160"/>
      </w:pPr>
    </w:p>
    <w:p>
      <w:pPr>
        <w:spacing w:after="120"/>
      </w:pPr>
      <w:r>
        <w:rPr>
          <w:rFonts w:ascii="Arial" w:cs="Arial" w:eastAsia="Arial" w:hAnsi="Arial"/>
          <w:b w:val="false"/>
          <w:bCs w:val="false"/>
          <w:i w:val="false"/>
          <w:iCs w:val="false"/>
          <w:color w:val="222222"/>
          <w:sz w:val="22"/>
          <w:szCs w:val="22"/>
        </w:rPr>
        <w:t xml:space="preserve">The school must submit a Renewal Readiness Report by November 15, 2026. This report must include a multi-year academic improvement plan, a board succession plan, and a financial stabilization strategy.</w:t>
      </w:r>
    </w:p>
    <w:p>
      <w:pPr>
        <w:spacing w:after="160"/>
      </w:pPr>
    </w:p>
    <w:p>
      <w:pPr>
        <w:spacing w:after="120"/>
      </w:pPr>
      <w:r>
        <w:rPr>
          <w:rFonts w:ascii="Arial" w:cs="Arial" w:eastAsia="Arial" w:hAnsi="Arial"/>
          <w:b w:val="false"/>
          <w:bCs w:val="false"/>
          <w:i/>
          <w:iCs/>
          <w:color w:val="6B7488"/>
          <w:sz w:val="22"/>
          <w:szCs w:val="22"/>
        </w:rPr>
        <w:t xml:space="preserve">Questions regarding this review should be directed to the GLCAC Authorizer Relations team at authorizer@glcac-mi.org.</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spacing w:before="80"/>
      <w:jc w:val="center"/>
    </w:pPr>
    <w:r>
      <w:rPr>
        <w:rFonts w:ascii="Arial" w:cs="Arial" w:eastAsia="Arial" w:hAnsi="Arial"/>
        <w:color w:val="6B7488"/>
        <w:sz w:val="18"/>
        <w:szCs w:val="18"/>
      </w:rPr>
      <w:t xml:space="preserve">EMAN — Education Management &amp; Networks    |    Page </w:t>
    </w:r>
    <w:r>
      <w:rPr>
        <w:rFonts w:ascii="Arial" w:cs="Arial" w:eastAsia="Arial" w:hAnsi="Arial"/>
        <w:color w:val="6B74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BC4B" w:sz="4" w:space="2"/>
      </w:pBdr>
      <w:spacing w:after="0"/>
      <w:jc w:val="right"/>
    </w:pPr>
    <w:r>
      <w:rPr>
        <w:rFonts w:ascii="Arial" w:cs="Arial" w:eastAsia="Arial" w:hAnsi="Arial"/>
        <w:b/>
        <w:bCs/>
        <w:color w:val="14213D"/>
        <w:sz w:val="18"/>
        <w:szCs w:val="18"/>
      </w:rPr>
      <w:t xml:space="preserve">EMAN  </w:t>
    </w:r>
    <w:r>
      <w:rPr>
        <w:rFonts w:ascii="Arial" w:cs="Arial" w:eastAsia="Arial" w:hAnsi="Arial"/>
        <w:color w:val="6B7488"/>
        <w:sz w:val="18"/>
        <w:szCs w:val="18"/>
      </w:rPr>
      <w:t xml:space="preserve">|  Annual Authorizer Performance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2026-06-03T15:28:25.984Z</dcterms:created>
  <dcterms:modified xsi:type="dcterms:W3CDTF">2026-06-03T15:28:25.985Z</dcterms:modified>
</cp:coreProperties>
</file>

<file path=docProps/custom.xml><?xml version="1.0" encoding="utf-8"?>
<Properties xmlns="http://schemas.openxmlformats.org/officeDocument/2006/custom-properties" xmlns:vt="http://schemas.openxmlformats.org/officeDocument/2006/docPropsVTypes"/>
</file>