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04B7D"/>
          <w:sz w:val="32"/>
        </w:rPr>
        <w:t>RESUMEN EJECUTIVO · 2026-10-10</w:t>
      </w:r>
    </w:p>
    <w:p>
      <w:r>
        <w:rPr>
          <w:b/>
        </w:rPr>
        <w:t>La mejor política evaluada alcanza al menos un 95 % de servicio medio por segmento en el escenario central; mantener revisión mensual y seguimiento de compromisos.</w:t>
      </w:r>
    </w:p>
    <w:p>
      <w:r>
        <w:rPr>
          <w:b w:val="0"/>
        </w:rPr>
        <w:t>Modelo: mercado con confianza y constante. Ventas: mediana; contribución y servicio: medias. P10–P90 describe variación dentro de cada escenario, no su probabilidad.</w:t>
      </w:r>
    </w:p>
    <w:p>
      <w:pPr>
        <w:pStyle w:val="Heading2"/>
      </w:pPr>
      <w:r>
        <w:t>Escenarios A013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b/>
                <w:color w:val="004B7D"/>
                <w:sz w:val="17"/>
              </w:rPr>
              <w:t>Escenario</w:t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b/>
                <w:color w:val="004B7D"/>
                <w:sz w:val="17"/>
              </w:rPr>
              <w:t>Ventas (coches)</w:t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b/>
                <w:color w:val="004B7D"/>
                <w:sz w:val="17"/>
              </w:rPr>
              <w:t>Resultado medio (M€)</w:t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b/>
                <w:color w:val="004B7D"/>
                <w:sz w:val="17"/>
              </w:rPr>
              <w:t>P10–P90 (M€)</w:t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b/>
                <w:color w:val="004B7D"/>
                <w:sz w:val="17"/>
              </w:rPr>
              <w:t>Servicio medio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Pesimista</w:t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12.132</w:t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3,1</w:t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1,9–4,4</w:t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77,8 %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Central</w:t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18.506</w:t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62,9</w:t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56,4–69,5</w:t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97,6 %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Optimista</w:t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24.908</w:t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91,4</w:t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84,5–98,4</w:t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87,9 %</w:t>
            </w:r>
          </w:p>
        </w:tc>
      </w:tr>
    </w:tbl>
    <w:p>
      <w:pPr>
        <w:pStyle w:val="Heading2"/>
      </w:pPr>
      <w:r>
        <w:t>Stock y economía del plan revisado · medias A013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b/>
                <w:color w:val="004B7D"/>
                <w:sz w:val="17"/>
              </w:rPr>
              <w:t>Indicador</w:t>
            </w:r>
          </w:p>
        </w:tc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b/>
                <w:color w:val="004B7D"/>
                <w:sz w:val="17"/>
              </w:rPr>
              <w:t>Pesimista</w:t>
            </w:r>
          </w:p>
        </w:tc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b/>
                <w:color w:val="004B7D"/>
                <w:sz w:val="17"/>
              </w:rPr>
              <w:t>Central</w:t>
            </w:r>
          </w:p>
        </w:tc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b/>
                <w:color w:val="004B7D"/>
                <w:sz w:val="17"/>
              </w:rPr>
              <w:t>Optimista</w:t>
            </w:r>
          </w:p>
        </w:tc>
      </w:tr>
      <w:tr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Pedidos decididos A013 (coches)</w:t>
            </w:r>
          </w:p>
        </w:tc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6.371</w:t>
            </w:r>
          </w:p>
        </w:tc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15.756</w:t>
            </w:r>
          </w:p>
        </w:tc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23.268</w:t>
            </w:r>
          </w:p>
        </w:tc>
      </w:tr>
      <w:tr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Stock medio (coches)</w:t>
            </w:r>
          </w:p>
        </w:tc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3.489</w:t>
            </w:r>
          </w:p>
        </w:tc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4.075</w:t>
            </w:r>
          </w:p>
        </w:tc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3.358</w:t>
            </w:r>
          </w:p>
        </w:tc>
      </w:tr>
      <w:tr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Cobertura media (meses)</w:t>
            </w:r>
          </w:p>
        </w:tc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2,7</w:t>
            </w:r>
          </w:p>
        </w:tc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2,6</w:t>
            </w:r>
          </w:p>
        </w:tc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1,4</w:t>
            </w:r>
          </w:p>
        </w:tc>
      </w:tr>
      <w:tr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Más de 90 días al cierre (coches)</w:t>
            </w:r>
          </w:p>
        </w:tc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601</w:t>
            </w:r>
          </w:p>
        </w:tc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547</w:t>
            </w:r>
          </w:p>
        </w:tc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404</w:t>
            </w:r>
          </w:p>
        </w:tc>
      </w:tr>
      <w:tr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Coste de stock (M€)</w:t>
            </w:r>
          </w:p>
        </w:tc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2,20</w:t>
            </w:r>
          </w:p>
        </w:tc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2,73</w:t>
            </w:r>
          </w:p>
        </w:tc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2,38</w:t>
            </w:r>
          </w:p>
        </w:tc>
      </w:tr>
      <w:tr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Ventas perdidas (coches)</w:t>
            </w:r>
          </w:p>
        </w:tc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3.501</w:t>
            </w:r>
          </w:p>
        </w:tc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478</w:t>
            </w:r>
          </w:p>
        </w:tc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3.493</w:t>
            </w:r>
          </w:p>
        </w:tc>
      </w:tr>
      <w:tr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VM (M€)</w:t>
            </w:r>
          </w:p>
        </w:tc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27,63</w:t>
            </w:r>
          </w:p>
        </w:tc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40,50</w:t>
            </w:r>
          </w:p>
        </w:tc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53,36</w:t>
            </w:r>
          </w:p>
        </w:tc>
      </w:tr>
      <w:tr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CVP antes de logística y primas (M€)</w:t>
            </w:r>
          </w:p>
        </w:tc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46,49</w:t>
            </w:r>
          </w:p>
        </w:tc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65,62</w:t>
            </w:r>
          </w:p>
        </w:tc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88,23</w:t>
            </w:r>
          </w:p>
        </w:tc>
      </w:tr>
      <w:tr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Prima CO₂ (M€)</w:t>
            </w:r>
          </w:p>
        </w:tc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36,56</w:t>
            </w:r>
          </w:p>
        </w:tc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0,00</w:t>
            </w:r>
          </w:p>
        </w:tc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0,00</w:t>
            </w:r>
          </w:p>
        </w:tc>
      </w:tr>
      <w:tr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Arancel adicional (M€)</w:t>
            </w:r>
          </w:p>
        </w:tc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4,64</w:t>
            </w:r>
          </w:p>
        </w:tc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0,00</w:t>
            </w:r>
          </w:p>
        </w:tc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0,00</w:t>
            </w:r>
          </w:p>
        </w:tc>
      </w:tr>
      <w:tr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Cambio: coste / ahorro (M€)</w:t>
            </w:r>
          </w:p>
        </w:tc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0,00</w:t>
            </w:r>
          </w:p>
        </w:tc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0,00</w:t>
            </w:r>
          </w:p>
        </w:tc>
        <w:tc>
          <w:tcPr>
            <w:tcW w:type="dxa" w:w="2409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-5,52</w:t>
            </w:r>
          </w:p>
        </w:tc>
      </w:tr>
    </w:tbl>
    <w:p>
      <w:pPr>
        <w:pStyle w:val="Heading2"/>
      </w:pPr>
      <w:r>
        <w:t>Indicadores por segmento · escenario central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b/>
                <w:color w:val="004B7D"/>
                <w:sz w:val="17"/>
              </w:rPr>
              <w:t>Segmento</w:t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b/>
                <w:color w:val="004B7D"/>
                <w:sz w:val="17"/>
              </w:rPr>
              <w:t>Ventas (coches)</w:t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b/>
                <w:color w:val="004B7D"/>
                <w:sz w:val="17"/>
              </w:rPr>
              <w:t>Demanda (coches)</w:t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b/>
                <w:color w:val="004B7D"/>
                <w:sz w:val="17"/>
              </w:rPr>
              <w:t>Cobertura (meses)</w:t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b/>
                <w:color w:val="004B7D"/>
                <w:sz w:val="17"/>
              </w:rPr>
              <w:t>Servicio medio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B</w:t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1.211</w:t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1.253</w:t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1,7</w:t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96,5 %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C</w:t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2.250</w:t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2.259</w:t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5,2</w:t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99,6 %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MD</w:t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432</w:t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433</w:t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2,3</w:t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99,7 %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SSUV</w:t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5.361</w:t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5.604</w:t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1,5</w:t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95,4 %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CSUV</w:t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3.283</w:t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3.326</w:t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3,3</w:t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98,3 %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MSUV</w:t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5.541</w:t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5.573</w:t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1,9</w:t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99,2 %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S</w:t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346</w:t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359</w:t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11,3</w:t>
            </w:r>
          </w:p>
        </w:tc>
        <w:tc>
          <w:tcPr>
            <w:tcW w:type="dxa" w:w="1928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96,0 %</w:t>
            </w:r>
          </w:p>
        </w:tc>
      </w:tr>
    </w:tbl>
    <w:p>
      <w:r>
        <w:rPr>
          <w:b w:val="0"/>
        </w:rPr>
        <w:t>Plan inicial: 16.144 coches asignados a pedidos decididos en A013; 18.114 llegadas previstas en A013. Son flujos distintos.</w:t>
      </w:r>
    </w:p>
    <w:p>
      <w:r>
        <w:rPr>
          <w:b w:val="0"/>
        </w:rPr>
        <w:t>La prima de CO₂ reduce la contribución central en 55,01 M€ si se mantienen exactamente las mismas ventas y flujos.</w:t>
      </w:r>
    </w:p>
    <w:p>
      <w:r>
        <w:br w:type="page"/>
      </w:r>
    </w:p>
    <w:p>
      <w:pPr>
        <w:pStyle w:val="Heading1"/>
      </w:pPr>
      <w:r>
        <w:t>Plan de fabricación A013</w:t>
      </w:r>
    </w:p>
    <w:p>
      <w:r>
        <w:rPr>
          <w:b w:val="0"/>
        </w:rPr>
        <w:t>Plan inicial: pedidos de fabricación asignados a A013 por mes de decisión; no son las llegadas ni los pedidos revisados de tabla 5.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41"/>
        <w:gridCol w:w="741"/>
        <w:gridCol w:w="741"/>
        <w:gridCol w:w="741"/>
        <w:gridCol w:w="741"/>
        <w:gridCol w:w="741"/>
        <w:gridCol w:w="741"/>
        <w:gridCol w:w="741"/>
        <w:gridCol w:w="741"/>
        <w:gridCol w:w="741"/>
        <w:gridCol w:w="741"/>
        <w:gridCol w:w="741"/>
        <w:gridCol w:w="741"/>
      </w:tblGrid>
      <w:tr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b/>
                <w:color w:val="004B7D"/>
                <w:sz w:val="17"/>
              </w:rPr>
              <w:t>Seg.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b/>
                <w:color w:val="004B7D"/>
                <w:sz w:val="17"/>
              </w:rPr>
              <w:t>1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b/>
                <w:color w:val="004B7D"/>
                <w:sz w:val="17"/>
              </w:rPr>
              <w:t>2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b/>
                <w:color w:val="004B7D"/>
                <w:sz w:val="17"/>
              </w:rPr>
              <w:t>3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b/>
                <w:color w:val="004B7D"/>
                <w:sz w:val="17"/>
              </w:rPr>
              <w:t>4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b/>
                <w:color w:val="004B7D"/>
                <w:sz w:val="17"/>
              </w:rPr>
              <w:t>5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b/>
                <w:color w:val="004B7D"/>
                <w:sz w:val="17"/>
              </w:rPr>
              <w:t>6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b/>
                <w:color w:val="004B7D"/>
                <w:sz w:val="17"/>
              </w:rPr>
              <w:t>7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b/>
                <w:color w:val="004B7D"/>
                <w:sz w:val="17"/>
              </w:rPr>
              <w:t>8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b/>
                <w:color w:val="004B7D"/>
                <w:sz w:val="17"/>
              </w:rPr>
              <w:t>9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b/>
                <w:color w:val="004B7D"/>
                <w:sz w:val="17"/>
              </w:rPr>
              <w:t>10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b/>
                <w:color w:val="004B7D"/>
                <w:sz w:val="17"/>
              </w:rPr>
              <w:t>11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b/>
                <w:color w:val="004B7D"/>
                <w:sz w:val="17"/>
              </w:rPr>
              <w:t>12</w:t>
            </w:r>
          </w:p>
        </w:tc>
      </w:tr>
      <w:tr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B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153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132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168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121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66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45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67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78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100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64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103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136</w:t>
            </w:r>
          </w:p>
        </w:tc>
      </w:tr>
      <w:tr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C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0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0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0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0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0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0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0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172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220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163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201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232</w:t>
            </w:r>
          </w:p>
        </w:tc>
      </w:tr>
      <w:tr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MD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0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15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59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36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17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29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42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33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33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31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40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45</w:t>
            </w:r>
          </w:p>
        </w:tc>
      </w:tr>
      <w:tr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SSUV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659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494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750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530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253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245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325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412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496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219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335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426</w:t>
            </w:r>
          </w:p>
        </w:tc>
      </w:tr>
      <w:tr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CSUV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0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218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347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310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149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112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191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253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272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122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185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257</w:t>
            </w:r>
          </w:p>
        </w:tc>
      </w:tr>
      <w:tr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MSUV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353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622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693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593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293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336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452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516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633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314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309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468</w:t>
            </w:r>
          </w:p>
        </w:tc>
      </w:tr>
      <w:tr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S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80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72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74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30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0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0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0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0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0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56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83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6</w:t>
            </w:r>
          </w:p>
        </w:tc>
      </w:tr>
      <w:tr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Total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1.245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1.553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2.091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1.620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778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767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1.077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1.464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1.754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969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1.256</w:t>
            </w:r>
          </w:p>
        </w:tc>
        <w:tc>
          <w:tcPr>
            <w:tcW w:type="dxa" w:w="741"/>
            <w:vAlign w:val="center"/>
          </w:tcPr>
          <w:p>
            <w:pPr>
              <w:spacing w:after="20" w:before="20"/>
            </w:pPr>
            <w:r>
              <w:rPr>
                <w:rFonts w:ascii="Arial" w:hAnsi="Arial"/>
                <w:sz w:val="17"/>
              </w:rPr>
              <w:t>1.570</w:t>
            </w:r>
          </w:p>
        </w:tc>
      </w:tr>
    </w:tbl>
    <w:p>
      <w:r>
        <w:rPr>
          <w:b w:val="0"/>
        </w:rPr>
        <w:t>La llegada ocurre en t+3: cada celda indica el mes del pedido, no el de llegada. Los pedidos de cierre A013 llegan en la prolongación de A014, fuera del horizonte anual A013.</w:t>
      </w:r>
    </w:p>
    <w:p>
      <w:pPr>
        <w:pStyle w:val="Heading2"/>
      </w:pPr>
      <w:r>
        <w:t>Riesgos, límites y acción</w:t>
      </w:r>
    </w:p>
    <w:p>
      <w:pPr>
        <w:pStyle w:val="ListBullet"/>
      </w:pPr>
      <w:r>
        <w:t>A012 es evaluación retrospectiva; ya influyó en el desarrollo inicial.</w:t>
      </w:r>
    </w:p>
    <w:p>
      <w:pPr>
        <w:pStyle w:val="ListBullet"/>
      </w:pPr>
      <w:r>
        <w:t>CSUV tiene poca historia: cuota, lanzamiento e incertidumbre requieren sensibilidad.</w:t>
      </w:r>
    </w:p>
    <w:p>
      <w:pPr>
        <w:pStyle w:val="ListBullet"/>
      </w:pPr>
      <w:r>
        <w:t>Pipeline, fechas de producto, combustible, arancel y divisa incluyen supuestos explícitos.</w:t>
      </w:r>
    </w:p>
    <w:p>
      <w:pPr>
        <w:pStyle w:val="ListBullet"/>
      </w:pPr>
      <w:r>
        <w:t>Optimista: 235 coches de adelanto no caben en la caída supuesta; no se trasladan a otro mes.</w:t>
      </w:r>
    </w:p>
    <w:p>
      <w:r>
        <w:rPr>
          <w:b w:val="0"/>
        </w:rPr>
        <w:t>Caso base: cero automatriculaciones y cero transfers, también cero coste de transfer. El servicio se exige en media central; no se garantiza en cada réplica ni en los extremos. La continuidad hasta junio A014 es una sensibilidad, sin valoración ficticia del stock.</w:t>
      </w:r>
    </w:p>
    <w:p>
      <w:r>
        <w:rPr>
          <w:b w:val="0"/>
        </w:rPr>
        <w:t>Crecimiento observado: 6,0 %; gama comparable: -0,1 %; ajuste parcial de episodios: 2,5 %. MAE mensual relativo A012, total sin CSUV: 14,8 %. CO₂ aislado: -55,01 M€ sobre los mismos flujos centrales.</w:t>
      </w:r>
    </w:p>
    <w:p>
      <w:r>
        <w:rPr>
          <w:b w:val="0"/>
        </w:rPr>
        <w:t>La tabla 5 completa se conserva en el CSV de resultados del notebook.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Arial" w:hAnsi="Arial"/>
      <w:color w:val="2D374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4B7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4B7D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4B7D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