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32"/>
        </w:rPr>
      </w:r>
      <w:r>
        <w:rPr>
          <w:b/>
          <w:color w:val="0072B2"/>
          <w:sz w:val="32"/>
        </w:rPr>
        <w:t>Kaido Motors España: plan de producción de A013</w:t>
      </w:r>
    </w:p>
    <w:p>
      <w:pPr>
        <w:spacing w:after="40"/>
      </w:pPr>
      <w:r>
        <w:rPr>
          <w:color w:val="555555"/>
          <w:sz w:val="18"/>
        </w:rPr>
        <w:t>Resumen ejecutivo para el comité · Simulación de Sistemas Logísticos, Universidad Alfonso X el Sabio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1. Recomendación</w:t>
      </w:r>
    </w:p>
    <w:p>
      <w:r>
        <w:t>Recibir 17.367 coches en A013 según el plan de la tabla 1 y revisarlo cada mes, corrigiendo solo la llegada de dentro de tres meses. En el escenario central se venden 17.910 (16.647–19.298) coches y el resultado es de 63,5 (58,1–69,4) M€, con 1,8 (1,5–2,1) meses de stock medio. Concentrar las llegadas en MSUV, SSUV y CSUV y en S; no pedir C hasta septiembre ni CSUV hasta junio, y no mantener stock de seguridad en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bottom w:val="single" w:sz="4" w:color="BBBBBB"/>
          <w:insideH w:val="single" w:sz="4" w:color="BBBBBB"/>
        </w:tblBorders>
        <w:tblLayout w:type="fixed"/>
      </w:tblPr>
      <w:tblGrid>
        <w:gridCol w:w="794"/>
        <w:gridCol w:w="1077"/>
        <w:gridCol w:w="1077"/>
        <w:gridCol w:w="1077"/>
        <w:gridCol w:w="1077"/>
        <w:gridCol w:w="1077"/>
        <w:gridCol w:w="1077"/>
        <w:gridCol w:w="1077"/>
        <w:gridCol w:w="1134"/>
      </w:tblGrid>
      <w:tr>
        <w:tc>
          <w:tcPr>
            <w:tcW w:type="dxa" w:w="794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C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MD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SSUV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CSUV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MSUV</w:t>
            </w:r>
          </w:p>
        </w:tc>
        <w:tc>
          <w:tcPr>
            <w:tcW w:type="dxa" w:w="1077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</w:t>
            </w:r>
          </w:p>
        </w:tc>
        <w:tc>
          <w:tcPr>
            <w:tcW w:type="dxa" w:w="1134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454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390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489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576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2.110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454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390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489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576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2.110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885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384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116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1.385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116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579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542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1.277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563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1.007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875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774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1.951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179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1.140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154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436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229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632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1.571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184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335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219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660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1.561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310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175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1.176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222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472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212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788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1.925</w:t>
            </w:r>
          </w:p>
        </w:tc>
      </w:tr>
      <w:tr>
        <w:tc>
          <w:tcPr>
            <w:tcW w:type="dxa" w:w="79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Año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1.160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1.594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378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5.299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2.043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6.410</w:t>
            </w:r>
          </w:p>
        </w:tc>
        <w:tc>
          <w:tcPr>
            <w:tcW w:type="dxa" w:w="1077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483</w:t>
            </w:r>
          </w:p>
        </w:tc>
        <w:tc>
          <w:tcPr>
            <w:tcW w:type="dxa" w:w="1134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17.367</w:t>
            </w:r>
          </w:p>
        </w:tc>
      </w:tr>
    </w:tbl>
    <w:p>
      <w:pPr>
        <w:spacing w:before="20" w:after="40"/>
      </w:pPr>
      <w:r>
        <w:rPr>
          <w:color w:val="555555"/>
          <w:sz w:val="17"/>
        </w:rPr>
        <w:t>Tabla 1. Llegadas planificadas por mes y segmento (coches) decididas a fin de A012. Enero y febrero ya están en camino y se suponen iguales al ritmo de facturación de julio–diciembre de A012. Fuente: plan_mensual_recomendado_a013.csv.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2. Qué ocurrió en A012 y qué se espera</w:t>
      </w:r>
    </w:p>
    <w:p>
      <w:r>
        <w:t>Las matriculaciones crecieron un 8,5 %, pero la demanda de clientes subyacente cayó un 3,2 % (rango: 0,2 % a 6,2 %) al quitar automatriculaciones, el lanzamiento de CSUV y las compras adelantadas de noviembre–diciembre. Se estima una demanda de unos 18.500 coches en A013, un 10,8 % menos que en A012 (19,5 % menos sin CSUV): no se repite el adelanto, llega la caída posterior y la confianza del consumidor bajó 19 puntos entre julio y diciembre. El error mensual esperado es de un 13 % en el total y de un 18–43 % por segmento, mayor en B, S y MD.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3. Escenarios y riesgo</w:t>
      </w:r>
    </w:p>
    <w:p>
      <w:pPr>
        <w:spacing w:after="40"/>
      </w:pPr>
      <w:r>
        <w:t>Se simuló el año 1.000 veces por escenario, con el mismo plan de partida. Los escenarios no tienen probabilidades; las bandas P10–P90 miden la variabilidad dentro de cada uno.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bottom w:val="single" w:sz="4" w:color="BBBBBB"/>
          <w:insideH w:val="single" w:sz="4" w:color="BBBBBB"/>
        </w:tblBorders>
        <w:tblLayout w:type="fixed"/>
      </w:tblPr>
      <w:tblGrid>
        <w:gridCol w:w="3005"/>
        <w:gridCol w:w="2211"/>
        <w:gridCol w:w="2211"/>
        <w:gridCol w:w="2211"/>
      </w:tblGrid>
      <w:tr>
        <w:tc>
          <w:tcPr>
            <w:tcW w:type="dxa" w:w="3005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7"/>
              </w:rPr>
            </w:r>
          </w:p>
        </w:tc>
        <w:tc>
          <w:tcPr>
            <w:tcW w:type="dxa" w:w="2211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Pesimista</w:t>
            </w:r>
          </w:p>
        </w:tc>
        <w:tc>
          <w:tcPr>
            <w:tcW w:type="dxa" w:w="2211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Central</w:t>
            </w:r>
          </w:p>
        </w:tc>
        <w:tc>
          <w:tcPr>
            <w:tcW w:type="dxa" w:w="2211"/>
            <w:shd w:val="clear" w:color="auto" w:fill="DCEBF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Optimista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Coches vendidos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15.693 (14.632–16.906)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17.910 (16.647–19.298)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22.396 (21.027–23.860)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Coches fabricados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14.708 (13.632–15.903)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16.880 (15.469–18.309)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20.879 (19.378–22.423)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Stock medio (coches)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2.832 (2.559–3.116)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2.696 (2.454–2.950)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2.056 (1.833–2.303)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Stock medio (meses de venta)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2,2 (1,8–2,5)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1,8 (1,5–2,1)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1,1 (0,9–1,3)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Coches con más de 90 días a fin de año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14 (0–214)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0 (0–66)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0 (0–0)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Coste del stock (M€)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2,0 (1,8–2,1)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1,9 (1,8–2,1)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1,5 (1,4–1,7)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Ventas perdidas (coches)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381 (111–864)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458 (173–908)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1.814 (1.015–2.909)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CVP de las ventas perdidas (M€)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0,9 (0,1–3,3)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0,6 (0,1–1,8)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4,1 (1,8–8,1)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Gasto comercial, VM (M€)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34,3 (32,2–36,6)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38,6 (36,2–41,3)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47,6 (44,9–50,4)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Margen de la marca, CVP (M€)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56,4 (51,8–60,9)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65,4 (60,1–71,3)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84,4 (78,0–91,0)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Prima de CO2 (M€)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47,2 (43,8–50,9)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0,0 (0,0–0,0)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0,0 (0,0–0,0)</w:t>
            </w:r>
          </w:p>
        </w:tc>
      </w:tr>
      <w:tr>
        <w:tc>
          <w:tcPr>
            <w:tcW w:type="dxa" w:w="3005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7"/>
              </w:rPr>
              <w:t>Resultado: CVP − coste del stock − prima (M€)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7,1 (5,7–8,6)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63,5 (58,1–69,4)</w:t>
            </w:r>
          </w:p>
        </w:tc>
        <w:tc>
          <w:tcPr>
            <w:tcW w:type="dxa" w:w="2211"/>
            <w:tcMar>
              <w:top w:w="15" w:type="dxa"/>
              <w:bottom w:w="15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7"/>
              </w:rPr>
              <w:t>83,0 (76,3–89,6)</w:t>
            </w:r>
          </w:p>
        </w:tc>
      </w:tr>
    </w:tbl>
    <w:p>
      <w:pPr>
        <w:spacing w:before="20" w:after="40"/>
      </w:pPr>
      <w:r>
        <w:rPr>
          <w:color w:val="555555"/>
          <w:sz w:val="17"/>
        </w:rPr>
        <w:t>Tabla 2. Resultados de A013 con el plan recomendado: mediana (P10–P90). Total de los siete segmentos. Fuente: simulacion_plan_recomendado_resumen_a013.csv.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1734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s_ventas_stock_mensual_a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3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color w:val="555555"/>
          <w:sz w:val="17"/>
        </w:rPr>
        <w:t>Figura 1. Ventas y stock mensuales por escenario: mediana y banda P10–P90 de 1.000 repeticiones. Fuente: escenarios_ventas_stock_mensual_a013.png, A013.</w:t>
      </w:r>
    </w:p>
    <w:p>
      <w:r>
        <w:t>La prima de CO2 (47 M€ en el pesimista) es el suceso que más pesa: si la matriz la carga entera, el resultado cae a 7,1 M€ y B, C y SSUV pierden o no dejan margen. El combustible, el tipo de cambio y el arancel no se pueden cuantificar con los datos; cada 1 % de arancel sobre el PFF costaría unos 4 M€.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4. Cuánto cuesta equivocarse</w:t>
      </w:r>
    </w:p>
    <w:p>
      <w:pPr>
        <w:pStyle w:val="ListBullet"/>
        <w:spacing w:after="20"/>
        <w:ind w:left="312" w:hanging="227"/>
      </w:pPr>
      <w:r>
        <w:rPr>
          <w:b/>
        </w:rPr>
        <w:t>Por coche:</w:t>
      </w:r>
      <w:r>
        <w:t xml:space="preserve"> un coche de más cuesta unos 60 € al mes (más hasta 760 € de VM si pasa de 90 días); uno de menos cuesta su CVP, de 125 € en B a 5.887 € en MSUV (entre 368 y 1.556 € si se pudiera traer por transfer).</w:t>
      </w:r>
    </w:p>
    <w:p>
      <w:pPr>
        <w:pStyle w:val="ListBullet"/>
        <w:spacing w:after="20"/>
        <w:ind w:left="312" w:hanging="227"/>
      </w:pPr>
      <w:r>
        <w:rPr>
          <w:b/>
        </w:rPr>
        <w:t>Por escenario:</w:t>
      </w:r>
      <w:r>
        <w:t xml:space="preserve"> quedarse corto en el optimista cuesta 4,7 M€ de CVP perdido (1,7 M€ con transfers), 3,8 M€ más que en el central; pasarse en el pesimista cuesta solo 0,2 M€ más. El riesgo es asimétrico: justifica un colchón mayor donde hay margen y ninguno en B.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5. Qué empujar y qué frenar</w:t>
      </w:r>
    </w:p>
    <w:p>
      <w:pPr>
        <w:pStyle w:val="ListBullet"/>
        <w:spacing w:after="20"/>
        <w:ind w:left="312" w:hanging="227"/>
      </w:pPr>
      <w:r>
        <w:rPr>
          <w:b/>
        </w:rPr>
        <w:t>Empujar:</w:t>
      </w:r>
      <w:r>
        <w:t xml:space="preserve"> MSUV (CVP de 5.887 € por coche y un tercio de las ventas), S, CSUV y MD (entre 3.800 y 5.000 €).</w:t>
      </w:r>
    </w:p>
    <w:p>
      <w:pPr>
        <w:pStyle w:val="ListBullet"/>
        <w:spacing w:after="20"/>
        <w:ind w:left="312" w:hanging="227"/>
      </w:pPr>
      <w:r>
        <w:rPr>
          <w:b/>
        </w:rPr>
        <w:t>Vigilar:</w:t>
      </w:r>
      <w:r>
        <w:t xml:space="preserve"> SSUV (2.857 €; sin margen si hay prima de CO2).</w:t>
      </w:r>
    </w:p>
    <w:p>
      <w:pPr>
        <w:pStyle w:val="ListBullet"/>
        <w:spacing w:after="20"/>
        <w:ind w:left="312" w:hanging="227"/>
      </w:pPr>
      <w:r>
        <w:rPr>
          <w:b/>
        </w:rPr>
        <w:t>Frenar:</w:t>
      </w:r>
      <w:r>
        <w:t xml:space="preserve"> B (125 €; −2.430 € con prima) y C (1.367 €; empieza con 10,6 meses de cobertura y un 43 % del stock con más de 90 días).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6. Qué vigilar y cuándo cambiar la producción</w:t>
      </w:r>
    </w:p>
    <w:p>
      <w:pPr>
        <w:pStyle w:val="ListBullet"/>
        <w:spacing w:after="20"/>
        <w:ind w:left="312" w:hanging="227"/>
      </w:pPr>
      <w:r>
        <w:rPr>
          <w:b/>
        </w:rPr>
        <w:t>Ventas frente a previsión:</w:t>
      </w:r>
      <w:r>
        <w:t xml:space="preserve"> si las ventas de los últimos tres meses quedan fuera de 0,88–1,24 veces la previsión (MSUV: 0,73–1,23), revisar la llegada de t + 3.</w:t>
      </w:r>
    </w:p>
    <w:p>
      <w:pPr>
        <w:pStyle w:val="ListBullet"/>
        <w:spacing w:after="20"/>
        <w:ind w:left="312" w:hanging="227"/>
      </w:pPr>
      <w:r>
        <w:rPr>
          <w:b/>
        </w:rPr>
        <w:t>Confianza del consumidor:</w:t>
      </w:r>
      <w:r>
        <w:t xml:space="preserve"> tarda tres meses en llegar a las ventas; una recuperación a los niveles de enero–julio de A012 subiría la demanda un 12 %.</w:t>
      </w:r>
    </w:p>
    <w:p>
      <w:pPr>
        <w:pStyle w:val="ListBullet"/>
        <w:spacing w:after="20"/>
        <w:ind w:left="312" w:hanging="227"/>
      </w:pPr>
      <w:r>
        <w:rPr>
          <w:b/>
        </w:rPr>
        <w:t>Prima de CO2 de la matriz:</w:t>
      </w:r>
      <w:r>
        <w:t xml:space="preserve"> decidir antes de marzo: cambia el resultado de 63,5 (58,1–69,4) a 7,1 M€.</w:t>
      </w:r>
    </w:p>
    <w:p>
      <w:pPr>
        <w:pStyle w:val="ListBullet"/>
        <w:spacing w:after="20"/>
        <w:ind w:left="312" w:hanging="227"/>
      </w:pPr>
      <w:r>
        <w:rPr>
          <w:b/>
        </w:rPr>
        <w:t>Cobertura y antigüedad:</w:t>
      </w:r>
      <w:r>
        <w:t xml:space="preserve"> más de 2,5 meses de cobertura en un segmento de margen alto o stock envejecido en C y CSUV: parar llegadas.</w:t>
      </w:r>
    </w:p>
    <w:p>
      <w:pPr>
        <w:keepNext/>
        <w:spacing w:before="140" w:after="40"/>
      </w:pPr>
      <w:r>
        <w:rPr>
          <w:b/>
          <w:color w:val="0072B2"/>
          <w:sz w:val="24"/>
        </w:rPr>
        <w:t>7. Supuestos y límites</w:t>
      </w:r>
    </w:p>
    <w:p>
      <w:pPr>
        <w:spacing w:after="0"/>
      </w:pPr>
      <w:r>
        <w:t>Las llegadas de enero y febrero son un supuesto (2.110 coches al mes) y condicionan el stock y el coste. No se simulan automatriculaciones ni transfers, ni los intereses del concesionario; el stock final no se valora. La previsión no mejora de forma clara a la referencia estacional y los rangos son una cota baja si los errores están más correlacionados. Detalle y código reproducible en analisis.ipynb.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Arial" w:hAnsi="Arial" w:eastAsia="Arial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