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r>
        <w:t xml:space="preserve"/>
      </w:r>
    </w:p>
    <w:p>
      <w:pPr>
        <w:spacing w:after="120" w:before="0"/>
        <w:jc w:val="center"/>
      </w:pPr>
      <w:r>
        <w:rPr>
          <w:rFonts w:ascii="Calibri" w:cs="Calibri" w:eastAsia="Calibri" w:hAnsi="Calibri"/>
          <w:b/>
          <w:bCs/>
          <w:color w:val="0078D4"/>
          <w:sz w:val="20"/>
          <w:szCs w:val="20"/>
        </w:rPr>
        <w:t xml:space="preserve">DOCUMENTACIÓN TÉCNICA</w:t>
      </w:r>
    </w:p>
    <w:p>
      <w:pPr>
        <w:spacing w:after="80" w:before="0"/>
        <w:jc w:val="center"/>
      </w:pPr>
      <w:r>
        <w:rPr>
          <w:rFonts w:ascii="Calibri" w:cs="Calibri" w:eastAsia="Calibri" w:hAnsi="Calibri"/>
          <w:b/>
          <w:bCs/>
          <w:color w:val="004578"/>
          <w:sz w:val="80"/>
          <w:szCs w:val="80"/>
        </w:rPr>
        <w:t xml:space="preserve">agentekb9</w:t>
      </w:r>
    </w:p>
    <w:p>
      <w:pPr>
        <w:pBdr>
          <w:bottom w:val="single" w:color="0078D4" w:sz="6" w:space="8"/>
        </w:pBdr>
        <w:spacing w:after="300" w:before="0"/>
        <w:jc w:val="center"/>
      </w:pPr>
      <w:r>
        <w:rPr>
          <w:rFonts w:ascii="Calibri" w:cs="Calibri" w:eastAsia="Calibri" w:hAnsi="Calibri"/>
          <w:color w:val="767676"/>
          <w:sz w:val="28"/>
          <w:szCs w:val="28"/>
        </w:rPr>
        <w:t xml:space="preserve">Agente corporativo sobre Azure AI Foundry IQ</w:t>
      </w:r>
    </w:p>
    <w:p>
      <w:pPr>
        <w:spacing w:after="2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0D0D0" w:sz="1"/>
              <w:left w:val="single" w:color="D0D0D0" w:sz="1"/>
              <w:bottom w:val="single" w:color="D0D0D0" w:sz="1"/>
              <w:right w:val="single" w:color="D0D0D0" w:sz="1"/>
            </w:tcBorders>
            <w:shd w:fill="004578"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Campo</w:t>
            </w:r>
          </w:p>
        </w:tc>
        <w:tc>
          <w:tcPr>
            <w:tcW w:type="dxa" w:w="5826"/>
            <w:tcBorders>
              <w:top w:val="single" w:color="D0D0D0" w:sz="1"/>
              <w:left w:val="single" w:color="D0D0D0" w:sz="1"/>
              <w:bottom w:val="single" w:color="D0D0D0" w:sz="1"/>
              <w:right w:val="single" w:color="D0D0D0" w:sz="1"/>
            </w:tcBorders>
            <w:shd w:fill="004578"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Valor</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Proyecto</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agentekb9 — Agente corporativo con KB multi-source</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Plataforma</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Azure AI Foundry IQ</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Modelo</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gpt-4o (Global Standard deployment)</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Región</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Sweden Central</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Autor</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Alejandro Benítez</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Fecha</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Junio 2025</w:t>
            </w:r>
          </w:p>
        </w:tc>
      </w:tr>
    </w:tbl>
    <w:p>
      <w:pPr>
        <w:spacing w:after="0" w:before="0"/>
      </w:pPr>
      <w:r>
        <w:br w:type="page"/>
      </w:r>
    </w:p>
    <w:p>
      <w:pPr>
        <w:pStyle w:val="Heading1"/>
        <w:spacing w:after="160" w:before="400"/>
      </w:pPr>
      <w:r>
        <w:rPr>
          <w:rFonts w:ascii="Calibri" w:cs="Calibri" w:eastAsia="Calibri" w:hAnsi="Calibri"/>
          <w:b/>
          <w:bCs/>
        </w:rPr>
        <w:t xml:space="preserve">1. ¿Qué es este proyecto?</w:t>
      </w:r>
    </w:p>
    <w:p>
      <w:pPr>
        <w:spacing w:after="140" w:before="0"/>
      </w:pPr>
      <w:r>
        <w:rPr>
          <w:rFonts w:ascii="Calibri" w:cs="Calibri" w:eastAsia="Calibri" w:hAnsi="Calibri"/>
          <w:color w:val="3A3A3A"/>
          <w:sz w:val="22"/>
          <w:szCs w:val="22"/>
        </w:rPr>
        <w:t xml:space="preserve">Se ha construido un agente conversacional llamado </w:t>
      </w:r>
      <w:r>
        <w:rPr>
          <w:rFonts w:ascii="Calibri" w:cs="Calibri" w:eastAsia="Calibri" w:hAnsi="Calibri"/>
          <w:b/>
          <w:bCs/>
          <w:color w:val="3A3A3A"/>
          <w:sz w:val="22"/>
          <w:szCs w:val="22"/>
        </w:rPr>
        <w:t xml:space="preserve">agentekb9</w:t>
      </w:r>
      <w:r>
        <w:rPr>
          <w:rFonts w:ascii="Calibri" w:cs="Calibri" w:eastAsia="Calibri" w:hAnsi="Calibri"/>
          <w:color w:val="3A3A3A"/>
          <w:sz w:val="22"/>
          <w:szCs w:val="22"/>
        </w:rPr>
        <w:t xml:space="preserve"> sobre </w:t>
      </w:r>
      <w:r>
        <w:rPr>
          <w:rFonts w:ascii="Calibri" w:cs="Calibri" w:eastAsia="Calibri" w:hAnsi="Calibri"/>
          <w:b/>
          <w:bCs/>
          <w:color w:val="3A3A3A"/>
          <w:sz w:val="22"/>
          <w:szCs w:val="22"/>
        </w:rPr>
        <w:t xml:space="preserve">Azure AI Foundry IQ</w:t>
      </w:r>
      <w:r>
        <w:rPr>
          <w:rFonts w:ascii="Calibri" w:cs="Calibri" w:eastAsia="Calibri" w:hAnsi="Calibri"/>
          <w:color w:val="3A3A3A"/>
          <w:sz w:val="22"/>
          <w:szCs w:val="22"/>
        </w:rPr>
        <w:t xml:space="preserve"> que actúa como asistente corporativo. Su función es responder preguntas sobre procedimientos internos, registros de proyectos y directores técnicos, consultando documentos reales almacenados en Azure.</w:t>
      </w:r>
    </w:p>
    <w:p>
      <w:pPr>
        <w:spacing w:after="80" w:before="0"/>
      </w:pPr>
      <w:r>
        <w:t xml:space="preserve"/>
      </w:r>
    </w:p>
    <w:p>
      <w:pPr>
        <w:spacing w:after="140" w:before="0"/>
      </w:pPr>
      <w:r>
        <w:rPr>
          <w:rFonts w:ascii="Calibri" w:cs="Calibri" w:eastAsia="Calibri" w:hAnsi="Calibri"/>
          <w:color w:val="3A3A3A"/>
          <w:sz w:val="22"/>
          <w:szCs w:val="22"/>
        </w:rPr>
        <w:t xml:space="preserve">El agente usa el modelo </w:t>
      </w:r>
      <w:r>
        <w:rPr>
          <w:rFonts w:ascii="Courier New" w:cs="Courier New" w:eastAsia="Courier New" w:hAnsi="Courier New"/>
          <w:color w:val="3A3A3A"/>
          <w:sz w:val="20"/>
          <w:szCs w:val="20"/>
        </w:rPr>
        <w:t xml:space="preserve">gpt-4o</w:t>
      </w:r>
      <w:r>
        <w:rPr>
          <w:rFonts w:ascii="Calibri" w:cs="Calibri" w:eastAsia="Calibri" w:hAnsi="Calibri"/>
          <w:color w:val="3A3A3A"/>
          <w:sz w:val="22"/>
          <w:szCs w:val="22"/>
        </w:rPr>
        <w:t xml:space="preserve"> y tiene conectada una </w:t>
      </w:r>
      <w:r>
        <w:rPr>
          <w:rFonts w:ascii="Calibri" w:cs="Calibri" w:eastAsia="Calibri" w:hAnsi="Calibri"/>
          <w:b/>
          <w:bCs/>
          <w:color w:val="3A3A3A"/>
          <w:sz w:val="22"/>
          <w:szCs w:val="22"/>
        </w:rPr>
        <w:t xml:space="preserve">knowledge base (KB)</w:t>
      </w:r>
      <w:r>
        <w:rPr>
          <w:rFonts w:ascii="Calibri" w:cs="Calibri" w:eastAsia="Calibri" w:hAnsi="Calibri"/>
          <w:color w:val="3A3A3A"/>
          <w:sz w:val="22"/>
          <w:szCs w:val="22"/>
        </w:rPr>
        <w:t xml:space="preserve"> que agrupa tres fuentes de datos distintas: documentos en Blob Storage, un índice de búsqueda y búsqueda web en tiempo real.</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2000"/>
        <w:gridCol w:w="3626"/>
      </w:tblGrid>
      <w:tr>
        <w:tc>
          <w:tcPr>
            <w:tcW w:type="dxa" w:w="600"/>
            <w:tcBorders>
              <w:top w:val="single" w:color="D0D0D0" w:sz="1"/>
              <w:left w:val="single" w:color="D0D0D0" w:sz="1"/>
              <w:bottom w:val="single" w:color="D0D0D0" w:sz="1"/>
              <w:right w:val="single" w:color="D0D0D0" w:sz="1"/>
            </w:tcBorders>
            <w:shd w:fill="004578"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w:t>
            </w:r>
          </w:p>
        </w:tc>
        <w:tc>
          <w:tcPr>
            <w:tcW w:type="dxa" w:w="2800"/>
            <w:tcBorders>
              <w:top w:val="single" w:color="D0D0D0" w:sz="1"/>
              <w:left w:val="single" w:color="D0D0D0" w:sz="1"/>
              <w:bottom w:val="single" w:color="D0D0D0" w:sz="1"/>
              <w:right w:val="single" w:color="D0D0D0" w:sz="1"/>
            </w:tcBorders>
            <w:shd w:fill="004578"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Fuente</w:t>
            </w:r>
          </w:p>
        </w:tc>
        <w:tc>
          <w:tcPr>
            <w:tcW w:type="dxa" w:w="2000"/>
            <w:tcBorders>
              <w:top w:val="single" w:color="D0D0D0" w:sz="1"/>
              <w:left w:val="single" w:color="D0D0D0" w:sz="1"/>
              <w:bottom w:val="single" w:color="D0D0D0" w:sz="1"/>
              <w:right w:val="single" w:color="D0D0D0" w:sz="1"/>
            </w:tcBorders>
            <w:shd w:fill="004578"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Tipo</w:t>
            </w:r>
          </w:p>
        </w:tc>
        <w:tc>
          <w:tcPr>
            <w:tcW w:type="dxa" w:w="3626"/>
            <w:tcBorders>
              <w:top w:val="single" w:color="D0D0D0" w:sz="1"/>
              <w:left w:val="single" w:color="D0D0D0" w:sz="1"/>
              <w:bottom w:val="single" w:color="D0D0D0" w:sz="1"/>
              <w:right w:val="single" w:color="D0D0D0" w:sz="1"/>
            </w:tcBorders>
            <w:shd w:fill="004578"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Para qué se usa</w:t>
            </w:r>
          </w:p>
        </w:tc>
      </w:tr>
      <w:tr>
        <w:tc>
          <w:tcPr>
            <w:tcW w:type="dxa" w:w="6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bCs/>
                <w:color w:val="0078D4"/>
                <w:sz w:val="21"/>
                <w:szCs w:val="21"/>
              </w:rPr>
              <w:t xml:space="preserve">1</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3A3A3A"/>
                <w:sz w:val="21"/>
                <w:szCs w:val="21"/>
              </w:rPr>
              <w:t xml:space="preserve">fuente-documentos-blob</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3A3A3A"/>
                <w:sz w:val="21"/>
                <w:szCs w:val="21"/>
              </w:rPr>
              <w:t xml:space="preserve">Azure Blob Storage</w:t>
            </w:r>
          </w:p>
        </w:tc>
        <w:tc>
          <w:tcPr>
            <w:tcW w:type="dxa" w:w="36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3A3A3A"/>
                <w:sz w:val="21"/>
                <w:szCs w:val="21"/>
              </w:rPr>
              <w:t xml:space="preserve">PDFs de manuales y registros internos</w:t>
            </w:r>
          </w:p>
        </w:tc>
      </w:tr>
      <w:tr>
        <w:tc>
          <w:tcPr>
            <w:tcW w:type="dxa" w:w="6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bCs/>
                <w:color w:val="0078D4"/>
                <w:sz w:val="21"/>
                <w:szCs w:val="21"/>
              </w:rPr>
              <w:t xml:space="preserve">2</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3A3A3A"/>
                <w:sz w:val="21"/>
                <w:szCs w:val="21"/>
              </w:rPr>
              <w:t xml:space="preserve">kbinternetbing</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3A3A3A"/>
                <w:sz w:val="21"/>
                <w:szCs w:val="21"/>
              </w:rPr>
              <w:t xml:space="preserve">Web (Bing)</w:t>
            </w:r>
          </w:p>
        </w:tc>
        <w:tc>
          <w:tcPr>
            <w:tcW w:type="dxa" w:w="36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3A3A3A"/>
                <w:sz w:val="21"/>
                <w:szCs w:val="21"/>
              </w:rPr>
              <w:t xml:space="preserve">Información externa en tiempo real</w:t>
            </w:r>
          </w:p>
        </w:tc>
      </w:tr>
      <w:tr>
        <w:tc>
          <w:tcPr>
            <w:tcW w:type="dxa" w:w="6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bCs/>
                <w:color w:val="0078D4"/>
                <w:sz w:val="21"/>
                <w:szCs w:val="21"/>
              </w:rPr>
              <w:t xml:space="preserve">3</w:t>
            </w:r>
          </w:p>
        </w:tc>
        <w:tc>
          <w:tcPr>
            <w:tcW w:type="dxa" w:w="28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3A3A3A"/>
                <w:sz w:val="21"/>
                <w:szCs w:val="21"/>
              </w:rPr>
              <w:t xml:space="preserve">kbsearchindex</w:t>
            </w:r>
          </w:p>
        </w:tc>
        <w:tc>
          <w:tcPr>
            <w:tcW w:type="dxa" w:w="2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3A3A3A"/>
                <w:sz w:val="21"/>
                <w:szCs w:val="21"/>
              </w:rPr>
              <w:t xml:space="preserve">AI Search Index</w:t>
            </w:r>
          </w:p>
        </w:tc>
        <w:tc>
          <w:tcPr>
            <w:tcW w:type="dxa" w:w="36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3A3A3A"/>
                <w:sz w:val="21"/>
                <w:szCs w:val="21"/>
              </w:rPr>
              <w:t xml:space="preserve">Búsqueda semántica sobre los documentos</w:t>
            </w:r>
          </w:p>
        </w:tc>
      </w:tr>
    </w:tbl>
    <w:p>
      <w:pPr>
        <w:spacing w:after="200" w:before="0"/>
      </w:pPr>
      <w:r>
        <w:t xml:space="preserve"/>
      </w:r>
    </w:p>
    <w:p>
      <w:pPr>
        <w:pStyle w:val="Heading1"/>
        <w:spacing w:after="160" w:before="400"/>
      </w:pPr>
      <w:r>
        <w:rPr>
          <w:rFonts w:ascii="Calibri" w:cs="Calibri" w:eastAsia="Calibri" w:hAnsi="Calibri"/>
          <w:b/>
          <w:bCs/>
        </w:rPr>
        <w:t xml:space="preserve">2. Recursos generados en Azure</w:t>
      </w:r>
    </w:p>
    <w:p>
      <w:pPr>
        <w:spacing w:after="140" w:before="0"/>
      </w:pPr>
      <w:r>
        <w:rPr>
          <w:rFonts w:ascii="Calibri" w:cs="Calibri" w:eastAsia="Calibri" w:hAnsi="Calibri"/>
          <w:color w:val="3A3A3A"/>
          <w:sz w:val="22"/>
          <w:szCs w:val="22"/>
        </w:rPr>
        <w:t xml:space="preserve">Al crear el proyecto en Foundry IQ y conectar las fuentes, Azure genera automáticamente varios recursos en el grupo de recursos. Además, hay uno que se debe crear </w:t>
      </w:r>
      <w:r>
        <w:rPr>
          <w:rFonts w:ascii="Calibri" w:cs="Calibri" w:eastAsia="Calibri" w:hAnsi="Calibri"/>
          <w:b/>
          <w:bCs/>
          <w:color w:val="3A3A3A"/>
          <w:sz w:val="22"/>
          <w:szCs w:val="22"/>
        </w:rPr>
        <w:t xml:space="preserve">manualmente antes</w:t>
      </w:r>
      <w:r>
        <w:rPr>
          <w:rFonts w:ascii="Calibri" w:cs="Calibri" w:eastAsia="Calibri" w:hAnsi="Calibri"/>
          <w:color w:val="3A3A3A"/>
          <w:sz w:val="22"/>
          <w:szCs w:val="22"/>
        </w:rPr>
        <w:t xml:space="preserve"> de empezar: la Storage Account.</w:t>
      </w:r>
    </w:p>
    <w:p>
      <w:pPr>
        <w:spacing w:after="120" w:before="0"/>
      </w:pPr>
      <w:r>
        <w:t xml:space="preserve"/>
      </w:r>
    </w:p>
    <w:p>
      <w:pPr>
        <w:spacing w:after="60" w:before="120"/>
        <w:jc w:val="center"/>
      </w:pPr>
      <w:r>
        <w:drawing>
          <wp:inline distT="0" distB="0" distL="0" distR="0">
            <wp:extent cx="5524500" cy="1647825"/>
            <wp:effectExtent t="0" r="0" b="0" l="0"/>
            <wp:docPr id="1" name="Vista del grupo de recursos en Azure Portal" descr="Vista del grupo de recursos en Azure Portal" title="Vista del grupo de recursos en Azure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647825"/>
                    </a:xfrm>
                    <a:prstGeom prst="rect">
                      <a:avLst/>
                    </a:prstGeom>
                  </pic:spPr>
                </pic:pic>
              </a:graphicData>
            </a:graphic>
          </wp:inline>
        </w:drawing>
      </w:r>
    </w:p>
    <w:p>
      <w:pPr>
        <w:spacing w:after="200" w:before="0"/>
        <w:jc w:val="center"/>
      </w:pPr>
      <w:r>
        <w:rPr>
          <w:rFonts w:ascii="Calibri" w:cs="Calibri" w:eastAsia="Calibri" w:hAnsi="Calibri"/>
          <w:i/>
          <w:iCs/>
          <w:color w:val="767676"/>
          <w:sz w:val="18"/>
          <w:szCs w:val="18"/>
        </w:rPr>
        <w:t xml:space="preserve">Vista del grupo de recursos en Azure Portal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0D0D0" w:sz="1"/>
              <w:left w:val="single" w:color="D0D0D0" w:sz="1"/>
              <w:bottom w:val="single" w:color="D0D0D0" w:sz="1"/>
              <w:right w:val="single" w:color="D0D0D0" w:sz="1"/>
            </w:tcBorders>
            <w:shd w:fill="004578"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Recurso</w:t>
            </w:r>
          </w:p>
        </w:tc>
        <w:tc>
          <w:tcPr>
            <w:tcW w:type="dxa" w:w="5826"/>
            <w:tcBorders>
              <w:top w:val="single" w:color="D0D0D0" w:sz="1"/>
              <w:left w:val="single" w:color="D0D0D0" w:sz="1"/>
              <w:bottom w:val="single" w:color="D0D0D0" w:sz="1"/>
              <w:right w:val="single" w:color="D0D0D0" w:sz="1"/>
            </w:tcBorders>
            <w:shd w:fill="004578"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Tipo</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alejandrobenitez3431-5744-resour</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Foundry (hub principal)</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alejandrobenitez3431-5744</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Foundry project</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…-resour-appinsights</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Application Insights (trazas)</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…-resour-logs</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Log Analytics workspace (logs)</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almacenamientocon</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Storage account — creada manualmente</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ragbbalejandro-srch</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Search service (Foundry IQ)</w:t>
            </w:r>
          </w:p>
        </w:tc>
      </w:tr>
    </w:tbl>
    <w:p>
      <w:pPr>
        <w:spacing w:after="200" w:before="0"/>
      </w:pPr>
      <w:r>
        <w:t xml:space="preserve"/>
      </w:r>
    </w:p>
    <w:p>
      <w:pPr>
        <w:pStyle w:val="Heading1"/>
        <w:spacing w:after="160" w:before="400"/>
      </w:pPr>
      <w:r>
        <w:rPr>
          <w:rFonts w:ascii="Calibri" w:cs="Calibri" w:eastAsia="Calibri" w:hAnsi="Calibri"/>
          <w:b/>
          <w:bCs/>
        </w:rPr>
        <w:t xml:space="preserve">3. Storage Account: nivel de acceso "Container"</w:t>
      </w:r>
    </w:p>
    <w:p>
      <w:pPr>
        <w:spacing w:after="140" w:before="0"/>
      </w:pPr>
      <w:r>
        <w:rPr>
          <w:rFonts w:ascii="Calibri" w:cs="Calibri" w:eastAsia="Calibri" w:hAnsi="Calibri"/>
          <w:color w:val="3A3A3A"/>
          <w:sz w:val="22"/>
          <w:szCs w:val="22"/>
        </w:rPr>
        <w:t xml:space="preserve">Antes de configurar la fuente de Blob en la KB, hay que crear una </w:t>
      </w:r>
      <w:r>
        <w:rPr>
          <w:rFonts w:ascii="Calibri" w:cs="Calibri" w:eastAsia="Calibri" w:hAnsi="Calibri"/>
          <w:b/>
          <w:bCs/>
          <w:color w:val="3A3A3A"/>
          <w:sz w:val="22"/>
          <w:szCs w:val="22"/>
        </w:rPr>
        <w:t xml:space="preserve">Storage Account</w:t>
      </w:r>
      <w:r>
        <w:rPr>
          <w:rFonts w:ascii="Calibri" w:cs="Calibri" w:eastAsia="Calibri" w:hAnsi="Calibri"/>
          <w:color w:val="3A3A3A"/>
          <w:sz w:val="22"/>
          <w:szCs w:val="22"/>
        </w:rPr>
        <w:t xml:space="preserve"> y dentro un contenedor. El nivel de acceso público del contenedor es importante y causa confusión frecuente.</w:t>
      </w:r>
    </w:p>
    <w:p>
      <w:pPr>
        <w:spacing w:after="80" w:before="0"/>
      </w:pPr>
      <w:r>
        <w:t xml:space="preserve"/>
      </w:r>
    </w:p>
    <w:p>
      <w:pPr>
        <w:spacing w:after="140" w:before="0"/>
      </w:pPr>
      <w:r>
        <w:rPr>
          <w:rFonts w:ascii="Calibri" w:cs="Calibri" w:eastAsia="Calibri" w:hAnsi="Calibri"/>
          <w:color w:val="3A3A3A"/>
          <w:sz w:val="22"/>
          <w:szCs w:val="22"/>
        </w:rPr>
        <w:t xml:space="preserve">Hay tres opciones posibles:</w:t>
      </w:r>
    </w:p>
    <w:p>
      <w:pPr>
        <w:pStyle w:val="ListParagraph"/>
        <w:numPr>
          <w:ilvl w:val="0"/>
          <w:numId w:val="2"/>
        </w:numPr>
        <w:spacing w:after="40" w:before="40"/>
      </w:pPr>
      <w:r>
        <w:rPr>
          <w:rFonts w:ascii="Calibri" w:cs="Calibri" w:eastAsia="Calibri" w:hAnsi="Calibri"/>
          <w:b/>
          <w:bCs/>
          <w:color w:val="3A3A3A"/>
          <w:sz w:val="22"/>
          <w:szCs w:val="22"/>
        </w:rPr>
        <w:t xml:space="preserve">Private</w:t>
      </w:r>
      <w:r>
        <w:rPr>
          <w:rFonts w:ascii="Calibri" w:cs="Calibri" w:eastAsia="Calibri" w:hAnsi="Calibri"/>
          <w:color w:val="3A3A3A"/>
          <w:sz w:val="22"/>
          <w:szCs w:val="22"/>
        </w:rPr>
        <w:t xml:space="preserve">: sin acceso anónimo. Foundry IQ no puede listar ni leer los archivos → la indexación falla.</w:t>
      </w:r>
    </w:p>
    <w:p>
      <w:pPr>
        <w:pStyle w:val="ListParagraph"/>
        <w:numPr>
          <w:ilvl w:val="0"/>
          <w:numId w:val="2"/>
        </w:numPr>
        <w:spacing w:after="40" w:before="40"/>
      </w:pPr>
      <w:r>
        <w:rPr>
          <w:rFonts w:ascii="Calibri" w:cs="Calibri" w:eastAsia="Calibri" w:hAnsi="Calibri"/>
          <w:b/>
          <w:bCs/>
          <w:color w:val="3A3A3A"/>
          <w:sz w:val="22"/>
          <w:szCs w:val="22"/>
        </w:rPr>
        <w:t xml:space="preserve">Blob</w:t>
      </w:r>
      <w:r>
        <w:rPr>
          <w:rFonts w:ascii="Calibri" w:cs="Calibri" w:eastAsia="Calibri" w:hAnsi="Calibri"/>
          <w:color w:val="3A3A3A"/>
          <w:sz w:val="22"/>
          <w:szCs w:val="22"/>
        </w:rPr>
        <w:t xml:space="preserve">: permite leer archivos individuales por URL, pero no listar el contenedor. Foundry IQ necesita enumerar los archivos para indexarlos → también falla.</w:t>
      </w:r>
    </w:p>
    <w:p>
      <w:pPr>
        <w:pStyle w:val="ListParagraph"/>
        <w:numPr>
          <w:ilvl w:val="0"/>
          <w:numId w:val="2"/>
        </w:numPr>
        <w:spacing w:after="40" w:before="40"/>
      </w:pPr>
      <w:r>
        <w:rPr>
          <w:rFonts w:ascii="Calibri" w:cs="Calibri" w:eastAsia="Calibri" w:hAnsi="Calibri"/>
          <w:b/>
          <w:bCs/>
          <w:color w:val="107C10"/>
          <w:sz w:val="22"/>
          <w:szCs w:val="22"/>
        </w:rPr>
        <w:t xml:space="preserve">Container</w:t>
      </w:r>
      <w:r>
        <w:rPr>
          <w:rFonts w:ascii="Calibri" w:cs="Calibri" w:eastAsia="Calibri" w:hAnsi="Calibri"/>
          <w:color w:val="3A3A3A"/>
          <w:sz w:val="22"/>
          <w:szCs w:val="22"/>
        </w:rPr>
        <w:t xml:space="preserve">: permite listar y leer todos los archivos. Es el nivel mínimo para que Foundry IQ pueda descubrir e indexar los documentos automáticamente.</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3B01" w:sz="6"/>
              <w:left w:val="single" w:color="D83B01" w:sz="20"/>
              <w:bottom w:val="single" w:color="D83B01" w:sz="6"/>
              <w:right w:val="single" w:color="D83B01" w:sz="6"/>
            </w:tcBorders>
            <w:shd w:fill="FFF4CE" w:val="clear"/>
            <w:tcMar>
              <w:top w:type="dxa" w:w="120"/>
              <w:left w:type="dxa" w:w="200"/>
              <w:bottom w:type="dxa" w:w="120"/>
              <w:right w:type="dxa" w:w="200"/>
            </w:tcMar>
          </w:tcPr>
          <w:p>
            <w:pPr>
              <w:spacing w:after="60" w:before="0"/>
            </w:pPr>
            <w:r>
              <w:rPr>
                <w:rFonts w:ascii="Calibri" w:cs="Calibri" w:eastAsia="Calibri" w:hAnsi="Calibri"/>
                <w:b/>
                <w:bCs/>
                <w:color w:val="D83B01"/>
                <w:sz w:val="21"/>
                <w:szCs w:val="21"/>
              </w:rPr>
              <w:t xml:space="preserve">⚠  Nivel Container = acceso público</w:t>
            </w:r>
          </w:p>
          <w:p>
            <w:pPr>
              <w:spacing w:after="0" w:before="0"/>
            </w:pPr>
            <w:r>
              <w:rPr>
                <w:rFonts w:ascii="Calibri" w:cs="Calibri" w:eastAsia="Calibri" w:hAnsi="Calibri"/>
                <w:color w:val="3A3A3A"/>
                <w:sz w:val="21"/>
                <w:szCs w:val="21"/>
              </w:rPr>
              <w:t xml:space="preserve">Con este nivel, cualquiera con la URL puede leer los archivos sin autenticarse. Válido para entornos de desarrollo o académicos. En producción, usar acceso Private con identidad administrada y rol Storage Blob Data Reader.</w:t>
            </w:r>
          </w:p>
        </w:tc>
      </w:tr>
    </w:tbl>
    <w:p>
      <w:pPr>
        <w:spacing w:after="200" w:before="0"/>
      </w:pPr>
      <w:r>
        <w:t xml:space="preserve"/>
      </w:r>
    </w:p>
    <w:p>
      <w:pPr>
        <w:spacing w:after="0" w:before="0"/>
      </w:pPr>
      <w:r>
        <w:br w:type="page"/>
      </w:r>
    </w:p>
    <w:p>
      <w:pPr>
        <w:pStyle w:val="Heading1"/>
        <w:spacing w:after="160" w:before="400"/>
      </w:pPr>
      <w:r>
        <w:rPr>
          <w:rFonts w:ascii="Calibri" w:cs="Calibri" w:eastAsia="Calibri" w:hAnsi="Calibri"/>
          <w:b/>
          <w:bCs/>
        </w:rPr>
        <w:t xml:space="preserve">4. Configuración de la Knowledge Base</w:t>
      </w:r>
    </w:p>
    <w:p>
      <w:pPr>
        <w:spacing w:after="140" w:before="0"/>
      </w:pPr>
      <w:r>
        <w:rPr>
          <w:rFonts w:ascii="Calibri" w:cs="Calibri" w:eastAsia="Calibri" w:hAnsi="Calibri"/>
          <w:color w:val="3A3A3A"/>
          <w:sz w:val="22"/>
          <w:szCs w:val="22"/>
        </w:rPr>
        <w:t xml:space="preserve">La KB se llama </w:t>
      </w:r>
      <w:r>
        <w:rPr>
          <w:rFonts w:ascii="Courier New" w:cs="Courier New" w:eastAsia="Courier New" w:hAnsi="Courier New"/>
          <w:color w:val="3A3A3A"/>
          <w:sz w:val="20"/>
          <w:szCs w:val="20"/>
        </w:rPr>
        <w:t xml:space="preserve">kbmanualescorporativos</w:t>
      </w:r>
      <w:r>
        <w:rPr>
          <w:rFonts w:ascii="Calibri" w:cs="Calibri" w:eastAsia="Calibri" w:hAnsi="Calibri"/>
          <w:color w:val="3A3A3A"/>
          <w:sz w:val="22"/>
          <w:szCs w:val="22"/>
        </w:rPr>
        <w:t xml:space="preserve"> y centraliza las tres fuentes. Se configura en Azure AI Foundry IQ y tiene estos parámetros globales:</w:t>
      </w:r>
    </w:p>
    <w:p>
      <w:pPr>
        <w:spacing w:after="100" w:before="0"/>
      </w:pPr>
      <w:r>
        <w:t xml:space="preserve"/>
      </w:r>
    </w:p>
    <w:p>
      <w:pPr>
        <w:spacing w:after="60" w:before="120"/>
        <w:jc w:val="center"/>
      </w:pPr>
      <w:r>
        <w:drawing>
          <wp:inline distT="0" distB="0" distL="0" distR="0">
            <wp:extent cx="4572000" cy="4505325"/>
            <wp:effectExtent t="0" r="0" b="0" l="0"/>
            <wp:docPr id="1" name="Configuración general de la Knowledge Base" descr="Configuración general de la Knowledge Base" title="Configuración general de la Knowledg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4505325"/>
                    </a:xfrm>
                    <a:prstGeom prst="rect">
                      <a:avLst/>
                    </a:prstGeom>
                  </pic:spPr>
                </pic:pic>
              </a:graphicData>
            </a:graphic>
          </wp:inline>
        </w:drawing>
      </w:r>
    </w:p>
    <w:p>
      <w:pPr>
        <w:spacing w:after="200" w:before="0"/>
        <w:jc w:val="center"/>
      </w:pPr>
      <w:r>
        <w:rPr>
          <w:rFonts w:ascii="Calibri" w:cs="Calibri" w:eastAsia="Calibri" w:hAnsi="Calibri"/>
          <w:i/>
          <w:iCs/>
          <w:color w:val="767676"/>
          <w:sz w:val="18"/>
          <w:szCs w:val="18"/>
        </w:rPr>
        <w:t xml:space="preserve">Configuración general de la Knowledge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0D0D0" w:sz="1"/>
              <w:left w:val="single" w:color="D0D0D0" w:sz="1"/>
              <w:bottom w:val="single" w:color="D0D0D0" w:sz="1"/>
              <w:right w:val="single" w:color="D0D0D0" w:sz="1"/>
            </w:tcBorders>
            <w:shd w:fill="004578"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Parámetro</w:t>
            </w:r>
          </w:p>
        </w:tc>
        <w:tc>
          <w:tcPr>
            <w:tcW w:type="dxa" w:w="5826"/>
            <w:tcBorders>
              <w:top w:val="single" w:color="D0D0D0" w:sz="1"/>
              <w:left w:val="single" w:color="D0D0D0" w:sz="1"/>
              <w:bottom w:val="single" w:color="D0D0D0" w:sz="1"/>
              <w:right w:val="single" w:color="D0D0D0" w:sz="1"/>
            </w:tcBorders>
            <w:shd w:fill="004578"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Valor</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Chat completions model</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gpt-4o</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Retrieval reasoning effort</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Low</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Output mode</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Extractive data</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Retrieval instructions</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Identificar nombres propios, códigos PRJ-XXX y entidades con precisión absoluta</w:t>
            </w:r>
          </w:p>
        </w:tc>
      </w:tr>
    </w:tbl>
    <w:p>
      <w:pPr>
        <w:spacing w:after="240" w:before="0"/>
      </w:pPr>
      <w:r>
        <w:t xml:space="preserve"/>
      </w:r>
    </w:p>
    <w:p>
      <w:pPr>
        <w:pStyle w:val="Heading2"/>
        <w:spacing w:after="100" w:before="280"/>
      </w:pPr>
      <w:r>
        <w:rPr>
          <w:rFonts w:ascii="Calibri" w:cs="Calibri" w:eastAsia="Calibri" w:hAnsi="Calibri"/>
          <w:b/>
          <w:bCs/>
        </w:rPr>
        <w:t xml:space="preserve">4.1  Fuente 1 — Azure Blob Storage</w:t>
      </w:r>
    </w:p>
    <w:p>
      <w:pPr>
        <w:spacing w:after="140" w:before="0"/>
      </w:pPr>
      <w:r>
        <w:rPr>
          <w:rFonts w:ascii="Calibri" w:cs="Calibri" w:eastAsia="Calibri" w:hAnsi="Calibri"/>
          <w:color w:val="3A3A3A"/>
          <w:sz w:val="22"/>
          <w:szCs w:val="22"/>
        </w:rPr>
        <w:t xml:space="preserve">Es la fuente principal. Contiene los PDFs con manuales corporativos y el registro maestro de proyectos. El agente la consulta para preguntas sobre procedimientos internos, directores asignados, presupuestos o ubicaciones.</w:t>
      </w:r>
    </w:p>
    <w:p>
      <w:pPr>
        <w:spacing w:after="100" w:before="0"/>
      </w:pPr>
      <w:r>
        <w:t xml:space="preserve"/>
      </w:r>
    </w:p>
    <w:p>
      <w:pPr>
        <w:spacing w:after="60" w:before="120"/>
        <w:jc w:val="center"/>
      </w:pPr>
      <w:r>
        <w:drawing>
          <wp:inline distT="0" distB="0" distL="0" distR="0">
            <wp:extent cx="4000500" cy="4400550"/>
            <wp:effectExtent t="0" r="0" b="0" l="0"/>
            <wp:docPr id="1" name="Configuración de la fuente fuente-documentos-blob" descr="Configuración de la fuente fuente-documentos-blob" title="Configuración de la fuente fuente-documentos-bl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4400550"/>
                    </a:xfrm>
                    <a:prstGeom prst="rect">
                      <a:avLst/>
                    </a:prstGeom>
                  </pic:spPr>
                </pic:pic>
              </a:graphicData>
            </a:graphic>
          </wp:inline>
        </w:drawing>
      </w:r>
    </w:p>
    <w:p>
      <w:pPr>
        <w:spacing w:after="200" w:before="0"/>
        <w:jc w:val="center"/>
      </w:pPr>
      <w:r>
        <w:rPr>
          <w:rFonts w:ascii="Calibri" w:cs="Calibri" w:eastAsia="Calibri" w:hAnsi="Calibri"/>
          <w:i/>
          <w:iCs/>
          <w:color w:val="767676"/>
          <w:sz w:val="18"/>
          <w:szCs w:val="18"/>
        </w:rPr>
        <w:t xml:space="preserve">Configuración de la fuente fuente-documentos-blob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0D0D0" w:sz="1"/>
              <w:left w:val="single" w:color="D0D0D0" w:sz="1"/>
              <w:bottom w:val="single" w:color="D0D0D0" w:sz="1"/>
              <w:right w:val="single" w:color="D0D0D0" w:sz="1"/>
            </w:tcBorders>
            <w:shd w:fill="004578"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Parámetro</w:t>
            </w:r>
          </w:p>
        </w:tc>
        <w:tc>
          <w:tcPr>
            <w:tcW w:type="dxa" w:w="5826"/>
            <w:tcBorders>
              <w:top w:val="single" w:color="D0D0D0" w:sz="1"/>
              <w:left w:val="single" w:color="D0D0D0" w:sz="1"/>
              <w:bottom w:val="single" w:color="D0D0D0" w:sz="1"/>
              <w:right w:val="single" w:color="D0D0D0" w:sz="1"/>
            </w:tcBorders>
            <w:shd w:fill="004578"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Valor</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Nombre</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fuente-documentos-blob</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Container</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almacenamientodocuments</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Content extraction mode</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Standard</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Embedding model</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text-embedding-ada-002</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Chat completions model</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gpt-4o</w:t>
            </w:r>
          </w:p>
        </w:tc>
      </w:tr>
    </w:tbl>
    <w:p>
      <w:pPr>
        <w:spacing w:after="240" w:before="0"/>
      </w:pPr>
      <w:r>
        <w:t xml:space="preserve"/>
      </w:r>
    </w:p>
    <w:p>
      <w:pPr>
        <w:pStyle w:val="Heading2"/>
        <w:spacing w:after="100" w:before="280"/>
      </w:pPr>
      <w:r>
        <w:rPr>
          <w:rFonts w:ascii="Calibri" w:cs="Calibri" w:eastAsia="Calibri" w:hAnsi="Calibri"/>
          <w:b/>
          <w:bCs/>
        </w:rPr>
        <w:t xml:space="preserve">4.2  Fuente 2 — Web / Bing</w:t>
      </w:r>
    </w:p>
    <w:p>
      <w:pPr>
        <w:spacing w:after="140" w:before="0"/>
      </w:pPr>
      <w:r>
        <w:rPr>
          <w:rFonts w:ascii="Calibri" w:cs="Calibri" w:eastAsia="Calibri" w:hAnsi="Calibri"/>
          <w:color w:val="3A3A3A"/>
          <w:sz w:val="22"/>
          <w:szCs w:val="22"/>
        </w:rPr>
        <w:t xml:space="preserve">Fuente de búsqueda web en tiempo real. El agente la usa solo cuando la información pedida no está en los documentos corporativos y necesita contexto externo.</w:t>
      </w:r>
    </w:p>
    <w:p>
      <w:pPr>
        <w:spacing w:after="100" w:before="0"/>
      </w:pPr>
      <w:r>
        <w:t xml:space="preserve"/>
      </w:r>
    </w:p>
    <w:p>
      <w:pPr>
        <w:spacing w:after="60" w:before="120"/>
        <w:jc w:val="center"/>
      </w:pPr>
      <w:r>
        <w:drawing>
          <wp:inline distT="0" distB="0" distL="0" distR="0">
            <wp:extent cx="4000500" cy="3895725"/>
            <wp:effectExtent t="0" r="0" b="0" l="0"/>
            <wp:docPr id="1" name="Configuración de la fuente kbinternetbing" descr="Configuración de la fuente kbinternetbing" title="Configuración de la fuente kbinternetb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3895725"/>
                    </a:xfrm>
                    <a:prstGeom prst="rect">
                      <a:avLst/>
                    </a:prstGeom>
                  </pic:spPr>
                </pic:pic>
              </a:graphicData>
            </a:graphic>
          </wp:inline>
        </w:drawing>
      </w:r>
    </w:p>
    <w:p>
      <w:pPr>
        <w:spacing w:after="200" w:before="0"/>
        <w:jc w:val="center"/>
      </w:pPr>
      <w:r>
        <w:rPr>
          <w:rFonts w:ascii="Calibri" w:cs="Calibri" w:eastAsia="Calibri" w:hAnsi="Calibri"/>
          <w:i/>
          <w:iCs/>
          <w:color w:val="767676"/>
          <w:sz w:val="18"/>
          <w:szCs w:val="18"/>
        </w:rPr>
        <w:t xml:space="preserve">Configuración de la fuente kbinternetbing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3B01" w:sz="6"/>
              <w:left w:val="single" w:color="D83B01" w:sz="20"/>
              <w:bottom w:val="single" w:color="D83B01" w:sz="6"/>
              <w:right w:val="single" w:color="D83B01" w:sz="6"/>
            </w:tcBorders>
            <w:shd w:fill="FFF4CE" w:val="clear"/>
            <w:tcMar>
              <w:top w:type="dxa" w:w="120"/>
              <w:left w:type="dxa" w:w="200"/>
              <w:bottom w:type="dxa" w:w="120"/>
              <w:right w:type="dxa" w:w="200"/>
            </w:tcMar>
          </w:tcPr>
          <w:p>
            <w:pPr>
              <w:spacing w:after="60" w:before="0"/>
            </w:pPr>
            <w:r>
              <w:rPr>
                <w:rFonts w:ascii="Calibri" w:cs="Calibri" w:eastAsia="Calibri" w:hAnsi="Calibri"/>
                <w:b/>
                <w:bCs/>
                <w:color w:val="D83B01"/>
                <w:sz w:val="21"/>
                <w:szCs w:val="21"/>
              </w:rPr>
              <w:t xml:space="preserve">⚠  Atención: los datos salen de Azure</w:t>
            </w:r>
          </w:p>
          <w:p>
            <w:pPr>
              <w:spacing w:after="0" w:before="0"/>
            </w:pPr>
            <w:r>
              <w:rPr>
                <w:rFonts w:ascii="Calibri" w:cs="Calibri" w:eastAsia="Calibri" w:hAnsi="Calibri"/>
                <w:color w:val="3A3A3A"/>
                <w:sz w:val="21"/>
                <w:szCs w:val="21"/>
              </w:rPr>
              <w:t xml:space="preserve">Al usar esta fuente, los datos del usuario se envían a Bing y quedan fuera del boundary de compliance de Azure. No es compatible con entornos GCC ni con ciertas regulaciones sectoriales. Revisar los términos antes de activarla en producción.</w:t>
            </w:r>
          </w:p>
        </w:tc>
      </w:tr>
    </w:tbl>
    <w:p>
      <w:pPr>
        <w:spacing w:after="240" w:before="0"/>
      </w:pPr>
      <w:r>
        <w:t xml:space="preserve"/>
      </w:r>
    </w:p>
    <w:p>
      <w:pPr>
        <w:pStyle w:val="Heading2"/>
        <w:spacing w:after="100" w:before="280"/>
      </w:pPr>
      <w:r>
        <w:rPr>
          <w:rFonts w:ascii="Calibri" w:cs="Calibri" w:eastAsia="Calibri" w:hAnsi="Calibri"/>
          <w:b/>
          <w:bCs/>
        </w:rPr>
        <w:t xml:space="preserve">4.3  Fuente 3 — Azure AI Search Index</w:t>
      </w:r>
    </w:p>
    <w:p>
      <w:pPr>
        <w:spacing w:after="140" w:before="0"/>
      </w:pPr>
      <w:r>
        <w:rPr>
          <w:rFonts w:ascii="Calibri" w:cs="Calibri" w:eastAsia="Calibri" w:hAnsi="Calibri"/>
          <w:color w:val="3A3A3A"/>
          <w:sz w:val="22"/>
          <w:szCs w:val="22"/>
        </w:rPr>
        <w:t xml:space="preserve">Índice semántico construido sobre los mismos documentos del Blob. Complementa la recuperación directa con capacidad de ranking semántico, lo que mejora la precisión en búsquedas de entidades y nombres.</w:t>
      </w:r>
    </w:p>
    <w:p>
      <w:pPr>
        <w:spacing w:after="100" w:before="0"/>
      </w:pPr>
      <w:r>
        <w:t xml:space="preserve"/>
      </w:r>
    </w:p>
    <w:p>
      <w:pPr>
        <w:spacing w:after="60" w:before="120"/>
        <w:jc w:val="center"/>
      </w:pPr>
      <w:r>
        <w:drawing>
          <wp:inline distT="0" distB="0" distL="0" distR="0">
            <wp:extent cx="4000500" cy="3152775"/>
            <wp:effectExtent t="0" r="0" b="0" l="0"/>
            <wp:docPr id="1" name="Configuración de la fuente kbsearchindex" descr="Configuración de la fuente kbsearchindex" title="Configuración de la fuente kbsearch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3152775"/>
                    </a:xfrm>
                    <a:prstGeom prst="rect">
                      <a:avLst/>
                    </a:prstGeom>
                  </pic:spPr>
                </pic:pic>
              </a:graphicData>
            </a:graphic>
          </wp:inline>
        </w:drawing>
      </w:r>
    </w:p>
    <w:p>
      <w:pPr>
        <w:spacing w:after="200" w:before="0"/>
        <w:jc w:val="center"/>
      </w:pPr>
      <w:r>
        <w:rPr>
          <w:rFonts w:ascii="Calibri" w:cs="Calibri" w:eastAsia="Calibri" w:hAnsi="Calibri"/>
          <w:i/>
          <w:iCs/>
          <w:color w:val="767676"/>
          <w:sz w:val="18"/>
          <w:szCs w:val="18"/>
        </w:rPr>
        <w:t xml:space="preserve">Configuración de la fuente kbsearchindex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D0D0D0" w:sz="1"/>
              <w:left w:val="single" w:color="D0D0D0" w:sz="1"/>
              <w:bottom w:val="single" w:color="D0D0D0" w:sz="1"/>
              <w:right w:val="single" w:color="D0D0D0" w:sz="1"/>
            </w:tcBorders>
            <w:shd w:fill="004578"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Parámetro</w:t>
            </w:r>
          </w:p>
        </w:tc>
        <w:tc>
          <w:tcPr>
            <w:tcW w:type="dxa" w:w="5826"/>
            <w:tcBorders>
              <w:top w:val="single" w:color="D0D0D0" w:sz="1"/>
              <w:left w:val="single" w:color="D0D0D0" w:sz="1"/>
              <w:bottom w:val="single" w:color="D0D0D0" w:sz="1"/>
              <w:right w:val="single" w:color="D0D0D0" w:sz="1"/>
            </w:tcBorders>
            <w:shd w:fill="004578" w:val="clear"/>
            <w:tcMar>
              <w:top w:type="dxa" w:w="100"/>
              <w:left w:type="dxa" w:w="140"/>
              <w:bottom w:type="dxa" w:w="100"/>
              <w:right w:type="dxa" w:w="140"/>
            </w:tcMar>
          </w:tcPr>
          <w:p>
            <w:pPr>
              <w:spacing w:after="0" w:before="0"/>
            </w:pPr>
            <w:r>
              <w:rPr>
                <w:rFonts w:ascii="Calibri" w:cs="Calibri" w:eastAsia="Calibri" w:hAnsi="Calibri"/>
                <w:b/>
                <w:bCs/>
                <w:color w:val="FFFFFF"/>
                <w:sz w:val="20"/>
                <w:szCs w:val="20"/>
              </w:rPr>
              <w:t xml:space="preserve">Valor</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Nombre</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kbsearchindex</w:t>
            </w:r>
          </w:p>
        </w:tc>
      </w:tr>
      <w:tr>
        <w:tc>
          <w:tcPr>
            <w:tcW w:type="dxa" w:w="3200"/>
            <w:tcBorders>
              <w:top w:val="single" w:color="D0D0D0" w:sz="1"/>
              <w:left w:val="single" w:color="D0D0D0" w:sz="1"/>
              <w:bottom w:val="single" w:color="D0D0D0" w:sz="1"/>
              <w:right w:val="single" w:color="D0D0D0" w:sz="1"/>
            </w:tcBorders>
            <w:shd w:fill="F5F5F5" w:val="clear"/>
            <w:tcMar>
              <w:top w:type="dxa" w:w="100"/>
              <w:left w:type="dxa" w:w="140"/>
              <w:bottom w:type="dxa" w:w="100"/>
              <w:right w:type="dxa" w:w="140"/>
            </w:tcMar>
          </w:tcPr>
          <w:p>
            <w:pPr>
              <w:spacing w:after="0" w:before="0"/>
            </w:pPr>
            <w:r>
              <w:rPr>
                <w:rFonts w:ascii="Calibri" w:cs="Calibri" w:eastAsia="Calibri" w:hAnsi="Calibri"/>
                <w:b/>
                <w:bCs/>
                <w:color w:val="3A3A3A"/>
                <w:sz w:val="21"/>
                <w:szCs w:val="21"/>
              </w:rPr>
              <w:t xml:space="preserve">Search index</w:t>
            </w:r>
          </w:p>
        </w:tc>
        <w:tc>
          <w:tcPr>
            <w:tcW w:type="dxa" w:w="58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color w:val="3A3A3A"/>
                <w:sz w:val="21"/>
                <w:szCs w:val="21"/>
              </w:rPr>
              <w:t xml:space="preserve">fuente-documentos-blob-index</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78D4" w:sz="6"/>
              <w:left w:val="single" w:color="0078D4" w:sz="20"/>
              <w:bottom w:val="single" w:color="0078D4" w:sz="6"/>
              <w:right w:val="single" w:color="0078D4" w:sz="6"/>
            </w:tcBorders>
            <w:shd w:fill="EFF6FC" w:val="clear"/>
            <w:tcMar>
              <w:top w:type="dxa" w:w="120"/>
              <w:left w:type="dxa" w:w="200"/>
              <w:bottom w:type="dxa" w:w="120"/>
              <w:right w:type="dxa" w:w="200"/>
            </w:tcMar>
          </w:tcPr>
          <w:p>
            <w:pPr>
              <w:spacing w:after="60" w:before="0"/>
            </w:pPr>
            <w:r>
              <w:rPr>
                <w:rFonts w:ascii="Calibri" w:cs="Calibri" w:eastAsia="Calibri" w:hAnsi="Calibri"/>
                <w:b/>
                <w:bCs/>
                <w:color w:val="0078D4"/>
                <w:sz w:val="21"/>
                <w:szCs w:val="21"/>
              </w:rPr>
              <w:t xml:space="preserve">ℹ  Requisito: configuración semántica activa</w:t>
            </w:r>
          </w:p>
          <w:p>
            <w:pPr>
              <w:spacing w:after="0" w:before="0"/>
            </w:pPr>
            <w:r>
              <w:rPr>
                <w:rFonts w:ascii="Calibri" w:cs="Calibri" w:eastAsia="Calibri" w:hAnsi="Calibri"/>
                <w:color w:val="3A3A3A"/>
                <w:sz w:val="21"/>
                <w:szCs w:val="21"/>
              </w:rPr>
              <w:t xml:space="preserve">El índice de Azure AI Search debe tener activada la configuración semántica. Sin ella, Foundry IQ no lo reconoce como fuente válida y el guardado falla sin mostrar un mensaje de error claro.</w:t>
            </w:r>
          </w:p>
        </w:tc>
      </w:tr>
    </w:tbl>
    <w:p>
      <w:pPr>
        <w:spacing w:after="200" w:before="0"/>
      </w:pPr>
      <w:r>
        <w:t xml:space="preserve"/>
      </w:r>
    </w:p>
    <w:p>
      <w:pPr>
        <w:spacing w:after="0" w:before="0"/>
      </w:pPr>
      <w:r>
        <w:br w:type="page"/>
      </w:r>
    </w:p>
    <w:p>
      <w:pPr>
        <w:pStyle w:val="Heading1"/>
        <w:spacing w:after="160" w:before="400"/>
      </w:pPr>
      <w:r>
        <w:rPr>
          <w:rFonts w:ascii="Calibri" w:cs="Calibri" w:eastAsia="Calibri" w:hAnsi="Calibri"/>
          <w:b/>
          <w:bCs/>
        </w:rPr>
        <w:t xml:space="preserve">5. El agente y el system message</w:t>
      </w:r>
    </w:p>
    <w:p>
      <w:pPr>
        <w:spacing w:after="140" w:before="0"/>
      </w:pPr>
      <w:r>
        <w:rPr>
          <w:rFonts w:ascii="Calibri" w:cs="Calibri" w:eastAsia="Calibri" w:hAnsi="Calibri"/>
          <w:color w:val="3A3A3A"/>
          <w:sz w:val="22"/>
          <w:szCs w:val="22"/>
        </w:rPr>
        <w:t xml:space="preserve">El agente </w:t>
      </w:r>
      <w:r>
        <w:rPr>
          <w:rFonts w:ascii="Calibri" w:cs="Calibri" w:eastAsia="Calibri" w:hAnsi="Calibri"/>
          <w:b/>
          <w:bCs/>
          <w:color w:val="3A3A3A"/>
          <w:sz w:val="22"/>
          <w:szCs w:val="22"/>
        </w:rPr>
        <w:t xml:space="preserve">agentekb9</w:t>
      </w:r>
      <w:r>
        <w:rPr>
          <w:rFonts w:ascii="Calibri" w:cs="Calibri" w:eastAsia="Calibri" w:hAnsi="Calibri"/>
          <w:color w:val="3A3A3A"/>
          <w:sz w:val="22"/>
          <w:szCs w:val="22"/>
        </w:rPr>
        <w:t xml:space="preserve"> se configura en el Playground de Foundry. Tiene el modelo </w:t>
      </w:r>
      <w:r>
        <w:rPr>
          <w:rFonts w:ascii="Courier New" w:cs="Courier New" w:eastAsia="Courier New" w:hAnsi="Courier New"/>
          <w:color w:val="3A3A3A"/>
          <w:sz w:val="20"/>
          <w:szCs w:val="20"/>
        </w:rPr>
        <w:t xml:space="preserve">gpt-4o</w:t>
      </w:r>
      <w:r>
        <w:rPr>
          <w:rFonts w:ascii="Calibri" w:cs="Calibri" w:eastAsia="Calibri" w:hAnsi="Calibri"/>
          <w:color w:val="3A3A3A"/>
          <w:sz w:val="22"/>
          <w:szCs w:val="22"/>
        </w:rPr>
        <w:t xml:space="preserve"> y las tres herramientas conectadas: la KB, la búsqueda web y mcp_list_tools.</w:t>
      </w:r>
    </w:p>
    <w:p>
      <w:pPr>
        <w:spacing w:after="100" w:before="0"/>
      </w:pPr>
      <w:r>
        <w:t xml:space="preserve"/>
      </w:r>
    </w:p>
    <w:p>
      <w:pPr>
        <w:spacing w:after="60" w:before="120"/>
        <w:jc w:val="center"/>
      </w:pPr>
      <w:r>
        <w:drawing>
          <wp:inline distT="0" distB="0" distL="0" distR="0">
            <wp:extent cx="5524500" cy="2209800"/>
            <wp:effectExtent t="0" r="0" b="0" l="0"/>
            <wp:docPr id="1" name="Vista del agente agentekb9 en el Playground de Foundry" descr="Vista del agente agentekb9 en el Playground de Foundry" title="Vista del agente agentekb9 en el Playground de Found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2209800"/>
                    </a:xfrm>
                    <a:prstGeom prst="rect">
                      <a:avLst/>
                    </a:prstGeom>
                  </pic:spPr>
                </pic:pic>
              </a:graphicData>
            </a:graphic>
          </wp:inline>
        </w:drawing>
      </w:r>
    </w:p>
    <w:p>
      <w:pPr>
        <w:spacing w:after="200" w:before="0"/>
        <w:jc w:val="center"/>
      </w:pPr>
      <w:r>
        <w:rPr>
          <w:rFonts w:ascii="Calibri" w:cs="Calibri" w:eastAsia="Calibri" w:hAnsi="Calibri"/>
          <w:i/>
          <w:iCs/>
          <w:color w:val="767676"/>
          <w:sz w:val="18"/>
          <w:szCs w:val="18"/>
        </w:rPr>
        <w:t xml:space="preserve">Vista del agente agentekb9 en el Playground de Foundry</w:t>
      </w:r>
    </w:p>
    <w:p>
      <w:pPr>
        <w:spacing w:after="120" w:before="0"/>
      </w:pPr>
      <w:r>
        <w:t xml:space="preserve"/>
      </w:r>
    </w:p>
    <w:p>
      <w:pPr>
        <w:pStyle w:val="Heading2"/>
        <w:spacing w:after="100" w:before="280"/>
      </w:pPr>
      <w:r>
        <w:rPr>
          <w:rFonts w:ascii="Calibri" w:cs="Calibri" w:eastAsia="Calibri" w:hAnsi="Calibri"/>
          <w:b/>
          <w:bCs/>
        </w:rPr>
        <w:t xml:space="preserve">El problema: el agente ignoraba la KB</w:t>
      </w:r>
    </w:p>
    <w:p>
      <w:pPr>
        <w:spacing w:after="140" w:before="0"/>
      </w:pPr>
      <w:r>
        <w:rPr>
          <w:rFonts w:ascii="Calibri" w:cs="Calibri" w:eastAsia="Calibri" w:hAnsi="Calibri"/>
          <w:color w:val="3A3A3A"/>
          <w:sz w:val="22"/>
          <w:szCs w:val="22"/>
        </w:rPr>
        <w:t xml:space="preserve">Al hacer la primera prueba, el agente respondió con un mensaje de rechazo </w:t>
      </w:r>
      <w:r>
        <w:rPr>
          <w:rFonts w:ascii="Calibri" w:cs="Calibri" w:eastAsia="Calibri" w:hAnsi="Calibri"/>
          <w:b/>
          <w:bCs/>
          <w:color w:val="3A3A3A"/>
          <w:sz w:val="22"/>
          <w:szCs w:val="22"/>
        </w:rPr>
        <w:t xml:space="preserve">sin consultar ninguna fuente</w:t>
      </w:r>
      <w:r>
        <w:rPr>
          <w:rFonts w:ascii="Calibri" w:cs="Calibri" w:eastAsia="Calibri" w:hAnsi="Calibri"/>
          <w:color w:val="3A3A3A"/>
          <w:sz w:val="22"/>
          <w:szCs w:val="22"/>
        </w:rPr>
        <w:t xml:space="preserve">. Devolvía directamente una celda JSON como esta:</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D83B01" w:sz="16"/>
              <w:bottom w:val="single" w:color="D0D0D0" w:sz="4"/>
              <w:right w:val="single" w:color="D0D0D0" w:sz="4"/>
            </w:tcBorders>
            <w:shd w:fill="FDF6F6" w:val="clear"/>
            <w:tcMar>
              <w:top w:type="dxa" w:w="120"/>
              <w:left w:type="dxa" w:w="200"/>
              <w:bottom w:type="dxa" w:w="120"/>
              <w:right w:type="dxa" w:w="200"/>
            </w:tcMar>
          </w:tcPr>
          <w:p>
            <w:pPr>
              <w:spacing w:after="0" w:before="0"/>
            </w:pPr>
            <w:r>
              <w:rPr>
                <w:rFonts w:ascii="Courier New" w:cs="Courier New" w:eastAsia="Courier New" w:hAnsi="Courier New"/>
                <w:color w:val="D83B01"/>
                <w:sz w:val="19"/>
                <w:szCs w:val="19"/>
              </w:rPr>
              <w:t xml:space="preserve">{ "respuesta": "Lo siento, solo puedo proporcionar información</w:t>
            </w:r>
          </w:p>
          <w:p>
            <w:pPr>
              <w:spacing w:after="0" w:before="0"/>
            </w:pPr>
            <w:r>
              <w:rPr>
                <w:rFonts w:ascii="Courier New" w:cs="Courier New" w:eastAsia="Courier New" w:hAnsi="Courier New"/>
                <w:color w:val="D83B01"/>
                <w:sz w:val="19"/>
                <w:szCs w:val="19"/>
              </w:rPr>
              <w:t xml:space="preserve">  relacionada con documentación y manuales corporativos..." }</w:t>
            </w:r>
          </w:p>
        </w:tc>
      </w:tr>
    </w:tbl>
    <w:p>
      <w:pPr>
        <w:spacing w:after="120" w:before="0"/>
      </w:pPr>
      <w:r>
        <w:t xml:space="preserve"/>
      </w:r>
    </w:p>
    <w:p>
      <w:pPr>
        <w:spacing w:after="140" w:before="0"/>
      </w:pPr>
      <w:r>
        <w:rPr>
          <w:rFonts w:ascii="Calibri" w:cs="Calibri" w:eastAsia="Calibri" w:hAnsi="Calibri"/>
          <w:color w:val="3A3A3A"/>
          <w:sz w:val="22"/>
          <w:szCs w:val="22"/>
        </w:rPr>
        <w:t xml:space="preserve">La causa: el modelo no tenía instrucciones de cuándo usar la KB. Sin un </w:t>
      </w:r>
      <w:r>
        <w:rPr>
          <w:rFonts w:ascii="Calibri" w:cs="Calibri" w:eastAsia="Calibri" w:hAnsi="Calibri"/>
          <w:b/>
          <w:bCs/>
          <w:color w:val="3A3A3A"/>
          <w:sz w:val="22"/>
          <w:szCs w:val="22"/>
        </w:rPr>
        <w:t xml:space="preserve">system message</w:t>
      </w:r>
      <w:r>
        <w:rPr>
          <w:rFonts w:ascii="Calibri" w:cs="Calibri" w:eastAsia="Calibri" w:hAnsi="Calibri"/>
          <w:color w:val="3A3A3A"/>
          <w:sz w:val="22"/>
          <w:szCs w:val="22"/>
        </w:rPr>
        <w:t xml:space="preserve"> bien definido, el modelo responde desde su entrenamiento base y puede rechazar preguntas legítimas sin consultar ninguna fuente.</w:t>
      </w:r>
    </w:p>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78D4" w:sz="6"/>
              <w:left w:val="single" w:color="0078D4" w:sz="20"/>
              <w:bottom w:val="single" w:color="0078D4" w:sz="6"/>
              <w:right w:val="single" w:color="0078D4" w:sz="6"/>
            </w:tcBorders>
            <w:shd w:fill="EFF6FC" w:val="clear"/>
            <w:tcMar>
              <w:top w:type="dxa" w:w="120"/>
              <w:left w:type="dxa" w:w="200"/>
              <w:bottom w:type="dxa" w:w="120"/>
              <w:right w:type="dxa" w:w="200"/>
            </w:tcMar>
          </w:tcPr>
          <w:p>
            <w:pPr>
              <w:spacing w:after="60" w:before="0"/>
            </w:pPr>
            <w:r>
              <w:rPr>
                <w:rFonts w:ascii="Calibri" w:cs="Calibri" w:eastAsia="Calibri" w:hAnsi="Calibri"/>
                <w:b/>
                <w:bCs/>
                <w:color w:val="0078D4"/>
                <w:sz w:val="21"/>
                <w:szCs w:val="21"/>
              </w:rPr>
              <w:t xml:space="preserve">ℹ  Foundry IQ no activa la KB automáticamente</w:t>
            </w:r>
          </w:p>
          <w:p>
            <w:pPr>
              <w:spacing w:after="0" w:before="0"/>
            </w:pPr>
            <w:r>
              <w:rPr>
                <w:rFonts w:ascii="Calibri" w:cs="Calibri" w:eastAsia="Calibri" w:hAnsi="Calibri"/>
                <w:color w:val="3A3A3A"/>
                <w:sz w:val="21"/>
                <w:szCs w:val="21"/>
              </w:rPr>
              <w:t xml:space="preserve">El system message debe indicar explícitamente que el agente debe consultar las fuentes disponibles. Sin esa instrucción, las fuentes configuradas son ignoradas por completo.</w:t>
            </w:r>
          </w:p>
        </w:tc>
      </w:tr>
    </w:tbl>
    <w:p>
      <w:pPr>
        <w:spacing w:after="160" w:before="0"/>
      </w:pPr>
      <w:r>
        <w:t xml:space="preserve"/>
      </w:r>
    </w:p>
    <w:p>
      <w:pPr>
        <w:pStyle w:val="Heading2"/>
        <w:spacing w:after="100" w:before="280"/>
      </w:pPr>
      <w:r>
        <w:rPr>
          <w:rFonts w:ascii="Calibri" w:cs="Calibri" w:eastAsia="Calibri" w:hAnsi="Calibri"/>
          <w:b/>
          <w:bCs/>
        </w:rPr>
        <w:t xml:space="preserve">La solución: ajustar el system message</w:t>
      </w:r>
    </w:p>
    <w:p>
      <w:pPr>
        <w:spacing w:after="140" w:before="0"/>
      </w:pPr>
      <w:r>
        <w:rPr>
          <w:rFonts w:ascii="Calibri" w:cs="Calibri" w:eastAsia="Calibri" w:hAnsi="Calibri"/>
          <w:color w:val="3A3A3A"/>
          <w:sz w:val="22"/>
          <w:szCs w:val="22"/>
        </w:rPr>
        <w:t xml:space="preserve">Tras actualizar el system message para definir el rol del agente (asistente corporativo que consulta la KB de Foundry), la respuesta cambió completamente: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D0D0" w:sz="4"/>
              <w:left w:val="single" w:color="107C10" w:sz="16"/>
              <w:bottom w:val="single" w:color="D0D0D0" w:sz="4"/>
              <w:right w:val="single" w:color="D0D0D0" w:sz="4"/>
            </w:tcBorders>
            <w:shd w:fill="F2FBF2" w:val="clear"/>
            <w:tcMar>
              <w:top w:type="dxa" w:w="140"/>
              <w:left w:type="dxa" w:w="200"/>
              <w:bottom w:type="dxa" w:w="140"/>
              <w:right w:type="dxa" w:w="200"/>
            </w:tcMar>
          </w:tcPr>
          <w:p>
            <w:pPr>
              <w:spacing w:after="0" w:before="0"/>
            </w:pPr>
            <w:r>
              <w:rPr>
                <w:rFonts w:ascii="Calibri" w:cs="Calibri" w:eastAsia="Calibri" w:hAnsi="Calibri"/>
                <w:color w:val="3A3A3A"/>
                <w:sz w:val="21"/>
                <w:szCs w:val="21"/>
              </w:rPr>
              <w:t xml:space="preserve">El Registro Maestro de Proyectos y Directores Técnicos es una</w:t>
            </w:r>
          </w:p>
          <w:p>
            <w:pPr>
              <w:spacing w:after="80" w:before="0"/>
            </w:pPr>
            <w:r>
              <w:rPr>
                <w:rFonts w:ascii="Calibri" w:cs="Calibri" w:eastAsia="Calibri" w:hAnsi="Calibri"/>
                <w:color w:val="3A3A3A"/>
                <w:sz w:val="21"/>
                <w:szCs w:val="21"/>
              </w:rPr>
              <w:t xml:space="preserve">fuente única de verdad para la gestión interna de la corporación.</w:t>
            </w:r>
          </w:p>
          <w:p>
            <w:pPr>
              <w:spacing w:after="0" w:before="0"/>
            </w:pPr>
            <w:r>
              <w:rPr>
                <w:rFonts w:ascii="Calibri" w:cs="Calibri" w:eastAsia="Calibri" w:hAnsi="Calibri"/>
                <w:color w:val="004578"/>
                <w:sz w:val="21"/>
                <w:szCs w:val="21"/>
              </w:rPr>
              <w:t xml:space="preserve">• Proyecto Kripton — Alejandro Benítez Berna (PRJ-KR-2026) — 450.000 €</w:t>
            </w:r>
          </w:p>
          <w:p>
            <w:pPr>
              <w:spacing w:after="0" w:before="0"/>
            </w:pPr>
            <w:r>
              <w:rPr>
                <w:rFonts w:ascii="Calibri" w:cs="Calibri" w:eastAsia="Calibri" w:hAnsi="Calibri"/>
                <w:color w:val="004578"/>
                <w:sz w:val="21"/>
                <w:szCs w:val="21"/>
              </w:rPr>
              <w:t xml:space="preserve">• Proyecto Nexo Global — María del Pilar de la Rosa (PRJ-NX-992A) — 1.200.000 €</w:t>
            </w:r>
          </w:p>
          <w:p>
            <w:pPr>
              <w:spacing w:after="80" w:before="0"/>
            </w:pPr>
            <w:r>
              <w:rPr>
                <w:rFonts w:ascii="Calibri" w:cs="Calibri" w:eastAsia="Calibri" w:hAnsi="Calibri"/>
                <w:color w:val="004578"/>
                <w:sz w:val="21"/>
                <w:szCs w:val="21"/>
              </w:rPr>
              <w:t xml:space="preserve">• Operación Mistral — Helena Rostova-Vasilieva (PRJ-OM-443C) — 640.000 €</w:t>
            </w:r>
          </w:p>
          <w:p>
            <w:pPr>
              <w:spacing w:after="0" w:before="0"/>
            </w:pPr>
            <w:r>
              <w:rPr>
                <w:rFonts w:ascii="Calibri" w:cs="Calibri" w:eastAsia="Calibri" w:hAnsi="Calibri"/>
                <w:i/>
                <w:iCs/>
                <w:color w:val="767676"/>
                <w:sz w:val="18"/>
                <w:szCs w:val="18"/>
              </w:rPr>
              <w:t xml:space="preserve">[Fuente: manual_procedimientos_y_entidades_corporativas.pdf]</w:t>
            </w:r>
          </w:p>
        </w:tc>
      </w:tr>
    </w:tbl>
    <w:p>
      <w:pPr>
        <w:spacing w:after="200" w:before="0"/>
      </w:pPr>
      <w:r>
        <w:t xml:space="preserve"/>
      </w:r>
    </w:p>
    <w:p>
      <w:pPr>
        <w:spacing w:after="0" w:before="0"/>
      </w:pPr>
      <w:r>
        <w:br w:type="page"/>
      </w:r>
    </w:p>
    <w:p>
      <w:pPr>
        <w:pStyle w:val="Heading1"/>
        <w:spacing w:after="160" w:before="400"/>
      </w:pPr>
      <w:r>
        <w:rPr>
          <w:rFonts w:ascii="Calibri" w:cs="Calibri" w:eastAsia="Calibri" w:hAnsi="Calibri"/>
          <w:b/>
          <w:bCs/>
        </w:rPr>
        <w:t xml:space="preserve">6. Análisis de vulnerabilidades del agente</w:t>
      </w:r>
    </w:p>
    <w:p>
      <w:pPr>
        <w:spacing w:after="140" w:before="0"/>
      </w:pPr>
      <w:r>
        <w:rPr>
          <w:rFonts w:ascii="Calibri" w:cs="Calibri" w:eastAsia="Calibri" w:hAnsi="Calibri"/>
          <w:color w:val="3A3A3A"/>
          <w:sz w:val="22"/>
          <w:szCs w:val="22"/>
        </w:rPr>
        <w:t xml:space="preserve">Durante las pruebas se identificaron tres comportamientos del agente que representan </w:t>
      </w:r>
      <w:r>
        <w:rPr>
          <w:rFonts w:ascii="Calibri" w:cs="Calibri" w:eastAsia="Calibri" w:hAnsi="Calibri"/>
          <w:b/>
          <w:bCs/>
          <w:color w:val="3A3A3A"/>
          <w:sz w:val="22"/>
          <w:szCs w:val="22"/>
        </w:rPr>
        <w:t xml:space="preserve">vulnerabilidades de seguridad o de diseño</w:t>
      </w:r>
      <w:r>
        <w:rPr>
          <w:rFonts w:ascii="Calibri" w:cs="Calibri" w:eastAsia="Calibri" w:hAnsi="Calibri"/>
          <w:color w:val="3A3A3A"/>
          <w:sz w:val="22"/>
          <w:szCs w:val="22"/>
        </w:rPr>
        <w:t xml:space="preserve"> relevantes en un entorno corporativo real. Se documentan a continuación con capturas del comportamiento observado.</w:t>
      </w:r>
    </w:p>
    <w:p>
      <w:pPr>
        <w:spacing w:after="120" w:before="0"/>
      </w:pPr>
      <w:r>
        <w:t xml:space="preserve"/>
      </w:r>
    </w:p>
    <w:p>
      <w:pPr>
        <w:pStyle w:val="Heading2"/>
        <w:spacing w:after="100" w:before="280"/>
      </w:pPr>
      <w:r>
        <w:rPr>
          <w:rFonts w:ascii="Calibri" w:cs="Calibri" w:eastAsia="Calibri" w:hAnsi="Calibri"/>
          <w:b/>
          <w:bCs/>
        </w:rPr>
        <w:t xml:space="preserve">V1 — Respuesta a emergencias médicas fuera del scope</w:t>
      </w:r>
    </w:p>
    <w:p>
      <w:pPr>
        <w:spacing w:after="140" w:before="0"/>
      </w:pPr>
      <w:r>
        <w:rPr>
          <w:rFonts w:ascii="Calibri" w:cs="Calibri" w:eastAsia="Calibri" w:hAnsi="Calibri"/>
          <w:color w:val="3A3A3A"/>
          <w:sz w:val="22"/>
          <w:szCs w:val="22"/>
        </w:rPr>
        <w:t xml:space="preserve">Al recibir un mensaje de contenido personal y urgente sin relación con la KB corporativa, el agente respondió con detalle sobre cómo actuar ante un infarto y proporcionó el número de emergencias 112. </w:t>
      </w:r>
    </w:p>
    <w:p>
      <w:pPr>
        <w:spacing w:after="140" w:before="0"/>
      </w:pPr>
      <w:r>
        <w:rPr>
          <w:rFonts w:ascii="Calibri" w:cs="Calibri" w:eastAsia="Calibri" w:hAnsi="Calibri"/>
          <w:color w:val="3A3A3A"/>
          <w:sz w:val="22"/>
          <w:szCs w:val="22"/>
        </w:rPr>
        <w:t xml:space="preserve">El agente </w:t>
      </w:r>
      <w:r>
        <w:rPr>
          <w:rFonts w:ascii="Calibri" w:cs="Calibri" w:eastAsia="Calibri" w:hAnsi="Calibri"/>
          <w:b/>
          <w:bCs/>
          <w:color w:val="3A3A3A"/>
          <w:sz w:val="22"/>
          <w:szCs w:val="22"/>
        </w:rPr>
        <w:t xml:space="preserve">no rechazó la pregunta ni la redirigió</w:t>
      </w:r>
      <w:r>
        <w:rPr>
          <w:rFonts w:ascii="Calibri" w:cs="Calibri" w:eastAsia="Calibri" w:hAnsi="Calibri"/>
          <w:color w:val="3A3A3A"/>
          <w:sz w:val="22"/>
          <w:szCs w:val="22"/>
        </w:rPr>
        <w:t xml:space="preserve"> al scope corporativo definido en el system message. Esto evidencia que el modelo base de gpt-4o sobreescribe el comportamiento restringido del agente cuando detecta una situación de emergencia percibida.</w:t>
      </w:r>
    </w:p>
    <w:p>
      <w:pPr>
        <w:spacing w:after="80" w:before="0"/>
      </w:pPr>
      <w:r>
        <w:t xml:space="preserve"/>
      </w:r>
    </w:p>
    <w:p>
      <w:pPr>
        <w:spacing w:after="60" w:before="120"/>
        <w:jc w:val="center"/>
      </w:pPr>
      <w:r>
        <w:drawing>
          <wp:inline distT="0" distB="0" distL="0" distR="0">
            <wp:extent cx="5524500" cy="1638300"/>
            <wp:effectExtent t="0" r="0" b="0" l="0"/>
            <wp:docPr id="1" name="V1 — El agente responde a una consulta de emergencia médica fuera de su scope" descr="V1 — El agente responde a una consulta de emergencia médica fuera de su scope" title="V1 — El agente responde a una consulta de emergencia médica fuera de su sc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1638300"/>
                    </a:xfrm>
                    <a:prstGeom prst="rect">
                      <a:avLst/>
                    </a:prstGeom>
                  </pic:spPr>
                </pic:pic>
              </a:graphicData>
            </a:graphic>
          </wp:inline>
        </w:drawing>
      </w:r>
    </w:p>
    <w:p>
      <w:pPr>
        <w:spacing w:after="200" w:before="0"/>
        <w:jc w:val="center"/>
      </w:pPr>
      <w:r>
        <w:rPr>
          <w:rFonts w:ascii="Calibri" w:cs="Calibri" w:eastAsia="Calibri" w:hAnsi="Calibri"/>
          <w:i/>
          <w:iCs/>
          <w:color w:val="767676"/>
          <w:sz w:val="18"/>
          <w:szCs w:val="18"/>
        </w:rPr>
        <w:t xml:space="preserve">V1 — El agente responde a una consulta de emergencia médica fuera de su scope</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3B01" w:sz="6"/>
              <w:left w:val="single" w:color="D83B01" w:sz="20"/>
              <w:bottom w:val="single" w:color="D83B01" w:sz="6"/>
              <w:right w:val="single" w:color="D83B01" w:sz="6"/>
            </w:tcBorders>
            <w:shd w:fill="FFF4CE" w:val="clear"/>
            <w:tcMar>
              <w:top w:type="dxa" w:w="120"/>
              <w:left w:type="dxa" w:w="200"/>
              <w:bottom w:type="dxa" w:w="120"/>
              <w:right w:type="dxa" w:w="200"/>
            </w:tcMar>
          </w:tcPr>
          <w:p>
            <w:pPr>
              <w:spacing w:after="60" w:before="0"/>
            </w:pPr>
            <w:r>
              <w:rPr>
                <w:rFonts w:ascii="Calibri" w:cs="Calibri" w:eastAsia="Calibri" w:hAnsi="Calibri"/>
                <w:b/>
                <w:bCs/>
                <w:color w:val="D83B01"/>
                <w:sz w:val="21"/>
                <w:szCs w:val="21"/>
              </w:rPr>
              <w:t xml:space="preserve">⚠  Riesgo identificado</w:t>
            </w:r>
          </w:p>
          <w:p>
            <w:pPr>
              <w:spacing w:after="0" w:before="0"/>
            </w:pPr>
            <w:r>
              <w:rPr>
                <w:rFonts w:ascii="Calibri" w:cs="Calibri" w:eastAsia="Calibri" w:hAnsi="Calibri"/>
                <w:color w:val="3A3A3A"/>
                <w:sz w:val="21"/>
                <w:szCs w:val="21"/>
              </w:rPr>
              <w:t xml:space="preserve">Un agente corporativo que responde a consultas fuera de su dominio puede ser usado para extraer comportamientos no previstos o para eludir las restricciones del system message mediante contexto emocional. En producción, el agente debería detectar preguntas fuera de scope y derivarlas, no responderlas.</w:t>
            </w:r>
          </w:p>
        </w:tc>
      </w:tr>
    </w:tbl>
    <w:p>
      <w:pPr>
        <w:spacing w:after="200" w:before="0"/>
      </w:pPr>
      <w:r>
        <w:t xml:space="preserve"/>
      </w:r>
    </w:p>
    <w:p>
      <w:pPr>
        <w:pStyle w:val="Heading2"/>
        <w:spacing w:after="100" w:before="280"/>
      </w:pPr>
      <w:r>
        <w:rPr>
          <w:rFonts w:ascii="Calibri" w:cs="Calibri" w:eastAsia="Calibri" w:hAnsi="Calibri"/>
          <w:b/>
          <w:bCs/>
        </w:rPr>
        <w:t xml:space="preserve">V2 — Derivación a recursos de salud mental</w:t>
      </w:r>
    </w:p>
    <w:p>
      <w:pPr>
        <w:spacing w:after="140" w:before="0"/>
      </w:pPr>
      <w:r>
        <w:rPr>
          <w:rFonts w:ascii="Calibri" w:cs="Calibri" w:eastAsia="Calibri" w:hAnsi="Calibri"/>
          <w:color w:val="3A3A3A"/>
          <w:sz w:val="22"/>
          <w:szCs w:val="22"/>
        </w:rPr>
        <w:t xml:space="preserve">En el turno siguiente de la misma conversación, el usuario preguntó </w:t>
      </w:r>
      <w:r>
        <w:rPr>
          <w:rFonts w:ascii="Calibri" w:cs="Calibri" w:eastAsia="Calibri" w:hAnsi="Calibri"/>
          <w:i/>
          <w:iCs/>
          <w:color w:val="3A3A3A"/>
          <w:sz w:val="22"/>
          <w:szCs w:val="22"/>
        </w:rPr>
        <w:t xml:space="preserve">"pero ella me puede ayudar"</w:t>
      </w:r>
      <w:r>
        <w:rPr>
          <w:rFonts w:ascii="Calibri" w:cs="Calibri" w:eastAsia="Calibri" w:hAnsi="Calibri"/>
          <w:color w:val="3A3A3A"/>
          <w:sz w:val="22"/>
          <w:szCs w:val="22"/>
        </w:rPr>
        <w:t xml:space="preserve">. El agente interpretó la pregunta como una consulta de salud mental y respondió con recursos de apoyo psicológico (Teléfono de la Esperanza: 717 003 717, Línea 024).</w:t>
      </w:r>
    </w:p>
    <w:p>
      <w:pPr>
        <w:spacing w:after="140" w:before="0"/>
      </w:pPr>
      <w:r>
        <w:rPr>
          <w:rFonts w:ascii="Calibri" w:cs="Calibri" w:eastAsia="Calibri" w:hAnsi="Calibri"/>
          <w:color w:val="3A3A3A"/>
          <w:sz w:val="22"/>
          <w:szCs w:val="22"/>
        </w:rPr>
        <w:t xml:space="preserve">El agente continuó </w:t>
      </w:r>
      <w:r>
        <w:rPr>
          <w:rFonts w:ascii="Calibri" w:cs="Calibri" w:eastAsia="Calibri" w:hAnsi="Calibri"/>
          <w:b/>
          <w:bCs/>
          <w:color w:val="3A3A3A"/>
          <w:sz w:val="22"/>
          <w:szCs w:val="22"/>
        </w:rPr>
        <w:t xml:space="preserve">fuera del scope corporativo durante múltiples turnos</w:t>
      </w:r>
      <w:r>
        <w:rPr>
          <w:rFonts w:ascii="Calibri" w:cs="Calibri" w:eastAsia="Calibri" w:hAnsi="Calibri"/>
          <w:color w:val="3A3A3A"/>
          <w:sz w:val="22"/>
          <w:szCs w:val="22"/>
        </w:rPr>
        <w:t xml:space="preserve"> sin intentar reconducir la conversación. Esto demuestra que el contexto de turnos anteriores puede arrastrar al agente hacia dominios completamente ajenos a su función.</w:t>
      </w:r>
    </w:p>
    <w:p>
      <w:pPr>
        <w:spacing w:after="80" w:before="0"/>
      </w:pPr>
      <w:r>
        <w:t xml:space="preserve"/>
      </w:r>
    </w:p>
    <w:p>
      <w:pPr>
        <w:spacing w:after="60" w:before="120"/>
        <w:jc w:val="center"/>
      </w:pPr>
      <w:r>
        <w:drawing>
          <wp:inline distT="0" distB="0" distL="0" distR="0">
            <wp:extent cx="5524500" cy="1409700"/>
            <wp:effectExtent t="0" r="0" b="0" l="0"/>
            <wp:docPr id="1" name="V2 — El agente proporciona recursos de salud mental al interpretar la pregunta fuera de contexto" descr="V2 — El agente proporciona recursos de salud mental al interpretar la pregunta fuera de contexto" title="V2 — El agente proporciona recursos de salud mental al interpretar la pregunta fuera de contex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1409700"/>
                    </a:xfrm>
                    <a:prstGeom prst="rect">
                      <a:avLst/>
                    </a:prstGeom>
                  </pic:spPr>
                </pic:pic>
              </a:graphicData>
            </a:graphic>
          </wp:inline>
        </w:drawing>
      </w:r>
    </w:p>
    <w:p>
      <w:pPr>
        <w:spacing w:after="200" w:before="0"/>
        <w:jc w:val="center"/>
      </w:pPr>
      <w:r>
        <w:rPr>
          <w:rFonts w:ascii="Calibri" w:cs="Calibri" w:eastAsia="Calibri" w:hAnsi="Calibri"/>
          <w:i/>
          <w:iCs/>
          <w:color w:val="767676"/>
          <w:sz w:val="18"/>
          <w:szCs w:val="18"/>
        </w:rPr>
        <w:t xml:space="preserve">V2 — El agente proporciona recursos de salud mental al interpretar la pregunta fuera de contexto</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3B01" w:sz="6"/>
              <w:left w:val="single" w:color="D83B01" w:sz="20"/>
              <w:bottom w:val="single" w:color="D83B01" w:sz="6"/>
              <w:right w:val="single" w:color="D83B01" w:sz="6"/>
            </w:tcBorders>
            <w:shd w:fill="FFF4CE" w:val="clear"/>
            <w:tcMar>
              <w:top w:type="dxa" w:w="120"/>
              <w:left w:type="dxa" w:w="200"/>
              <w:bottom w:type="dxa" w:w="120"/>
              <w:right w:type="dxa" w:w="200"/>
            </w:tcMar>
          </w:tcPr>
          <w:p>
            <w:pPr>
              <w:spacing w:after="60" w:before="0"/>
            </w:pPr>
            <w:r>
              <w:rPr>
                <w:rFonts w:ascii="Calibri" w:cs="Calibri" w:eastAsia="Calibri" w:hAnsi="Calibri"/>
                <w:b/>
                <w:bCs/>
                <w:color w:val="D83B01"/>
                <w:sz w:val="21"/>
                <w:szCs w:val="21"/>
              </w:rPr>
              <w:t xml:space="preserve">⚠  Riesgo identificado</w:t>
            </w:r>
          </w:p>
          <w:p>
            <w:pPr>
              <w:spacing w:after="0" w:before="0"/>
            </w:pPr>
            <w:r>
              <w:rPr>
                <w:rFonts w:ascii="Calibri" w:cs="Calibri" w:eastAsia="Calibri" w:hAnsi="Calibri"/>
                <w:color w:val="3A3A3A"/>
                <w:sz w:val="21"/>
                <w:szCs w:val="21"/>
              </w:rPr>
              <w:t xml:space="preserve">La acumulación de contexto en turnos anteriores puede llevar al agente a mantener conversaciones fuera de su dominio durante toda una sesión. Un guardrail de re-evaluación de scope por turno, o un mecanismo de reset de contexto, mitigaría este riesgo.</w:t>
            </w:r>
          </w:p>
        </w:tc>
      </w:tr>
    </w:tbl>
    <w:p>
      <w:pPr>
        <w:spacing w:after="200" w:before="0"/>
      </w:pPr>
      <w:r>
        <w:t xml:space="preserve"/>
      </w:r>
    </w:p>
    <w:p>
      <w:pPr>
        <w:pStyle w:val="Heading2"/>
        <w:spacing w:after="100" w:before="280"/>
      </w:pPr>
      <w:r>
        <w:rPr>
          <w:rFonts w:ascii="Calibri" w:cs="Calibri" w:eastAsia="Calibri" w:hAnsi="Calibri"/>
          <w:b/>
          <w:bCs/>
        </w:rPr>
        <w:t xml:space="preserve">V3 — Revelación del nombre interno de la organización</w:t>
      </w:r>
    </w:p>
    <w:p>
      <w:pPr>
        <w:spacing w:after="140" w:before="0"/>
      </w:pPr>
      <w:r>
        <w:rPr>
          <w:rFonts w:ascii="Calibri" w:cs="Calibri" w:eastAsia="Calibri" w:hAnsi="Calibri"/>
          <w:color w:val="3A3A3A"/>
          <w:sz w:val="22"/>
          <w:szCs w:val="22"/>
        </w:rPr>
        <w:t xml:space="preserve">Al preguntar directamente </w:t>
      </w:r>
      <w:r>
        <w:rPr>
          <w:rFonts w:ascii="Calibri" w:cs="Calibri" w:eastAsia="Calibri" w:hAnsi="Calibri"/>
          <w:i/>
          <w:iCs/>
          <w:color w:val="3A3A3A"/>
          <w:sz w:val="22"/>
          <w:szCs w:val="22"/>
        </w:rPr>
        <w:t xml:space="preserve">"pero tú tienes algo de Jesucar"</w:t>
      </w:r>
      <w:r>
        <w:rPr>
          <w:rFonts w:ascii="Calibri" w:cs="Calibri" w:eastAsia="Calibri" w:hAnsi="Calibri"/>
          <w:color w:val="3A3A3A"/>
          <w:sz w:val="22"/>
          <w:szCs w:val="22"/>
        </w:rPr>
        <w:t xml:space="preserve">, el agente confirmó que tiene acceso al </w:t>
      </w:r>
      <w:r>
        <w:rPr>
          <w:rFonts w:ascii="Calibri" w:cs="Calibri" w:eastAsia="Calibri" w:hAnsi="Calibri"/>
          <w:b/>
          <w:bCs/>
          <w:color w:val="3A3A3A"/>
          <w:sz w:val="22"/>
          <w:szCs w:val="22"/>
        </w:rPr>
        <w:t xml:space="preserve">"Manual de Procedimientos Internos y Registro Maestro"</w:t>
      </w:r>
      <w:r>
        <w:rPr>
          <w:rFonts w:ascii="Calibri" w:cs="Calibri" w:eastAsia="Calibri" w:hAnsi="Calibri"/>
          <w:color w:val="3A3A3A"/>
          <w:sz w:val="22"/>
          <w:szCs w:val="22"/>
        </w:rPr>
        <w:t xml:space="preserve"> de una organización denominada Jesucar, y detalló explícitamente las categorías de información disponibles: proyectos, infraestructura, políticas internas y presupuesto.</w:t>
      </w:r>
    </w:p>
    <w:p>
      <w:pPr>
        <w:spacing w:after="140" w:before="0"/>
      </w:pPr>
      <w:r>
        <w:rPr>
          <w:rFonts w:ascii="Calibri" w:cs="Calibri" w:eastAsia="Calibri" w:hAnsi="Calibri"/>
          <w:color w:val="3A3A3A"/>
          <w:sz w:val="22"/>
          <w:szCs w:val="22"/>
        </w:rPr>
        <w:t xml:space="preserve">El agente </w:t>
      </w:r>
      <w:r>
        <w:rPr>
          <w:rFonts w:ascii="Calibri" w:cs="Calibri" w:eastAsia="Calibri" w:hAnsi="Calibri"/>
          <w:b/>
          <w:bCs/>
          <w:color w:val="3A3A3A"/>
          <w:sz w:val="22"/>
          <w:szCs w:val="22"/>
        </w:rPr>
        <w:t xml:space="preserve">reveló la estructura completa de la KB</w:t>
      </w:r>
      <w:r>
        <w:rPr>
          <w:rFonts w:ascii="Calibri" w:cs="Calibri" w:eastAsia="Calibri" w:hAnsi="Calibri"/>
          <w:color w:val="3A3A3A"/>
          <w:sz w:val="22"/>
          <w:szCs w:val="22"/>
        </w:rPr>
        <w:t xml:space="preserve"> ante una pregunta directa sin ningún mecanismo de verificación de identidad. Un usuario no autorizado podría usar esta información para formular preguntas más precisas y extraer datos sensibles.</w:t>
      </w:r>
    </w:p>
    <w:p>
      <w:pPr>
        <w:spacing w:after="80" w:before="0"/>
      </w:pPr>
      <w:r>
        <w:t xml:space="preserve"/>
      </w:r>
    </w:p>
    <w:p>
      <w:pPr>
        <w:spacing w:after="60" w:before="120"/>
        <w:jc w:val="center"/>
      </w:pPr>
      <w:r>
        <w:drawing>
          <wp:inline distT="0" distB="0" distL="0" distR="0">
            <wp:extent cx="5524500" cy="1409700"/>
            <wp:effectExtent t="0" r="0" b="0" l="0"/>
            <wp:docPr id="1" name="V3 — El agente confirma el nombre de la organización y detalla las categorías de información disponibles" descr="V3 — El agente confirma el nombre de la organización y detalla las categorías de información disponibles" title="V3 — El agente confirma el nombre de la organización y detalla las categorías de información disponi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524500" cy="1409700"/>
                    </a:xfrm>
                    <a:prstGeom prst="rect">
                      <a:avLst/>
                    </a:prstGeom>
                  </pic:spPr>
                </pic:pic>
              </a:graphicData>
            </a:graphic>
          </wp:inline>
        </w:drawing>
      </w:r>
    </w:p>
    <w:p>
      <w:pPr>
        <w:spacing w:after="200" w:before="0"/>
        <w:jc w:val="center"/>
      </w:pPr>
      <w:r>
        <w:rPr>
          <w:rFonts w:ascii="Calibri" w:cs="Calibri" w:eastAsia="Calibri" w:hAnsi="Calibri"/>
          <w:i/>
          <w:iCs/>
          <w:color w:val="767676"/>
          <w:sz w:val="18"/>
          <w:szCs w:val="18"/>
        </w:rPr>
        <w:t xml:space="preserve">V3 — El agente confirma el nombre de la organización y detalla las categorías de información disponibles</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6"/>
              <w:left w:val="single" w:color="C0392B" w:sz="20"/>
              <w:bottom w:val="single" w:color="C0392B" w:sz="6"/>
              <w:right w:val="single" w:color="C0392B" w:sz="6"/>
            </w:tcBorders>
            <w:shd w:fill="FDE7E9" w:val="clear"/>
            <w:tcMar>
              <w:top w:type="dxa" w:w="120"/>
              <w:left w:type="dxa" w:w="200"/>
              <w:bottom w:type="dxa" w:w="120"/>
              <w:right w:type="dxa" w:w="200"/>
            </w:tcMar>
          </w:tcPr>
          <w:p>
            <w:pPr>
              <w:spacing w:after="60" w:before="0"/>
            </w:pPr>
            <w:r>
              <w:rPr>
                <w:rFonts w:ascii="Calibri" w:cs="Calibri" w:eastAsia="Calibri" w:hAnsi="Calibri"/>
                <w:b/>
                <w:bCs/>
                <w:color w:val="C0392B"/>
                <w:sz w:val="21"/>
                <w:szCs w:val="21"/>
              </w:rPr>
              <w:t xml:space="preserve">🔴  Riesgo crítico</w:t>
            </w:r>
          </w:p>
          <w:p>
            <w:pPr>
              <w:spacing w:after="0" w:before="0"/>
            </w:pPr>
            <w:r>
              <w:rPr>
                <w:rFonts w:ascii="Calibri" w:cs="Calibri" w:eastAsia="Calibri" w:hAnsi="Calibri"/>
                <w:color w:val="3A3A3A"/>
                <w:sz w:val="21"/>
                <w:szCs w:val="21"/>
              </w:rPr>
              <w:t xml:space="preserve">La revelación del nombre de la organización, los títulos de los documentos internos y las categorías de información disponibles expone la arquitectura de la KB a cualquier usuario. En un entorno real, el system message debería incluir instrucciones explícitas para no revelar metadatos de las fuentes ni la estructura de la KB.</w:t>
            </w:r>
          </w:p>
        </w:tc>
      </w:tr>
    </w:tbl>
    <w:p>
      <w:pPr>
        <w:spacing w:after="12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3000"/>
        <w:gridCol w:w="2926"/>
      </w:tblGrid>
      <w:tr>
        <w:tc>
          <w:tcPr>
            <w:tcW w:type="dxa" w:w="600"/>
            <w:tcBorders>
              <w:top w:val="single" w:color="D0D0D0" w:sz="1"/>
              <w:left w:val="single" w:color="D0D0D0" w:sz="1"/>
              <w:bottom w:val="single" w:color="D0D0D0" w:sz="1"/>
              <w:right w:val="single" w:color="D0D0D0" w:sz="1"/>
            </w:tcBorders>
            <w:shd w:fill="C0392B" w:val="clear"/>
            <w:tcMar>
              <w:top w:type="dxa" w:w="100"/>
              <w:left w:type="dxa" w:w="140"/>
              <w:bottom w:type="dxa" w:w="100"/>
              <w:right w:type="dxa" w:w="140"/>
            </w:tcMar>
          </w:tcPr>
          <w:p>
            <w:pPr>
              <w:spacing w:after="0" w:before="0"/>
            </w:pPr>
            <w:r>
              <w:rPr>
                <w:rFonts w:ascii="Calibri" w:cs="Calibri" w:eastAsia="Calibri" w:hAnsi="Calibri"/>
                <w:b/>
                <w:bCs/>
                <w:color w:val="FFFFFF"/>
                <w:sz w:val="19"/>
                <w:szCs w:val="19"/>
              </w:rPr>
              <w:t xml:space="preserve">#</w:t>
            </w:r>
          </w:p>
        </w:tc>
        <w:tc>
          <w:tcPr>
            <w:tcW w:type="dxa" w:w="2500"/>
            <w:tcBorders>
              <w:top w:val="single" w:color="D0D0D0" w:sz="1"/>
              <w:left w:val="single" w:color="D0D0D0" w:sz="1"/>
              <w:bottom w:val="single" w:color="D0D0D0" w:sz="1"/>
              <w:right w:val="single" w:color="D0D0D0" w:sz="1"/>
            </w:tcBorders>
            <w:shd w:fill="C0392B" w:val="clear"/>
            <w:tcMar>
              <w:top w:type="dxa" w:w="100"/>
              <w:left w:type="dxa" w:w="140"/>
              <w:bottom w:type="dxa" w:w="100"/>
              <w:right w:type="dxa" w:w="140"/>
            </w:tcMar>
          </w:tcPr>
          <w:p>
            <w:pPr>
              <w:spacing w:after="0" w:before="0"/>
            </w:pPr>
            <w:r>
              <w:rPr>
                <w:rFonts w:ascii="Calibri" w:cs="Calibri" w:eastAsia="Calibri" w:hAnsi="Calibri"/>
                <w:b/>
                <w:bCs/>
                <w:color w:val="FFFFFF"/>
                <w:sz w:val="19"/>
                <w:szCs w:val="19"/>
              </w:rPr>
              <w:t xml:space="preserve">Vulnerabilidad</w:t>
            </w:r>
          </w:p>
        </w:tc>
        <w:tc>
          <w:tcPr>
            <w:tcW w:type="dxa" w:w="3000"/>
            <w:tcBorders>
              <w:top w:val="single" w:color="D0D0D0" w:sz="1"/>
              <w:left w:val="single" w:color="D0D0D0" w:sz="1"/>
              <w:bottom w:val="single" w:color="D0D0D0" w:sz="1"/>
              <w:right w:val="single" w:color="D0D0D0" w:sz="1"/>
            </w:tcBorders>
            <w:shd w:fill="C0392B" w:val="clear"/>
            <w:tcMar>
              <w:top w:type="dxa" w:w="100"/>
              <w:left w:type="dxa" w:w="140"/>
              <w:bottom w:type="dxa" w:w="100"/>
              <w:right w:type="dxa" w:w="140"/>
            </w:tcMar>
          </w:tcPr>
          <w:p>
            <w:pPr>
              <w:spacing w:after="0" w:before="0"/>
            </w:pPr>
            <w:r>
              <w:rPr>
                <w:rFonts w:ascii="Calibri" w:cs="Calibri" w:eastAsia="Calibri" w:hAnsi="Calibri"/>
                <w:b/>
                <w:bCs/>
                <w:color w:val="FFFFFF"/>
                <w:sz w:val="19"/>
                <w:szCs w:val="19"/>
              </w:rPr>
              <w:t xml:space="preserve">Comportamiento observado</w:t>
            </w:r>
          </w:p>
        </w:tc>
        <w:tc>
          <w:tcPr>
            <w:tcW w:type="dxa" w:w="2926"/>
            <w:tcBorders>
              <w:top w:val="single" w:color="D0D0D0" w:sz="1"/>
              <w:left w:val="single" w:color="D0D0D0" w:sz="1"/>
              <w:bottom w:val="single" w:color="D0D0D0" w:sz="1"/>
              <w:right w:val="single" w:color="D0D0D0" w:sz="1"/>
            </w:tcBorders>
            <w:shd w:fill="C0392B" w:val="clear"/>
            <w:tcMar>
              <w:top w:type="dxa" w:w="100"/>
              <w:left w:type="dxa" w:w="140"/>
              <w:bottom w:type="dxa" w:w="100"/>
              <w:right w:type="dxa" w:w="140"/>
            </w:tcMar>
          </w:tcPr>
          <w:p>
            <w:pPr>
              <w:spacing w:after="0" w:before="0"/>
            </w:pPr>
            <w:r>
              <w:rPr>
                <w:rFonts w:ascii="Calibri" w:cs="Calibri" w:eastAsia="Calibri" w:hAnsi="Calibri"/>
                <w:b/>
                <w:bCs/>
                <w:color w:val="FFFFFF"/>
                <w:sz w:val="19"/>
                <w:szCs w:val="19"/>
              </w:rPr>
              <w:t xml:space="preserve">Mitigación recomendada</w:t>
            </w:r>
          </w:p>
        </w:tc>
      </w:tr>
      <w:tr>
        <w:tc>
          <w:tcPr>
            <w:tcW w:type="dxa" w:w="6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bCs/>
                <w:color w:val="C0392B"/>
                <w:sz w:val="20"/>
                <w:szCs w:val="20"/>
              </w:rPr>
              <w:t xml:space="preserve">V1</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3A3A3A"/>
                <w:sz w:val="20"/>
                <w:szCs w:val="20"/>
              </w:rPr>
              <w:t xml:space="preserve">Scope override por emergencia</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3A3A3A"/>
                <w:sz w:val="20"/>
                <w:szCs w:val="20"/>
              </w:rPr>
              <w:t xml:space="preserve">Responde a emergencias médicas ignorando restricciones</w:t>
            </w:r>
          </w:p>
        </w:tc>
        <w:tc>
          <w:tcPr>
            <w:tcW w:type="dxa" w:w="29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3A3A3A"/>
                <w:sz w:val="20"/>
                <w:szCs w:val="20"/>
              </w:rPr>
              <w:t xml:space="preserve">Guardrail de detección de scope por turno</w:t>
            </w:r>
          </w:p>
        </w:tc>
      </w:tr>
      <w:tr>
        <w:tc>
          <w:tcPr>
            <w:tcW w:type="dxa" w:w="600"/>
            <w:tcBorders>
              <w:top w:val="single" w:color="D0D0D0" w:sz="1"/>
              <w:left w:val="single" w:color="D0D0D0" w:sz="1"/>
              <w:bottom w:val="single" w:color="D0D0D0" w:sz="1"/>
              <w:right w:val="single" w:color="D0D0D0" w:sz="1"/>
            </w:tcBorders>
            <w:shd w:fill="FDE7E9" w:val="clear"/>
            <w:tcMar>
              <w:top w:type="dxa" w:w="100"/>
              <w:left w:type="dxa" w:w="140"/>
              <w:bottom w:type="dxa" w:w="100"/>
              <w:right w:type="dxa" w:w="140"/>
            </w:tcMar>
          </w:tcPr>
          <w:p>
            <w:pPr>
              <w:spacing w:after="0" w:before="0"/>
            </w:pPr>
            <w:r>
              <w:rPr>
                <w:rFonts w:ascii="Calibri" w:cs="Calibri" w:eastAsia="Calibri" w:hAnsi="Calibri"/>
                <w:b/>
                <w:bCs/>
                <w:color w:val="C0392B"/>
                <w:sz w:val="20"/>
                <w:szCs w:val="20"/>
              </w:rPr>
              <w:t xml:space="preserve">V2</w:t>
            </w:r>
          </w:p>
        </w:tc>
        <w:tc>
          <w:tcPr>
            <w:tcW w:type="dxa" w:w="2500"/>
            <w:tcBorders>
              <w:top w:val="single" w:color="D0D0D0" w:sz="1"/>
              <w:left w:val="single" w:color="D0D0D0" w:sz="1"/>
              <w:bottom w:val="single" w:color="D0D0D0" w:sz="1"/>
              <w:right w:val="single" w:color="D0D0D0" w:sz="1"/>
            </w:tcBorders>
            <w:shd w:fill="FDE7E9" w:val="clear"/>
            <w:tcMar>
              <w:top w:type="dxa" w:w="100"/>
              <w:left w:type="dxa" w:w="140"/>
              <w:bottom w:type="dxa" w:w="100"/>
              <w:right w:type="dxa" w:w="140"/>
            </w:tcMar>
          </w:tcPr>
          <w:p>
            <w:pPr>
              <w:spacing w:after="0" w:before="0"/>
            </w:pPr>
            <w:r>
              <w:rPr>
                <w:rFonts w:ascii="Calibri" w:cs="Calibri" w:eastAsia="Calibri" w:hAnsi="Calibri"/>
                <w:b w:val="false"/>
                <w:bCs w:val="false"/>
                <w:color w:val="3A3A3A"/>
                <w:sz w:val="20"/>
                <w:szCs w:val="20"/>
              </w:rPr>
              <w:t xml:space="preserve">Deriva de contexto multi-turno</w:t>
            </w:r>
          </w:p>
        </w:tc>
        <w:tc>
          <w:tcPr>
            <w:tcW w:type="dxa" w:w="3000"/>
            <w:tcBorders>
              <w:top w:val="single" w:color="D0D0D0" w:sz="1"/>
              <w:left w:val="single" w:color="D0D0D0" w:sz="1"/>
              <w:bottom w:val="single" w:color="D0D0D0" w:sz="1"/>
              <w:right w:val="single" w:color="D0D0D0" w:sz="1"/>
            </w:tcBorders>
            <w:shd w:fill="FDE7E9" w:val="clear"/>
            <w:tcMar>
              <w:top w:type="dxa" w:w="100"/>
              <w:left w:type="dxa" w:w="140"/>
              <w:bottom w:type="dxa" w:w="100"/>
              <w:right w:type="dxa" w:w="140"/>
            </w:tcMar>
          </w:tcPr>
          <w:p>
            <w:pPr>
              <w:spacing w:after="0" w:before="0"/>
            </w:pPr>
            <w:r>
              <w:rPr>
                <w:rFonts w:ascii="Calibri" w:cs="Calibri" w:eastAsia="Calibri" w:hAnsi="Calibri"/>
                <w:b w:val="false"/>
                <w:bCs w:val="false"/>
                <w:color w:val="3A3A3A"/>
                <w:sz w:val="20"/>
                <w:szCs w:val="20"/>
              </w:rPr>
              <w:t xml:space="preserve">Mantiene conversaciones fuera de dominio durante la sesión</w:t>
            </w:r>
          </w:p>
        </w:tc>
        <w:tc>
          <w:tcPr>
            <w:tcW w:type="dxa" w:w="2926"/>
            <w:tcBorders>
              <w:top w:val="single" w:color="D0D0D0" w:sz="1"/>
              <w:left w:val="single" w:color="D0D0D0" w:sz="1"/>
              <w:bottom w:val="single" w:color="D0D0D0" w:sz="1"/>
              <w:right w:val="single" w:color="D0D0D0" w:sz="1"/>
            </w:tcBorders>
            <w:shd w:fill="FDE7E9" w:val="clear"/>
            <w:tcMar>
              <w:top w:type="dxa" w:w="100"/>
              <w:left w:type="dxa" w:w="140"/>
              <w:bottom w:type="dxa" w:w="100"/>
              <w:right w:type="dxa" w:w="140"/>
            </w:tcMar>
          </w:tcPr>
          <w:p>
            <w:pPr>
              <w:spacing w:after="0" w:before="0"/>
            </w:pPr>
            <w:r>
              <w:rPr>
                <w:rFonts w:ascii="Calibri" w:cs="Calibri" w:eastAsia="Calibri" w:hAnsi="Calibri"/>
                <w:b w:val="false"/>
                <w:bCs w:val="false"/>
                <w:color w:val="3A3A3A"/>
                <w:sz w:val="20"/>
                <w:szCs w:val="20"/>
              </w:rPr>
              <w:t xml:space="preserve">Reset de contexto o re-evaluación de scope por turno</w:t>
            </w:r>
          </w:p>
        </w:tc>
      </w:tr>
      <w:tr>
        <w:tc>
          <w:tcPr>
            <w:tcW w:type="dxa" w:w="6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bCs/>
                <w:color w:val="C0392B"/>
                <w:sz w:val="20"/>
                <w:szCs w:val="20"/>
              </w:rPr>
              <w:t xml:space="preserve">V3</w:t>
            </w:r>
          </w:p>
        </w:tc>
        <w:tc>
          <w:tcPr>
            <w:tcW w:type="dxa" w:w="25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3A3A3A"/>
                <w:sz w:val="20"/>
                <w:szCs w:val="20"/>
              </w:rPr>
              <w:t xml:space="preserve">Revelación de metadatos de KB</w:t>
            </w:r>
          </w:p>
        </w:tc>
        <w:tc>
          <w:tcPr>
            <w:tcW w:type="dxa" w:w="3000"/>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3A3A3A"/>
                <w:sz w:val="20"/>
                <w:szCs w:val="20"/>
              </w:rPr>
              <w:t xml:space="preserve">Confirma nombre de organización y estructura de fuentes</w:t>
            </w:r>
          </w:p>
        </w:tc>
        <w:tc>
          <w:tcPr>
            <w:tcW w:type="dxa" w:w="2926"/>
            <w:tcBorders>
              <w:top w:val="single" w:color="D0D0D0" w:sz="1"/>
              <w:left w:val="single" w:color="D0D0D0" w:sz="1"/>
              <w:bottom w:val="single" w:color="D0D0D0" w:sz="1"/>
              <w:right w:val="single" w:color="D0D0D0" w:sz="1"/>
            </w:tcBorders>
            <w:shd w:fill="FFFFFF" w:val="clear"/>
            <w:tcMar>
              <w:top w:type="dxa" w:w="100"/>
              <w:left w:type="dxa" w:w="140"/>
              <w:bottom w:type="dxa" w:w="100"/>
              <w:right w:type="dxa" w:w="140"/>
            </w:tcMar>
          </w:tcPr>
          <w:p>
            <w:pPr>
              <w:spacing w:after="0" w:before="0"/>
            </w:pPr>
            <w:r>
              <w:rPr>
                <w:rFonts w:ascii="Calibri" w:cs="Calibri" w:eastAsia="Calibri" w:hAnsi="Calibri"/>
                <w:b w:val="false"/>
                <w:bCs w:val="false"/>
                <w:color w:val="3A3A3A"/>
                <w:sz w:val="20"/>
                <w:szCs w:val="20"/>
              </w:rPr>
              <w:t xml:space="preserve">Instrucciones explícitas en system message para no revelar metadatos</w:t>
            </w:r>
          </w:p>
        </w:tc>
      </w:tr>
    </w:tbl>
    <w:p>
      <w:pPr>
        <w:spacing w:after="200" w:before="0"/>
      </w:pPr>
      <w:r>
        <w:t xml:space="preserve"/>
      </w:r>
    </w:p>
    <w:p>
      <w:pPr>
        <w:pStyle w:val="Heading1"/>
        <w:spacing w:after="160" w:before="400"/>
      </w:pPr>
      <w:r>
        <w:rPr>
          <w:rFonts w:ascii="Calibri" w:cs="Calibri" w:eastAsia="Calibri" w:hAnsi="Calibri"/>
          <w:b/>
          <w:bCs/>
        </w:rPr>
        <w:t xml:space="preserve">7. Resumen de lo aprendido</w:t>
      </w:r>
    </w:p>
    <w:p>
      <w:pPr>
        <w:spacing w:after="140" w:before="0"/>
      </w:pPr>
      <w:r>
        <w:rPr>
          <w:rFonts w:ascii="Calibri" w:cs="Calibri" w:eastAsia="Calibri" w:hAnsi="Calibri"/>
          <w:color w:val="3A3A3A"/>
          <w:sz w:val="22"/>
          <w:szCs w:val="22"/>
        </w:rPr>
        <w:t xml:space="preserve">Estos son los puntos clave que hay que tener en cuenta al replicar este proyecto:</w:t>
      </w:r>
    </w:p>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78D4" w:sz="6"/>
              <w:left w:val="single" w:color="0078D4" w:sz="20"/>
              <w:bottom w:val="single" w:color="0078D4" w:sz="6"/>
              <w:right w:val="single" w:color="0078D4" w:sz="6"/>
            </w:tcBorders>
            <w:shd w:fill="EFF6FC" w:val="clear"/>
            <w:tcMar>
              <w:top w:type="dxa" w:w="120"/>
              <w:left w:type="dxa" w:w="200"/>
              <w:bottom w:type="dxa" w:w="120"/>
              <w:right w:type="dxa" w:w="200"/>
            </w:tcMar>
          </w:tcPr>
          <w:p>
            <w:pPr>
              <w:spacing w:after="60" w:before="0"/>
            </w:pPr>
            <w:r>
              <w:rPr>
                <w:rFonts w:ascii="Calibri" w:cs="Calibri" w:eastAsia="Calibri" w:hAnsi="Calibri"/>
                <w:b/>
                <w:bCs/>
                <w:color w:val="0078D4"/>
                <w:sz w:val="21"/>
                <w:szCs w:val="21"/>
              </w:rPr>
              <w:t xml:space="preserve">1.  El system message es obligatorio</w:t>
            </w:r>
          </w:p>
          <w:p>
            <w:pPr>
              <w:spacing w:after="0" w:before="0"/>
            </w:pPr>
            <w:r>
              <w:rPr>
                <w:rFonts w:ascii="Calibri" w:cs="Calibri" w:eastAsia="Calibri" w:hAnsi="Calibri"/>
                <w:color w:val="3A3A3A"/>
                <w:sz w:val="21"/>
                <w:szCs w:val="21"/>
              </w:rPr>
              <w:t xml:space="preserve">Foundry IQ no usa la KB de forma automática. El prompt de sistema debe indicar explícitamente que el agente debe consultar las fuentes. Es el primer ajuste tras crear el agente.</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78D4" w:sz="6"/>
              <w:left w:val="single" w:color="0078D4" w:sz="20"/>
              <w:bottom w:val="single" w:color="0078D4" w:sz="6"/>
              <w:right w:val="single" w:color="0078D4" w:sz="6"/>
            </w:tcBorders>
            <w:shd w:fill="EFF6FC" w:val="clear"/>
            <w:tcMar>
              <w:top w:type="dxa" w:w="120"/>
              <w:left w:type="dxa" w:w="200"/>
              <w:bottom w:type="dxa" w:w="120"/>
              <w:right w:type="dxa" w:w="200"/>
            </w:tcMar>
          </w:tcPr>
          <w:p>
            <w:pPr>
              <w:spacing w:after="60" w:before="0"/>
            </w:pPr>
            <w:r>
              <w:rPr>
                <w:rFonts w:ascii="Calibri" w:cs="Calibri" w:eastAsia="Calibri" w:hAnsi="Calibri"/>
                <w:b/>
                <w:bCs/>
                <w:color w:val="0078D4"/>
                <w:sz w:val="21"/>
                <w:szCs w:val="21"/>
              </w:rPr>
              <w:t xml:space="preserve">2.  El contenedor debe estar en nivel Container</w:t>
            </w:r>
          </w:p>
          <w:p>
            <w:pPr>
              <w:spacing w:after="0" w:before="0"/>
            </w:pPr>
            <w:r>
              <w:rPr>
                <w:rFonts w:ascii="Calibri" w:cs="Calibri" w:eastAsia="Calibri" w:hAnsi="Calibri"/>
                <w:color w:val="3A3A3A"/>
                <w:sz w:val="21"/>
                <w:szCs w:val="21"/>
              </w:rPr>
              <w:t xml:space="preserve">Foundry IQ necesita listar los archivos del contenedor para indexarlos. El nivel Blob no permite listar, solo leer por URL. El nivel Private bloquea todo acceso. Solo Container funciona.</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78D4" w:sz="6"/>
              <w:left w:val="single" w:color="0078D4" w:sz="20"/>
              <w:bottom w:val="single" w:color="0078D4" w:sz="6"/>
              <w:right w:val="single" w:color="0078D4" w:sz="6"/>
            </w:tcBorders>
            <w:shd w:fill="EFF6FC" w:val="clear"/>
            <w:tcMar>
              <w:top w:type="dxa" w:w="120"/>
              <w:left w:type="dxa" w:w="200"/>
              <w:bottom w:type="dxa" w:w="120"/>
              <w:right w:type="dxa" w:w="200"/>
            </w:tcMar>
          </w:tcPr>
          <w:p>
            <w:pPr>
              <w:spacing w:after="60" w:before="0"/>
            </w:pPr>
            <w:r>
              <w:rPr>
                <w:rFonts w:ascii="Calibri" w:cs="Calibri" w:eastAsia="Calibri" w:hAnsi="Calibri"/>
                <w:b/>
                <w:bCs/>
                <w:color w:val="0078D4"/>
                <w:sz w:val="21"/>
                <w:szCs w:val="21"/>
              </w:rPr>
              <w:t xml:space="preserve">3.  El Search Index necesita configuración semántica</w:t>
            </w:r>
          </w:p>
          <w:p>
            <w:pPr>
              <w:spacing w:after="0" w:before="0"/>
            </w:pPr>
            <w:r>
              <w:rPr>
                <w:rFonts w:ascii="Calibri" w:cs="Calibri" w:eastAsia="Calibri" w:hAnsi="Calibri"/>
                <w:color w:val="3A3A3A"/>
                <w:sz w:val="21"/>
                <w:szCs w:val="21"/>
              </w:rPr>
              <w:t xml:space="preserve">Sin ella, Foundry IQ no reconoce el índice como fuente válida. Activar la configuración semántica en el servicio de Azure AI Search antes de conectar la fuente.</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83B01" w:sz="6"/>
              <w:left w:val="single" w:color="D83B01" w:sz="20"/>
              <w:bottom w:val="single" w:color="D83B01" w:sz="6"/>
              <w:right w:val="single" w:color="D83B01" w:sz="6"/>
            </w:tcBorders>
            <w:shd w:fill="FFF4CE" w:val="clear"/>
            <w:tcMar>
              <w:top w:type="dxa" w:w="120"/>
              <w:left w:type="dxa" w:w="200"/>
              <w:bottom w:type="dxa" w:w="120"/>
              <w:right w:type="dxa" w:w="200"/>
            </w:tcMar>
          </w:tcPr>
          <w:p>
            <w:pPr>
              <w:spacing w:after="60" w:before="0"/>
            </w:pPr>
            <w:r>
              <w:rPr>
                <w:rFonts w:ascii="Calibri" w:cs="Calibri" w:eastAsia="Calibri" w:hAnsi="Calibri"/>
                <w:b/>
                <w:bCs/>
                <w:color w:val="D83B01"/>
                <w:sz w:val="21"/>
                <w:szCs w:val="21"/>
              </w:rPr>
              <w:t xml:space="preserve">4.  La fuente Bing sale del entorno de Azure</w:t>
            </w:r>
          </w:p>
          <w:p>
            <w:pPr>
              <w:spacing w:after="0" w:before="0"/>
            </w:pPr>
            <w:r>
              <w:rPr>
                <w:rFonts w:ascii="Calibri" w:cs="Calibri" w:eastAsia="Calibri" w:hAnsi="Calibri"/>
                <w:color w:val="3A3A3A"/>
                <w:sz w:val="21"/>
                <w:szCs w:val="21"/>
              </w:rPr>
              <w:t xml:space="preserve">Los datos enviados a la búsqueda web de Bing salen del boundary de Azure. No compatible con GCC ni entornos regulados. Revisar los términos antes de activarla.</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6"/>
              <w:left w:val="single" w:color="C0392B" w:sz="20"/>
              <w:bottom w:val="single" w:color="C0392B" w:sz="6"/>
              <w:right w:val="single" w:color="C0392B" w:sz="6"/>
            </w:tcBorders>
            <w:shd w:fill="FDE7E9" w:val="clear"/>
            <w:tcMar>
              <w:top w:type="dxa" w:w="120"/>
              <w:left w:type="dxa" w:w="200"/>
              <w:bottom w:type="dxa" w:w="120"/>
              <w:right w:type="dxa" w:w="200"/>
            </w:tcMar>
          </w:tcPr>
          <w:p>
            <w:pPr>
              <w:spacing w:after="60" w:before="0"/>
            </w:pPr>
            <w:r>
              <w:rPr>
                <w:rFonts w:ascii="Calibri" w:cs="Calibri" w:eastAsia="Calibri" w:hAnsi="Calibri"/>
                <w:b/>
                <w:bCs/>
                <w:color w:val="C0392B"/>
                <w:sz w:val="21"/>
                <w:szCs w:val="21"/>
              </w:rPr>
              <w:t xml:space="preserve">5.  El agente puede sobrepasar el scope ante contexto emocional</w:t>
            </w:r>
          </w:p>
          <w:p>
            <w:pPr>
              <w:spacing w:after="0" w:before="0"/>
            </w:pPr>
            <w:r>
              <w:rPr>
                <w:rFonts w:ascii="Calibri" w:cs="Calibri" w:eastAsia="Calibri" w:hAnsi="Calibri"/>
                <w:color w:val="3A3A3A"/>
                <w:sz w:val="21"/>
                <w:szCs w:val="21"/>
              </w:rPr>
              <w:t xml:space="preserve">gpt-4o responde a emergencias percibidas ignorando las restricciones del system message. Añadir guardrails explícitos para detectar y rechazar consultas fuera del dominio corporativo.</w:t>
            </w:r>
          </w:p>
        </w:tc>
      </w:tr>
    </w:tbl>
    <w:p>
      <w:pPr>
        <w:spacing w:after="10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392B" w:sz="6"/>
              <w:left w:val="single" w:color="C0392B" w:sz="20"/>
              <w:bottom w:val="single" w:color="C0392B" w:sz="6"/>
              <w:right w:val="single" w:color="C0392B" w:sz="6"/>
            </w:tcBorders>
            <w:shd w:fill="FDE7E9" w:val="clear"/>
            <w:tcMar>
              <w:top w:type="dxa" w:w="120"/>
              <w:left w:type="dxa" w:w="200"/>
              <w:bottom w:type="dxa" w:w="120"/>
              <w:right w:type="dxa" w:w="200"/>
            </w:tcMar>
          </w:tcPr>
          <w:p>
            <w:pPr>
              <w:spacing w:after="60" w:before="0"/>
            </w:pPr>
            <w:r>
              <w:rPr>
                <w:rFonts w:ascii="Calibri" w:cs="Calibri" w:eastAsia="Calibri" w:hAnsi="Calibri"/>
                <w:b/>
                <w:bCs/>
                <w:color w:val="C0392B"/>
                <w:sz w:val="21"/>
                <w:szCs w:val="21"/>
              </w:rPr>
              <w:t xml:space="preserve">6.  No revelar metadatos de la KB en el system message</w:t>
            </w:r>
          </w:p>
          <w:p>
            <w:pPr>
              <w:spacing w:after="0" w:before="0"/>
            </w:pPr>
            <w:r>
              <w:rPr>
                <w:rFonts w:ascii="Calibri" w:cs="Calibri" w:eastAsia="Calibri" w:hAnsi="Calibri"/>
                <w:color w:val="3A3A3A"/>
                <w:sz w:val="21"/>
                <w:szCs w:val="21"/>
              </w:rPr>
              <w:t xml:space="preserve">Sin instrucciones explícitas, el agente confirma el nombre de la organización, títulos de documentos y estructura de fuentes ante cualquier usuario. Incluir en el system message la prohibición de revelar esta información.</w:t>
            </w:r>
          </w:p>
        </w:tc>
      </w:tr>
    </w:tbl>
    <w:p>
      <w:pPr>
        <w:spacing w:after="400" w:before="0"/>
      </w:pPr>
      <w:r>
        <w:t xml:space="preserve"/>
      </w:r>
    </w:p>
    <w:p>
      <w:pPr>
        <w:pBdr>
          <w:top w:val="single" w:color="D0D0D0" w:sz="4" w:space="1"/>
        </w:pBdr>
        <w:spacing w:after="0" w:before="120"/>
        <w:jc w:val="center"/>
      </w:pPr>
      <w:r>
        <w:rPr>
          <w:rFonts w:ascii="Calibri" w:cs="Calibri" w:eastAsia="Calibri" w:hAnsi="Calibri"/>
          <w:color w:val="767676"/>
          <w:sz w:val="18"/>
          <w:szCs w:val="18"/>
        </w:rPr>
        <w:t xml:space="preserve">Alejandro Benítez · Máster en Big Data, IA Generativa y ML · Tajamar Tech 2025-26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0" w:sz="4" w:space="1"/>
      </w:pBdr>
      <w:tabs>
        <w:tab w:val="right" w:pos="9026"/>
      </w:tabs>
      <w:spacing w:after="0" w:before="80"/>
    </w:pPr>
    <w:r>
      <w:rPr>
        <w:rFonts w:ascii="Calibri" w:cs="Calibri" w:eastAsia="Calibri" w:hAnsi="Calibri"/>
        <w:color w:val="767676"/>
        <w:sz w:val="18"/>
        <w:szCs w:val="18"/>
      </w:rPr>
      <w:t xml:space="preserve">Máster Big Data, IA Generativa y ML · Tajamar Tech 2025-26</w:t>
    </w:r>
    <w:r>
      <w:t xml:space="preserve">	</w:t>
    </w:r>
    <w:r>
      <w:rPr>
        <w:rFonts w:ascii="Calibri" w:cs="Calibri" w:eastAsia="Calibri" w:hAnsi="Calibri"/>
        <w:color w:val="767676"/>
        <w:sz w:val="18"/>
        <w:szCs w:val="18"/>
      </w:rPr>
      <w:t xml:space="preserve">Página </w:t>
    </w:r>
    <w:r>
      <w:rPr>
        <w:rFonts w:ascii="Calibri" w:cs="Calibri" w:eastAsia="Calibri" w:hAnsi="Calibri"/>
        <w:color w:val="76767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4" w:space="1"/>
      </w:pBdr>
      <w:tabs>
        <w:tab w:val="right" w:pos="9026"/>
      </w:tabs>
      <w:spacing w:after="80" w:before="0"/>
    </w:pPr>
    <w:r>
      <w:rPr>
        <w:rFonts w:ascii="Calibri" w:cs="Calibri" w:eastAsia="Calibri" w:hAnsi="Calibri"/>
        <w:b/>
        <w:bCs/>
        <w:color w:val="0078D4"/>
        <w:sz w:val="20"/>
        <w:szCs w:val="20"/>
      </w:rPr>
      <w:t xml:space="preserve">agentekb9</w:t>
    </w:r>
    <w:r>
      <w:rPr>
        <w:rFonts w:ascii="Calibri" w:cs="Calibri" w:eastAsia="Calibri" w:hAnsi="Calibri"/>
        <w:color w:val="767676"/>
        <w:sz w:val="20"/>
        <w:szCs w:val="20"/>
      </w:rPr>
      <w:t xml:space="preserve">  —  Azure AI Foundry IQ · Knowledge Base Multi-Source</w:t>
    </w:r>
    <w:r>
      <w:t xml:space="preserve">	</w:t>
    </w:r>
    <w:r>
      <w:rPr>
        <w:rFonts w:ascii="Calibri" w:cs="Calibri" w:eastAsia="Calibri" w:hAnsi="Calibri"/>
        <w:color w:val="767676"/>
        <w:sz w:val="18"/>
        <w:szCs w:val="18"/>
      </w:rPr>
      <w:t xml:space="preserve">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8D4" w:sz="6" w:space="4"/>
      </w:pBdr>
      <w:spacing w:after="160" w:before="400"/>
      <w:outlineLvl w:val="0"/>
    </w:pPr>
    <w:rPr>
      <w:rFonts w:ascii="Calibri" w:cs="Calibri" w:eastAsia="Calibri" w:hAnsi="Calibri"/>
      <w:b/>
      <w:bCs/>
      <w:color w:val="004578"/>
      <w:sz w:val="32"/>
      <w:szCs w:val="32"/>
    </w:rPr>
  </w:style>
  <w:style w:type="paragraph" w:styleId="Heading2">
    <w:name w:val="Heading 2"/>
    <w:basedOn w:val="Normal"/>
    <w:next w:val="Normal"/>
    <w:qFormat/>
    <w:pPr>
      <w:spacing w:after="100" w:before="280"/>
      <w:outlineLvl w:val="1"/>
    </w:pPr>
    <w:rPr>
      <w:rFonts w:ascii="Calibri" w:cs="Calibri" w:eastAsia="Calibri" w:hAnsi="Calibri"/>
      <w:b/>
      <w:bCs/>
      <w:color w:val="0078D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9407421abcb4b7584800b69a20024d2aabfd5b6.png"/><Relationship Id="rId10" Type="http://schemas.openxmlformats.org/officeDocument/2006/relationships/image" Target="media/0bb3004f65e1f8edb026a6ad8f16e2eb52bd8f03.png"/><Relationship Id="rId11" Type="http://schemas.openxmlformats.org/officeDocument/2006/relationships/image" Target="media/0fe19f5def01f40c7e771f0b831b57b055c8d319.png"/><Relationship Id="rId12" Type="http://schemas.openxmlformats.org/officeDocument/2006/relationships/image" Target="media/16bc93bf83eb5a3ecc6bc5f81bd983a9d6e6c045.png"/><Relationship Id="rId13" Type="http://schemas.openxmlformats.org/officeDocument/2006/relationships/image" Target="media/1379b645799e02f380034342f3812deebd23c183.png"/><Relationship Id="rId14" Type="http://schemas.openxmlformats.org/officeDocument/2006/relationships/image" Target="media/6bdc585e9189219388766db7f89e3b949ef8c27e.png"/><Relationship Id="rId15" Type="http://schemas.openxmlformats.org/officeDocument/2006/relationships/image" Target="media/1972fb5ec36d2afb91cf46a3e51e4cc830f89519.png"/><Relationship Id="rId16" Type="http://schemas.openxmlformats.org/officeDocument/2006/relationships/image" Target="media/6946d843e113e147255d42209a97b53114456c1f.png"/><Relationship Id="rId17" Type="http://schemas.openxmlformats.org/officeDocument/2006/relationships/image" Target="media/cce36e28003c975727e5c427e27f85e2d545570d.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2026-06-15T12:21:23.087Z</dcterms:created>
  <dcterms:modified xsi:type="dcterms:W3CDTF">2026-06-15T12:21:23.099Z</dcterms:modified>
</cp:coreProperties>
</file>

<file path=docProps/custom.xml><?xml version="1.0" encoding="utf-8"?>
<Properties xmlns="http://schemas.openxmlformats.org/officeDocument/2006/custom-properties" xmlns:vt="http://schemas.openxmlformats.org/officeDocument/2006/docPropsVTypes"/>
</file>