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C196" w14:textId="495AFA8D" w:rsidR="00936F68" w:rsidRPr="00936F68" w:rsidRDefault="00936F68" w:rsidP="00936F68">
      <w:pPr>
        <w:rPr>
          <w:lang w:val="es-ES"/>
        </w:rPr>
      </w:pPr>
      <w:r w:rsidRPr="00936F68">
        <w:rPr>
          <w:lang w:val="es-ES"/>
        </w:rPr>
        <w:t>Las medidas se clasifican por Importancia:  Alta (impacto directo en Mipymes/empresas),  Media (impacto sectorial o institucional) y Transversal (marco general).</w:t>
      </w:r>
    </w:p>
    <w:p w14:paraId="5E218C3B" w14:textId="77777777" w:rsidR="00936F68" w:rsidRPr="00936F68" w:rsidRDefault="00936F68" w:rsidP="00936F68">
      <w:pPr>
        <w:rPr>
          <w:lang w:val="es-ES"/>
        </w:rPr>
      </w:pPr>
    </w:p>
    <w:p w14:paraId="480D8D46" w14:textId="34923F95" w:rsidR="00936F68" w:rsidRPr="00936F68" w:rsidRDefault="00936F68" w:rsidP="00936F68">
      <w:pPr>
        <w:rPr>
          <w:lang w:val="es-ES"/>
        </w:rPr>
      </w:pPr>
      <w:r w:rsidRPr="00936F68">
        <w:rPr>
          <w:lang w:val="es-ES"/>
        </w:rPr>
        <w:t xml:space="preserve"> </w:t>
      </w:r>
      <w:r>
        <w:rPr>
          <w:rFonts w:ascii="Segoe UI Emoji" w:hAnsi="Segoe UI Emoji" w:cs="Segoe UI Emoji"/>
        </w:rPr>
        <w:t>📄</w:t>
      </w:r>
      <w:r w:rsidRPr="00936F68">
        <w:rPr>
          <w:lang w:val="es-ES"/>
        </w:rPr>
        <w:t xml:space="preserve"> DOCUMENTO MAESTRO: Las 176 Transformaciones Económicas y Sociales de Cuba</w:t>
      </w:r>
    </w:p>
    <w:p w14:paraId="4AF1881A" w14:textId="1DF45E58" w:rsidR="00936F68" w:rsidRPr="00936F68" w:rsidRDefault="00936F68" w:rsidP="00936F68">
      <w:pPr>
        <w:rPr>
          <w:lang w:val="es-ES"/>
        </w:rPr>
      </w:pPr>
      <w:r w:rsidRPr="00936F68">
        <w:rPr>
          <w:lang w:val="es-ES"/>
        </w:rPr>
        <w:t>Fuente base: Documento oficial de la Asamblea Nacional del Poder Popular (ANPP) y Gaceta Oficial de la República de Cuba.</w:t>
      </w:r>
    </w:p>
    <w:p w14:paraId="2EFF26D6" w14:textId="77777777" w:rsidR="00936F68" w:rsidRPr="00936F68" w:rsidRDefault="00936F68" w:rsidP="00936F68">
      <w:pPr>
        <w:rPr>
          <w:lang w:val="es-ES"/>
        </w:rPr>
      </w:pPr>
    </w:p>
    <w:p w14:paraId="0D81ADF9" w14:textId="7FDE05A9" w:rsidR="00936F68" w:rsidRPr="00936F68" w:rsidRDefault="00936F68" w:rsidP="00936F68">
      <w:pPr>
        <w:rPr>
          <w:lang w:val="es-ES"/>
        </w:rPr>
      </w:pPr>
      <w:r w:rsidRPr="00936F68">
        <w:rPr>
          <w:lang w:val="es-ES"/>
        </w:rPr>
        <w:t xml:space="preserve">  MACRO-ÁMBITO 1: Gestión Empresarial y Formas de Gestión No Estatal (ALTA IMPORTANCIA)</w:t>
      </w:r>
    </w:p>
    <w:p w14:paraId="42FBCED9" w14:textId="5D60F63A" w:rsidR="00936F68" w:rsidRPr="00936F68" w:rsidRDefault="00936F68" w:rsidP="00936F68">
      <w:pPr>
        <w:rPr>
          <w:lang w:val="es-ES"/>
        </w:rPr>
      </w:pPr>
      <w:r w:rsidRPr="00936F68">
        <w:rPr>
          <w:lang w:val="es-ES"/>
        </w:rPr>
        <w:t>Este es el núcleo de la reforma para Mipymes, cooperativas y empresas privadas.</w:t>
      </w:r>
    </w:p>
    <w:p w14:paraId="513B26CF" w14:textId="77777777" w:rsidR="00936F68" w:rsidRPr="00936F68" w:rsidRDefault="00936F68" w:rsidP="00936F68">
      <w:pPr>
        <w:rPr>
          <w:lang w:val="es-ES"/>
        </w:rPr>
      </w:pPr>
    </w:p>
    <w:p w14:paraId="654CB414" w14:textId="7DFC07E7" w:rsidR="00936F68" w:rsidRPr="00936F68" w:rsidRDefault="00936F68" w:rsidP="00936F68">
      <w:pPr>
        <w:rPr>
          <w:lang w:val="es-ES"/>
        </w:rPr>
      </w:pPr>
      <w:r w:rsidRPr="00936F68">
        <w:rPr>
          <w:lang w:val="es-ES"/>
        </w:rPr>
        <w:t>Eje 1: Modelo de gestión de los actores económicos</w:t>
      </w:r>
    </w:p>
    <w:p w14:paraId="4AA55E26" w14:textId="76AB1033" w:rsidR="00936F68" w:rsidRPr="00936F68" w:rsidRDefault="00936F68" w:rsidP="00936F68">
      <w:pPr>
        <w:rPr>
          <w:lang w:val="es-ES"/>
        </w:rPr>
      </w:pPr>
      <w:r w:rsidRPr="00936F68">
        <w:rPr>
          <w:lang w:val="es-ES"/>
        </w:rPr>
        <w:t xml:space="preserve">   1-5. Ampliación de autonomía de la Empresa Estatal Socialista (EES), descentralización de precios, redimensionamiento de OSDE y facultad para crear filiales o fusionarse. (Norma: DL 120/2026 y resoluciones del MEP).</w:t>
      </w:r>
    </w:p>
    <w:p w14:paraId="4519AD73" w14:textId="1B99769B" w:rsidR="00936F68" w:rsidRPr="00936F68" w:rsidRDefault="00936F68" w:rsidP="00936F68">
      <w:pPr>
        <w:rPr>
          <w:lang w:val="es-ES"/>
        </w:rPr>
      </w:pPr>
      <w:r w:rsidRPr="00936F68">
        <w:rPr>
          <w:lang w:val="es-ES"/>
        </w:rPr>
        <w:t xml:space="preserve">   6-7. Flexibilización en el destino de utilidades y actualización de Juntas de Gobierno. </w:t>
      </w:r>
    </w:p>
    <w:p w14:paraId="051FDFDC" w14:textId="0FF37053" w:rsidR="00936F68" w:rsidRPr="00936F68" w:rsidRDefault="00936F68" w:rsidP="00936F68">
      <w:pPr>
        <w:rPr>
          <w:lang w:val="es-ES"/>
        </w:rPr>
      </w:pPr>
      <w:r w:rsidRPr="00936F68">
        <w:rPr>
          <w:lang w:val="es-ES"/>
        </w:rPr>
        <w:t xml:space="preserve">   8. Acceso al mercado cambiario para estructuras empresariales en cadenas de suministro. (Norma: Resoluciones BCC).</w:t>
      </w:r>
    </w:p>
    <w:p w14:paraId="32DBAE8C" w14:textId="0928E098" w:rsidR="00936F68" w:rsidRPr="00936F68" w:rsidRDefault="00936F68" w:rsidP="00936F68">
      <w:pPr>
        <w:rPr>
          <w:lang w:val="es-ES"/>
        </w:rPr>
      </w:pPr>
      <w:r w:rsidRPr="00936F68">
        <w:rPr>
          <w:lang w:val="es-ES"/>
        </w:rPr>
        <w:t xml:space="preserve">   9-11. Descentralización de la escala salarial (negociada con sindicatos), revisión de la carga financiera y reducción de indicadores de eficiencia.</w:t>
      </w:r>
    </w:p>
    <w:p w14:paraId="30C41078" w14:textId="1D9458D4" w:rsidR="00936F68" w:rsidRPr="00936F68" w:rsidRDefault="00936F68" w:rsidP="00936F68">
      <w:pPr>
        <w:rPr>
          <w:lang w:val="es-ES"/>
        </w:rPr>
      </w:pPr>
      <w:r w:rsidRPr="00936F68">
        <w:rPr>
          <w:lang w:val="es-ES"/>
        </w:rPr>
        <w:t xml:space="preserve">   12-17. Fomento de inversión financiera, capitalización sin Presupuesto del Estado, programa de valoración de activos, quiebras/reestructuraciones y transformación de EES en sociedades mercantiles por acciones. (Norma: DL 133/2026).</w:t>
      </w:r>
    </w:p>
    <w:p w14:paraId="6CB89CBD" w14:textId="5D3CC8B2" w:rsidR="00936F68" w:rsidRPr="00936F68" w:rsidRDefault="00936F68" w:rsidP="00936F68">
      <w:pPr>
        <w:rPr>
          <w:lang w:val="es-ES"/>
        </w:rPr>
      </w:pPr>
      <w:r w:rsidRPr="00936F68">
        <w:rPr>
          <w:lang w:val="es-ES"/>
        </w:rPr>
        <w:t xml:space="preserve">   18-19. Autorización de creación de Mipymes/cooperativas pendientes y reducción de trámites/términos de aprobación. (Norma: Plataforma de Actores Económicos / DL 88).</w:t>
      </w:r>
    </w:p>
    <w:p w14:paraId="0161F401" w14:textId="038C3323" w:rsidR="00936F68" w:rsidRPr="00936F68" w:rsidRDefault="00936F68" w:rsidP="00936F68">
      <w:pPr>
        <w:rPr>
          <w:lang w:val="es-ES"/>
        </w:rPr>
      </w:pPr>
      <w:r w:rsidRPr="00936F68">
        <w:rPr>
          <w:lang w:val="es-ES"/>
        </w:rPr>
        <w:t xml:space="preserve">   20.  Permitir la contratación de más de 100 trabajadores (a partir de esta cifra se clasifican como empresas privadas). (Norma: Decreto-Ley 133/2026, modificativo del DL 88).</w:t>
      </w:r>
    </w:p>
    <w:p w14:paraId="25DA68DC" w14:textId="34927A3E" w:rsidR="00936F68" w:rsidRPr="00936F68" w:rsidRDefault="00936F68" w:rsidP="00936F68">
      <w:pPr>
        <w:rPr>
          <w:lang w:val="es-ES"/>
        </w:rPr>
      </w:pPr>
      <w:r w:rsidRPr="00936F68">
        <w:rPr>
          <w:lang w:val="es-ES"/>
        </w:rPr>
        <w:t xml:space="preserve">   21-23.  Permitir que una persona natural sea titular de más de una empresa privada, ampliar formas societarias (incluyendo sociedades anónimas) y participación accionaria múltiple. (Norma: DL 133/2026).</w:t>
      </w:r>
    </w:p>
    <w:p w14:paraId="46F596FD" w14:textId="57CBC007" w:rsidR="00936F68" w:rsidRPr="00936F68" w:rsidRDefault="00936F68" w:rsidP="00936F68">
      <w:pPr>
        <w:rPr>
          <w:lang w:val="es-ES"/>
        </w:rPr>
      </w:pPr>
      <w:r w:rsidRPr="00936F68">
        <w:rPr>
          <w:lang w:val="es-ES"/>
        </w:rPr>
        <w:t xml:space="preserve">   24. Concesión de derechos reales (usufructo y superficie) a empresas privadas/cooperativas para inversiones. (Norma: DL 133/2026).</w:t>
      </w:r>
    </w:p>
    <w:p w14:paraId="56AE4FCC" w14:textId="72685CA9" w:rsidR="00936F68" w:rsidRPr="00936F68" w:rsidRDefault="00936F68" w:rsidP="00936F68">
      <w:pPr>
        <w:rPr>
          <w:lang w:val="es-ES"/>
        </w:rPr>
      </w:pPr>
      <w:r w:rsidRPr="00936F68">
        <w:rPr>
          <w:lang w:val="es-ES"/>
        </w:rPr>
        <w:t xml:space="preserve">   25.  Depósitos de divisas en efectivo de actores no estatales en cuentas bancarias en la misma moneda. (Norma: Resolución 98/2026 del BCC).</w:t>
      </w:r>
    </w:p>
    <w:p w14:paraId="78382C35" w14:textId="40FA00A8" w:rsidR="00936F68" w:rsidRPr="00936F68" w:rsidRDefault="00936F68" w:rsidP="00936F68">
      <w:pPr>
        <w:rPr>
          <w:lang w:val="es-ES"/>
        </w:rPr>
      </w:pPr>
      <w:r w:rsidRPr="00936F68">
        <w:rPr>
          <w:lang w:val="es-ES"/>
        </w:rPr>
        <w:t xml:space="preserve">   26-27. Permitir desarrollar otras actividades sin abandonar la principal y reducir la lista de actividades prohibidas. (Norma: DL 133/2026).</w:t>
      </w:r>
    </w:p>
    <w:p w14:paraId="1E04EB10" w14:textId="51F81136" w:rsidR="00936F68" w:rsidRPr="00936F68" w:rsidRDefault="00936F68" w:rsidP="00936F68">
      <w:pPr>
        <w:rPr>
          <w:lang w:val="es-ES"/>
        </w:rPr>
      </w:pPr>
      <w:r w:rsidRPr="00936F68">
        <w:rPr>
          <w:lang w:val="es-ES"/>
        </w:rPr>
        <w:lastRenderedPageBreak/>
        <w:t xml:space="preserve">   28-31. Perfeccionamiento de la Plataforma de Actores Económicos con IA, permiso de empresas privadas en actividad agropecuaria, mercado de insumos con acceso cambiario y Plataforma Nacional de Encadenamientos Productivos.</w:t>
      </w:r>
    </w:p>
    <w:p w14:paraId="3DBA7764" w14:textId="77777777" w:rsidR="00936F68" w:rsidRPr="00936F68" w:rsidRDefault="00936F68" w:rsidP="00936F68">
      <w:pPr>
        <w:rPr>
          <w:lang w:val="es-ES"/>
        </w:rPr>
      </w:pPr>
    </w:p>
    <w:p w14:paraId="3583021C" w14:textId="48D0E56F" w:rsidR="00936F68" w:rsidRPr="00936F68" w:rsidRDefault="00936F68" w:rsidP="00936F68">
      <w:pPr>
        <w:rPr>
          <w:lang w:val="es-ES"/>
        </w:rPr>
      </w:pPr>
      <w:r w:rsidRPr="00936F68">
        <w:rPr>
          <w:lang w:val="es-ES"/>
        </w:rPr>
        <w:t>Eje 2: Relaciones de propiedad</w:t>
      </w:r>
    </w:p>
    <w:p w14:paraId="7DF4AA49" w14:textId="1A53D1F1" w:rsidR="00936F68" w:rsidRPr="00936F68" w:rsidRDefault="00936F68" w:rsidP="00936F68">
      <w:pPr>
        <w:rPr>
          <w:lang w:val="es-ES"/>
        </w:rPr>
      </w:pPr>
      <w:r w:rsidRPr="00936F68">
        <w:rPr>
          <w:lang w:val="es-ES"/>
        </w:rPr>
        <w:t xml:space="preserve">   32-34. Ratificar propiedad social sobre medios fundamentales, pero permitir compra de acciones de empresas estatales por personas jurídicas/naturales (nacionales/extranjeras) y venta de propiedades estatales con origen lícito de fondos. (Norma: DL 133/2026).</w:t>
      </w:r>
    </w:p>
    <w:p w14:paraId="1AD486A3" w14:textId="7F56CE50" w:rsidR="00936F68" w:rsidRPr="00936F68" w:rsidRDefault="00936F68" w:rsidP="00936F68">
      <w:pPr>
        <w:rPr>
          <w:lang w:val="es-ES"/>
        </w:rPr>
      </w:pPr>
      <w:r w:rsidRPr="00936F68">
        <w:rPr>
          <w:lang w:val="es-ES"/>
        </w:rPr>
        <w:t xml:space="preserve">   35-36. Programa de inversión para cubanos en el exterior y reconocimiento/protección del crecimiento legítimo del patrimonio.</w:t>
      </w:r>
    </w:p>
    <w:p w14:paraId="663DE59E" w14:textId="77777777" w:rsidR="00936F68" w:rsidRPr="00936F68" w:rsidRDefault="00936F68" w:rsidP="00936F68">
      <w:pPr>
        <w:rPr>
          <w:lang w:val="es-ES"/>
        </w:rPr>
      </w:pPr>
    </w:p>
    <w:p w14:paraId="6F9EC665" w14:textId="42EE2851" w:rsidR="00936F68" w:rsidRPr="00936F68" w:rsidRDefault="00936F68" w:rsidP="00936F68">
      <w:pPr>
        <w:rPr>
          <w:lang w:val="es-ES"/>
        </w:rPr>
      </w:pPr>
      <w:r w:rsidRPr="00936F68">
        <w:rPr>
          <w:lang w:val="es-ES"/>
        </w:rPr>
        <w:t xml:space="preserve">  MACRO-ÁMBITO 2: Planificación, Estado y Territorio (IMPORTANCIA MEDIA/ESTRATÉGICA)</w:t>
      </w:r>
    </w:p>
    <w:p w14:paraId="392E1564" w14:textId="51AB7956" w:rsidR="00936F68" w:rsidRPr="00936F68" w:rsidRDefault="00936F68" w:rsidP="00936F68">
      <w:pPr>
        <w:rPr>
          <w:lang w:val="es-ES"/>
        </w:rPr>
      </w:pPr>
      <w:r w:rsidRPr="00936F68">
        <w:rPr>
          <w:lang w:val="es-ES"/>
        </w:rPr>
        <w:t>Enfocado en la descentralización y el funcionamiento del Estado.</w:t>
      </w:r>
    </w:p>
    <w:p w14:paraId="37F76B2E" w14:textId="77777777" w:rsidR="00936F68" w:rsidRPr="00936F68" w:rsidRDefault="00936F68" w:rsidP="00936F68">
      <w:pPr>
        <w:rPr>
          <w:lang w:val="es-ES"/>
        </w:rPr>
      </w:pPr>
    </w:p>
    <w:p w14:paraId="29D792FD" w14:textId="36D2DFAE" w:rsidR="00936F68" w:rsidRPr="00936F68" w:rsidRDefault="00936F68" w:rsidP="00936F68">
      <w:pPr>
        <w:rPr>
          <w:lang w:val="es-ES"/>
        </w:rPr>
      </w:pPr>
      <w:r w:rsidRPr="00936F68">
        <w:rPr>
          <w:lang w:val="es-ES"/>
        </w:rPr>
        <w:t>Eje 3: Sistema de planificación</w:t>
      </w:r>
    </w:p>
    <w:p w14:paraId="4E2EAE21" w14:textId="3A5AC616" w:rsidR="00936F68" w:rsidRPr="00936F68" w:rsidRDefault="00936F68" w:rsidP="00936F68">
      <w:pPr>
        <w:rPr>
          <w:lang w:val="es-ES"/>
        </w:rPr>
      </w:pPr>
      <w:r w:rsidRPr="00936F68">
        <w:rPr>
          <w:lang w:val="es-ES"/>
        </w:rPr>
        <w:t xml:space="preserve">   37-40. Planificación a mediano/largo plazo incorporando al sector no estatal, transición a planificación financiera (mercado), mantenimiento de balances fundamentales y descentralización de aprobación de inversiones.</w:t>
      </w:r>
    </w:p>
    <w:p w14:paraId="6FDB06FF" w14:textId="77777777" w:rsidR="00936F68" w:rsidRPr="00936F68" w:rsidRDefault="00936F68" w:rsidP="00936F68">
      <w:pPr>
        <w:rPr>
          <w:lang w:val="es-ES"/>
        </w:rPr>
      </w:pPr>
    </w:p>
    <w:p w14:paraId="40A84AC4" w14:textId="293AC394" w:rsidR="00936F68" w:rsidRPr="00936F68" w:rsidRDefault="00936F68" w:rsidP="00936F68">
      <w:pPr>
        <w:rPr>
          <w:lang w:val="es-ES"/>
        </w:rPr>
      </w:pPr>
      <w:r w:rsidRPr="00936F68">
        <w:rPr>
          <w:lang w:val="es-ES"/>
        </w:rPr>
        <w:t>Eje 4: Administración Central del Estado</w:t>
      </w:r>
    </w:p>
    <w:p w14:paraId="13490ADC" w14:textId="476E1EC5" w:rsidR="00936F68" w:rsidRPr="00936F68" w:rsidRDefault="00936F68" w:rsidP="00936F68">
      <w:pPr>
        <w:rPr>
          <w:lang w:val="es-ES"/>
        </w:rPr>
      </w:pPr>
      <w:r w:rsidRPr="00936F68">
        <w:rPr>
          <w:lang w:val="es-ES"/>
        </w:rPr>
        <w:t xml:space="preserve">   41-42. Redimensionamiento de la Administración Central y de las estructuras provinciales/municipales.</w:t>
      </w:r>
    </w:p>
    <w:p w14:paraId="74326299" w14:textId="77777777" w:rsidR="00936F68" w:rsidRPr="00936F68" w:rsidRDefault="00936F68" w:rsidP="00936F68">
      <w:pPr>
        <w:rPr>
          <w:lang w:val="es-ES"/>
        </w:rPr>
      </w:pPr>
    </w:p>
    <w:p w14:paraId="4BFD8F20" w14:textId="2E25C0DA" w:rsidR="00936F68" w:rsidRPr="00936F68" w:rsidRDefault="00936F68" w:rsidP="00936F68">
      <w:pPr>
        <w:rPr>
          <w:lang w:val="es-ES"/>
        </w:rPr>
      </w:pPr>
      <w:r w:rsidRPr="00936F68">
        <w:rPr>
          <w:lang w:val="es-ES"/>
        </w:rPr>
        <w:t>Eje 5: Autonomía municipal</w:t>
      </w:r>
    </w:p>
    <w:p w14:paraId="5968AF17" w14:textId="669F512B" w:rsidR="00936F68" w:rsidRPr="00936F68" w:rsidRDefault="00936F68" w:rsidP="00936F68">
      <w:pPr>
        <w:rPr>
          <w:lang w:val="es-ES"/>
        </w:rPr>
      </w:pPr>
      <w:r w:rsidRPr="00936F68">
        <w:rPr>
          <w:lang w:val="es-ES"/>
        </w:rPr>
        <w:t xml:space="preserve">   43-46. Descentralización de competencias a municipios (planificación, soberanía alimentaria, desarrollo económico local, gestión de recursos) y creación de fondos municipales con aportes de utilidades de actores económicos.</w:t>
      </w:r>
    </w:p>
    <w:p w14:paraId="6E70CB28" w14:textId="02D3866A" w:rsidR="00936F68" w:rsidRPr="00936F68" w:rsidRDefault="00936F68" w:rsidP="00936F68">
      <w:pPr>
        <w:rPr>
          <w:lang w:val="es-ES"/>
        </w:rPr>
      </w:pPr>
      <w:r w:rsidRPr="00936F68">
        <w:rPr>
          <w:lang w:val="es-ES"/>
        </w:rPr>
        <w:t xml:space="preserve">   47-51. Eliminación de delegaciones de Agricultura (sustituidas por estructuras territoriales), diversificación de ingresos municipales, gestión de desechos con modelos de negocio y reconocimiento de capacidad asociativa entre municipios.</w:t>
      </w:r>
    </w:p>
    <w:p w14:paraId="782EBA6F" w14:textId="77777777" w:rsidR="00936F68" w:rsidRPr="00936F68" w:rsidRDefault="00936F68" w:rsidP="00936F68">
      <w:pPr>
        <w:rPr>
          <w:lang w:val="es-ES"/>
        </w:rPr>
      </w:pPr>
    </w:p>
    <w:p w14:paraId="33B32CBC" w14:textId="28B7ABD1" w:rsidR="00936F68" w:rsidRPr="00936F68" w:rsidRDefault="00936F68" w:rsidP="00936F68">
      <w:pPr>
        <w:rPr>
          <w:lang w:val="es-ES"/>
        </w:rPr>
      </w:pPr>
      <w:r w:rsidRPr="00936F68">
        <w:rPr>
          <w:lang w:val="es-ES"/>
        </w:rPr>
        <w:t xml:space="preserve">  MACRO-ÁMBITO 3: Sectores Productivos, Laboral y Servicios (ALTA IMPORTANCIA OPERATIVA)</w:t>
      </w:r>
    </w:p>
    <w:p w14:paraId="7BC7FE3C" w14:textId="60080677" w:rsidR="00936F68" w:rsidRPr="00936F68" w:rsidRDefault="00936F68" w:rsidP="00936F68">
      <w:pPr>
        <w:rPr>
          <w:lang w:val="es-ES"/>
        </w:rPr>
      </w:pPr>
      <w:r w:rsidRPr="00936F68">
        <w:rPr>
          <w:lang w:val="es-ES"/>
        </w:rPr>
        <w:t>Impacto directo en las operaciones diarias de empresas y trabajadores.</w:t>
      </w:r>
    </w:p>
    <w:p w14:paraId="4271511D" w14:textId="77777777" w:rsidR="00936F68" w:rsidRPr="00936F68" w:rsidRDefault="00936F68" w:rsidP="00936F68">
      <w:pPr>
        <w:rPr>
          <w:lang w:val="es-ES"/>
        </w:rPr>
      </w:pPr>
    </w:p>
    <w:p w14:paraId="10418F31" w14:textId="1084F16F" w:rsidR="00936F68" w:rsidRPr="00936F68" w:rsidRDefault="00936F68" w:rsidP="00936F68">
      <w:pPr>
        <w:rPr>
          <w:lang w:val="es-ES"/>
        </w:rPr>
      </w:pPr>
      <w:r w:rsidRPr="00936F68">
        <w:rPr>
          <w:lang w:val="es-ES"/>
        </w:rPr>
        <w:lastRenderedPageBreak/>
        <w:t>Eje 6: Sector energético</w:t>
      </w:r>
    </w:p>
    <w:p w14:paraId="3E1F137B" w14:textId="2EECE59D" w:rsidR="00936F68" w:rsidRPr="00936F68" w:rsidRDefault="00936F68" w:rsidP="00936F68">
      <w:pPr>
        <w:rPr>
          <w:lang w:val="es-ES"/>
        </w:rPr>
      </w:pPr>
      <w:r w:rsidRPr="00936F68">
        <w:rPr>
          <w:lang w:val="es-ES"/>
        </w:rPr>
        <w:t xml:space="preserve">   52-53. Participación de capital privado/extranjero en importación/comercialización de combustibles y reestructuración de servicentros (con energía fotovoltaica y solineras).</w:t>
      </w:r>
    </w:p>
    <w:p w14:paraId="493B36DE" w14:textId="51317E78" w:rsidR="00936F68" w:rsidRPr="00936F68" w:rsidRDefault="00936F68" w:rsidP="00936F68">
      <w:pPr>
        <w:rPr>
          <w:lang w:val="es-ES"/>
        </w:rPr>
      </w:pPr>
      <w:r w:rsidRPr="00936F68">
        <w:rPr>
          <w:lang w:val="es-ES"/>
        </w:rPr>
        <w:t xml:space="preserve">   54-57. Líneas de financiamiento para transición energética, uso de plataformas extranjeras para pagos de combustible, impuesto del 1% a importación de combustibles e incentivos fiscales por inversiones en energías renovables.</w:t>
      </w:r>
    </w:p>
    <w:p w14:paraId="7FB4ACAD" w14:textId="77777777" w:rsidR="00936F68" w:rsidRPr="00936F68" w:rsidRDefault="00936F68" w:rsidP="00936F68">
      <w:pPr>
        <w:rPr>
          <w:lang w:val="es-ES"/>
        </w:rPr>
      </w:pPr>
    </w:p>
    <w:p w14:paraId="5151545E" w14:textId="7A43F5C8" w:rsidR="00936F68" w:rsidRPr="00936F68" w:rsidRDefault="00936F68" w:rsidP="00936F68">
      <w:pPr>
        <w:rPr>
          <w:lang w:val="es-ES"/>
        </w:rPr>
      </w:pPr>
      <w:r w:rsidRPr="00936F68">
        <w:rPr>
          <w:lang w:val="es-ES"/>
        </w:rPr>
        <w:t>Eje 7: Sector agropecuario y tierra</w:t>
      </w:r>
    </w:p>
    <w:p w14:paraId="381E8D2A" w14:textId="0B86F09D" w:rsidR="00936F68" w:rsidRPr="00936F68" w:rsidRDefault="00936F68" w:rsidP="00936F68">
      <w:pPr>
        <w:rPr>
          <w:lang w:val="es-ES"/>
        </w:rPr>
      </w:pPr>
      <w:r w:rsidRPr="00936F68">
        <w:rPr>
          <w:lang w:val="es-ES"/>
        </w:rPr>
        <w:t xml:space="preserve">   58. Modificación del uso de la tierra: usufructo por tiempo indeterminado para personas jurídicas/naturales, eliminación de requisitos de trabajo directo en la tierra. (Norma: Resoluciones del MINAG).</w:t>
      </w:r>
    </w:p>
    <w:p w14:paraId="071A5722" w14:textId="52C961BE" w:rsidR="00936F68" w:rsidRPr="00936F68" w:rsidRDefault="00936F68" w:rsidP="00936F68">
      <w:pPr>
        <w:rPr>
          <w:lang w:val="es-ES"/>
        </w:rPr>
      </w:pPr>
      <w:r w:rsidRPr="00936F68">
        <w:rPr>
          <w:lang w:val="es-ES"/>
        </w:rPr>
        <w:t xml:space="preserve">   59-62. Cooperativas pueden importar combustibles, hacer comercio exterior directo, gestionar financiamiento externo y abrir cuentas en divisas. Descentralización de formación de precios agropecuarios y creación de un Banco para el Fomento Agrícola.</w:t>
      </w:r>
    </w:p>
    <w:p w14:paraId="188D62C9" w14:textId="77777777" w:rsidR="00936F68" w:rsidRPr="00936F68" w:rsidRDefault="00936F68" w:rsidP="00936F68">
      <w:pPr>
        <w:rPr>
          <w:lang w:val="es-ES"/>
        </w:rPr>
      </w:pPr>
    </w:p>
    <w:p w14:paraId="03136BAD" w14:textId="1EF1186D" w:rsidR="00936F68" w:rsidRPr="00936F68" w:rsidRDefault="00936F68" w:rsidP="00936F68">
      <w:pPr>
        <w:rPr>
          <w:lang w:val="es-ES"/>
        </w:rPr>
      </w:pPr>
      <w:r w:rsidRPr="00936F68">
        <w:rPr>
          <w:lang w:val="es-ES"/>
        </w:rPr>
        <w:t>Eje 8: Transformaciones sociales</w:t>
      </w:r>
    </w:p>
    <w:p w14:paraId="1B16773C" w14:textId="12B7A465" w:rsidR="00936F68" w:rsidRPr="00936F68" w:rsidRDefault="00936F68" w:rsidP="00936F68">
      <w:pPr>
        <w:rPr>
          <w:lang w:val="es-ES"/>
        </w:rPr>
      </w:pPr>
      <w:r w:rsidRPr="00936F68">
        <w:rPr>
          <w:lang w:val="es-ES"/>
        </w:rPr>
        <w:t xml:space="preserve">   63-69. Plataforma "Soberanía" para ayudas, obligación de responsabilidad social empresarial (apoyo a pensionados, comedores, salud, transporte), fortalecimiento del trabajo social y beneficios fiscales para talleres con personas en situación de discapacidad.</w:t>
      </w:r>
    </w:p>
    <w:p w14:paraId="47E8F2CB" w14:textId="77777777" w:rsidR="00936F68" w:rsidRPr="00936F68" w:rsidRDefault="00936F68" w:rsidP="00936F68">
      <w:pPr>
        <w:rPr>
          <w:lang w:val="es-ES"/>
        </w:rPr>
      </w:pPr>
    </w:p>
    <w:p w14:paraId="4EB736DA" w14:textId="01B874B3" w:rsidR="00936F68" w:rsidRPr="00936F68" w:rsidRDefault="00936F68" w:rsidP="00936F68">
      <w:pPr>
        <w:rPr>
          <w:lang w:val="es-ES"/>
        </w:rPr>
      </w:pPr>
      <w:r w:rsidRPr="00936F68">
        <w:rPr>
          <w:lang w:val="es-ES"/>
        </w:rPr>
        <w:t>Eje 9: Subsidios</w:t>
      </w:r>
    </w:p>
    <w:p w14:paraId="65C0329E" w14:textId="2A2A7F86" w:rsidR="00936F68" w:rsidRPr="00936F68" w:rsidRDefault="00936F68" w:rsidP="00936F68">
      <w:pPr>
        <w:rPr>
          <w:lang w:val="es-ES"/>
        </w:rPr>
      </w:pPr>
      <w:r w:rsidRPr="00936F68">
        <w:rPr>
          <w:lang w:val="es-ES"/>
        </w:rPr>
        <w:t xml:space="preserve">   70-71. Eliminación gradual de subsidios a productos, transformándolos en subsidios focalizados a personas, y creación de un Fondo de Protección Social previo.</w:t>
      </w:r>
    </w:p>
    <w:p w14:paraId="1962C70B" w14:textId="77777777" w:rsidR="00936F68" w:rsidRPr="00936F68" w:rsidRDefault="00936F68" w:rsidP="00936F68">
      <w:pPr>
        <w:rPr>
          <w:lang w:val="es-ES"/>
        </w:rPr>
      </w:pPr>
    </w:p>
    <w:p w14:paraId="7D7ABD32" w14:textId="693F81F2" w:rsidR="00936F68" w:rsidRPr="00936F68" w:rsidRDefault="00936F68" w:rsidP="00936F68">
      <w:pPr>
        <w:rPr>
          <w:lang w:val="es-ES"/>
        </w:rPr>
      </w:pPr>
      <w:r w:rsidRPr="00936F68">
        <w:rPr>
          <w:lang w:val="es-ES"/>
        </w:rPr>
        <w:t>Eje 10: Laboral y salarial</w:t>
      </w:r>
    </w:p>
    <w:p w14:paraId="68B91CF3" w14:textId="3B6B0070" w:rsidR="00936F68" w:rsidRPr="00936F68" w:rsidRDefault="00936F68" w:rsidP="00936F68">
      <w:pPr>
        <w:rPr>
          <w:lang w:val="es-ES"/>
        </w:rPr>
      </w:pPr>
      <w:r w:rsidRPr="00936F68">
        <w:rPr>
          <w:lang w:val="es-ES"/>
        </w:rPr>
        <w:t xml:space="preserve">   72-73. Incremento salarial en sector presupuestado y fijación anual del salario mínimo vinculado a la inflación.</w:t>
      </w:r>
    </w:p>
    <w:p w14:paraId="209884CC" w14:textId="12FC8A7A" w:rsidR="00936F68" w:rsidRPr="00936F68" w:rsidRDefault="00936F68" w:rsidP="00936F68">
      <w:pPr>
        <w:rPr>
          <w:lang w:val="es-ES"/>
        </w:rPr>
      </w:pPr>
      <w:r w:rsidRPr="00936F68">
        <w:rPr>
          <w:lang w:val="es-ES"/>
        </w:rPr>
        <w:t xml:space="preserve">   74. Eliminación del límite de escala de contribución social del sector no estatal y reconocimiento de hasta 10 años de cuidados familiares como tiempo de servicio.</w:t>
      </w:r>
    </w:p>
    <w:p w14:paraId="6FBF5426" w14:textId="5A37BED9" w:rsidR="00936F68" w:rsidRPr="00936F68" w:rsidRDefault="00936F68" w:rsidP="00936F68">
      <w:pPr>
        <w:rPr>
          <w:lang w:val="es-ES"/>
        </w:rPr>
      </w:pPr>
      <w:r w:rsidRPr="00936F68">
        <w:rPr>
          <w:lang w:val="es-ES"/>
        </w:rPr>
        <w:t xml:space="preserve">   75-83. Eliminación de aprobación administrativa para pluriempleo en ciertos profesionales, incentivos para retener talento, teletrabajo desde el exterior, y regulación de desvinculaciones laborales con protección monetaria (3 a 6 salarios básicos). (Norma: Resolución 56/2026 del MTSS).</w:t>
      </w:r>
    </w:p>
    <w:p w14:paraId="1A0C1B09" w14:textId="77777777" w:rsidR="00936F68" w:rsidRPr="00936F68" w:rsidRDefault="00936F68" w:rsidP="00936F68">
      <w:pPr>
        <w:rPr>
          <w:lang w:val="es-ES"/>
        </w:rPr>
      </w:pPr>
    </w:p>
    <w:p w14:paraId="5D75EB07" w14:textId="29474479" w:rsidR="00936F68" w:rsidRPr="00936F68" w:rsidRDefault="00936F68" w:rsidP="00936F68">
      <w:pPr>
        <w:rPr>
          <w:lang w:val="es-ES"/>
        </w:rPr>
      </w:pPr>
      <w:r w:rsidRPr="00936F68">
        <w:rPr>
          <w:lang w:val="es-ES"/>
        </w:rPr>
        <w:t xml:space="preserve">  MACRO-ÁMBITO 4: Sistema Financiero, Tributario y Cambiario (ALTA IMPORTANCIA CRÍTICA)</w:t>
      </w:r>
    </w:p>
    <w:p w14:paraId="0FC665AE" w14:textId="6F21AB04" w:rsidR="00936F68" w:rsidRPr="00936F68" w:rsidRDefault="00936F68" w:rsidP="00936F68">
      <w:pPr>
        <w:rPr>
          <w:lang w:val="es-ES"/>
        </w:rPr>
      </w:pPr>
      <w:r w:rsidRPr="00936F68">
        <w:rPr>
          <w:lang w:val="es-ES"/>
        </w:rPr>
        <w:lastRenderedPageBreak/>
        <w:t>El marco que define cómo las Mipymes manejan dinero, impuestos y divisas.</w:t>
      </w:r>
    </w:p>
    <w:p w14:paraId="49377A89" w14:textId="77777777" w:rsidR="00936F68" w:rsidRPr="00936F68" w:rsidRDefault="00936F68" w:rsidP="00936F68">
      <w:pPr>
        <w:rPr>
          <w:lang w:val="es-ES"/>
        </w:rPr>
      </w:pPr>
    </w:p>
    <w:p w14:paraId="7064A7B1" w14:textId="7B6A6B02" w:rsidR="00936F68" w:rsidRPr="00936F68" w:rsidRDefault="00936F68" w:rsidP="00936F68">
      <w:pPr>
        <w:rPr>
          <w:lang w:val="es-ES"/>
        </w:rPr>
      </w:pPr>
      <w:r w:rsidRPr="00936F68">
        <w:rPr>
          <w:lang w:val="es-ES"/>
        </w:rPr>
        <w:t>Eje 11: Sistema bancario y financiero</w:t>
      </w:r>
    </w:p>
    <w:p w14:paraId="60822DE8" w14:textId="5581BE4C" w:rsidR="00936F68" w:rsidRPr="00936F68" w:rsidRDefault="00936F68" w:rsidP="00936F68">
      <w:pPr>
        <w:rPr>
          <w:lang w:val="es-ES"/>
        </w:rPr>
      </w:pPr>
      <w:r w:rsidRPr="00936F68">
        <w:rPr>
          <w:lang w:val="es-ES"/>
        </w:rPr>
        <w:t xml:space="preserve">   84-86. Fomento de capital privado en banca (banca corporativa/universal), eliminación de restricciones a pagos en divisas y permiso de apertura de cuentas en divisas en Cuba y el exterior sin autorización previa. (Norma: Ley de Entidades Financieras / Res. BCC).</w:t>
      </w:r>
    </w:p>
    <w:p w14:paraId="7D27F9D0" w14:textId="6D6E53DB" w:rsidR="00936F68" w:rsidRPr="00936F68" w:rsidRDefault="00936F68" w:rsidP="00936F68">
      <w:pPr>
        <w:rPr>
          <w:lang w:val="es-ES"/>
        </w:rPr>
      </w:pPr>
      <w:r w:rsidRPr="00936F68">
        <w:rPr>
          <w:lang w:val="es-ES"/>
        </w:rPr>
        <w:t xml:space="preserve">   87-98. Marco regulatorio para activos virtuales, actualización de tasas de interés, recuperación del crédito bancario, emisión de bonos, figura de agente de pago de última milla para remesas, licencia de institución financiera no bancaria para Transfermóvil y eliminación de límites en transferencias/extracción.</w:t>
      </w:r>
    </w:p>
    <w:p w14:paraId="01A7AD48" w14:textId="77777777" w:rsidR="00936F68" w:rsidRPr="00936F68" w:rsidRDefault="00936F68" w:rsidP="00936F68">
      <w:pPr>
        <w:rPr>
          <w:lang w:val="es-ES"/>
        </w:rPr>
      </w:pPr>
    </w:p>
    <w:p w14:paraId="18AF5B6E" w14:textId="4F3A37B0" w:rsidR="00936F68" w:rsidRPr="00936F68" w:rsidRDefault="00936F68" w:rsidP="00936F68">
      <w:pPr>
        <w:rPr>
          <w:lang w:val="es-ES"/>
        </w:rPr>
      </w:pPr>
      <w:r w:rsidRPr="00936F68">
        <w:rPr>
          <w:lang w:val="es-ES"/>
        </w:rPr>
        <w:t>Eje 11.1: Transformaciones cambiarias</w:t>
      </w:r>
    </w:p>
    <w:p w14:paraId="1A534E40" w14:textId="6C1AE11F" w:rsidR="00936F68" w:rsidRPr="00936F68" w:rsidRDefault="00936F68" w:rsidP="00936F68">
      <w:pPr>
        <w:rPr>
          <w:lang w:val="es-ES"/>
        </w:rPr>
      </w:pPr>
      <w:r w:rsidRPr="00936F68">
        <w:rPr>
          <w:lang w:val="es-ES"/>
        </w:rPr>
        <w:t xml:space="preserve">   99-103. Redimensionamiento del mercado cambiario con participación no estatal (licencias para casas de cambio privadas), mercado cambiario digital, devaluaciones sucesivas, incorporación de cooperativas y Mipymes al Segmento III, y ventanillas únicas de cambio. (Norma: Resoluciones BCC).</w:t>
      </w:r>
    </w:p>
    <w:p w14:paraId="08EDB094" w14:textId="77777777" w:rsidR="00936F68" w:rsidRPr="00936F68" w:rsidRDefault="00936F68" w:rsidP="00936F68">
      <w:pPr>
        <w:rPr>
          <w:lang w:val="es-ES"/>
        </w:rPr>
      </w:pPr>
    </w:p>
    <w:p w14:paraId="219BC5E4" w14:textId="011413D7" w:rsidR="00936F68" w:rsidRPr="00936F68" w:rsidRDefault="00936F68" w:rsidP="00936F68">
      <w:pPr>
        <w:rPr>
          <w:lang w:val="es-ES"/>
        </w:rPr>
      </w:pPr>
      <w:r w:rsidRPr="00936F68">
        <w:rPr>
          <w:lang w:val="es-ES"/>
        </w:rPr>
        <w:t>Eje 12: Sistema Tributario</w:t>
      </w:r>
    </w:p>
    <w:p w14:paraId="70038CC9" w14:textId="7288278A" w:rsidR="00936F68" w:rsidRPr="00936F68" w:rsidRDefault="00936F68" w:rsidP="00936F68">
      <w:pPr>
        <w:rPr>
          <w:lang w:val="es-ES"/>
        </w:rPr>
      </w:pPr>
      <w:r w:rsidRPr="00936F68">
        <w:rPr>
          <w:lang w:val="es-ES"/>
        </w:rPr>
        <w:t xml:space="preserve">   104-107. Implementación gradual del IVA, factura electrónica fiscal con incentivos, bonificación por ventas bancarizadas y reducción de la carga del Impuesto sobre Utilidades. (Norma: Código Tributario / Res. ONAT).</w:t>
      </w:r>
    </w:p>
    <w:p w14:paraId="533CF21E" w14:textId="6C61CDCB" w:rsidR="00936F68" w:rsidRPr="00936F68" w:rsidRDefault="00936F68" w:rsidP="00936F68">
      <w:pPr>
        <w:rPr>
          <w:lang w:val="es-ES"/>
        </w:rPr>
      </w:pPr>
      <w:r w:rsidRPr="00936F68">
        <w:rPr>
          <w:lang w:val="es-ES"/>
        </w:rPr>
        <w:t xml:space="preserve">   108-112. Tipo impositivo reducido para el agro, simplificación del cálculo de utilidades (eliminación de utilidad per cápita para socios), depreciación acelerada para maquinarias y exenciones por inversión en sector social.</w:t>
      </w:r>
    </w:p>
    <w:p w14:paraId="64214B21" w14:textId="7F20DDE7" w:rsidR="00936F68" w:rsidRPr="00936F68" w:rsidRDefault="00936F68" w:rsidP="00936F68">
      <w:pPr>
        <w:rPr>
          <w:lang w:val="es-ES"/>
        </w:rPr>
      </w:pPr>
      <w:r w:rsidRPr="00936F68">
        <w:rPr>
          <w:lang w:val="es-ES"/>
        </w:rPr>
        <w:t xml:space="preserve">   113-116. Actualización del impuesto sobre ingresos personales (aumento del mínimo exento), retomo del régimen simplificado de tributación para actividades de menor complejidad y aumento de cuantías fijas (transporte, embarcaciones, documentos, ambientales).</w:t>
      </w:r>
    </w:p>
    <w:p w14:paraId="6C4C0FD8" w14:textId="77777777" w:rsidR="00936F68" w:rsidRPr="00936F68" w:rsidRDefault="00936F68" w:rsidP="00936F68">
      <w:pPr>
        <w:rPr>
          <w:lang w:val="es-ES"/>
        </w:rPr>
      </w:pPr>
    </w:p>
    <w:p w14:paraId="3D08D006" w14:textId="05C56953" w:rsidR="00936F68" w:rsidRPr="00936F68" w:rsidRDefault="00936F68" w:rsidP="00936F68">
      <w:pPr>
        <w:rPr>
          <w:lang w:val="es-ES"/>
        </w:rPr>
      </w:pPr>
      <w:r w:rsidRPr="00936F68">
        <w:rPr>
          <w:lang w:val="es-ES"/>
        </w:rPr>
        <w:t>Eje 13: Política de precios</w:t>
      </w:r>
    </w:p>
    <w:p w14:paraId="16214814" w14:textId="2E1A9DBD" w:rsidR="00936F68" w:rsidRPr="00936F68" w:rsidRDefault="00936F68" w:rsidP="00936F68">
      <w:pPr>
        <w:rPr>
          <w:lang w:val="es-ES"/>
        </w:rPr>
      </w:pPr>
      <w:r w:rsidRPr="00936F68">
        <w:rPr>
          <w:lang w:val="es-ES"/>
        </w:rPr>
        <w:t xml:space="preserve">   117-118.  Descentralización de la aprobación de precios y tarifas a las empresas. Eliminación general de topes de precios y de la obligatoriedad del método de costos, pasando a métodos de referencia de mercado. (Norma: Resoluciones del Ministerio de Finanzas y Precios - MFP).</w:t>
      </w:r>
    </w:p>
    <w:p w14:paraId="15D6EF33" w14:textId="77777777" w:rsidR="00936F68" w:rsidRPr="00936F68" w:rsidRDefault="00936F68" w:rsidP="00936F68">
      <w:pPr>
        <w:rPr>
          <w:lang w:val="es-ES"/>
        </w:rPr>
      </w:pPr>
    </w:p>
    <w:p w14:paraId="71A33963" w14:textId="42929417" w:rsidR="00936F68" w:rsidRPr="00936F68" w:rsidRDefault="00936F68" w:rsidP="00936F68">
      <w:pPr>
        <w:rPr>
          <w:lang w:val="es-ES"/>
        </w:rPr>
      </w:pPr>
      <w:r w:rsidRPr="00936F68">
        <w:rPr>
          <w:lang w:val="es-ES"/>
        </w:rPr>
        <w:t>Eje 16: Dolarización parcial</w:t>
      </w:r>
    </w:p>
    <w:p w14:paraId="1DDD7E35" w14:textId="08B0A380" w:rsidR="00936F68" w:rsidRPr="00936F68" w:rsidRDefault="00936F68" w:rsidP="00936F68">
      <w:pPr>
        <w:rPr>
          <w:lang w:val="es-ES"/>
        </w:rPr>
      </w:pPr>
      <w:r w:rsidRPr="00936F68">
        <w:rPr>
          <w:lang w:val="es-ES"/>
        </w:rPr>
        <w:lastRenderedPageBreak/>
        <w:t xml:space="preserve">   131-132. Ampliación de la dolarización parcial en operaciones interempresariales y transición de esquemas cerrados de autofinanciamiento a esquemas de aportes.</w:t>
      </w:r>
    </w:p>
    <w:p w14:paraId="553F78D1" w14:textId="77777777" w:rsidR="00936F68" w:rsidRPr="00936F68" w:rsidRDefault="00936F68" w:rsidP="00936F68">
      <w:pPr>
        <w:rPr>
          <w:lang w:val="es-ES"/>
        </w:rPr>
      </w:pPr>
    </w:p>
    <w:p w14:paraId="7F0AC14A" w14:textId="77DB8B86" w:rsidR="00936F68" w:rsidRPr="00936F68" w:rsidRDefault="00936F68" w:rsidP="00936F68">
      <w:pPr>
        <w:rPr>
          <w:lang w:val="es-ES"/>
        </w:rPr>
      </w:pPr>
      <w:r w:rsidRPr="00936F68">
        <w:rPr>
          <w:lang w:val="es-ES"/>
        </w:rPr>
        <w:t>Eje 20: Seguros</w:t>
      </w:r>
    </w:p>
    <w:p w14:paraId="5AA62C24" w14:textId="7B7D0B56" w:rsidR="00936F68" w:rsidRPr="00936F68" w:rsidRDefault="00936F68" w:rsidP="00936F68">
      <w:pPr>
        <w:rPr>
          <w:lang w:val="es-ES"/>
        </w:rPr>
      </w:pPr>
      <w:r w:rsidRPr="00936F68">
        <w:rPr>
          <w:lang w:val="es-ES"/>
        </w:rPr>
        <w:t xml:space="preserve">   159-162. Rentabilización de recursos en seguros, creación de seguro de vida complementario, pólizas en divisas para transporte/viajes/salud y seguro de responsabilidad civil obligatorio para conductores.</w:t>
      </w:r>
    </w:p>
    <w:p w14:paraId="33F84F73" w14:textId="77777777" w:rsidR="00936F68" w:rsidRPr="00936F68" w:rsidRDefault="00936F68" w:rsidP="00936F68">
      <w:pPr>
        <w:rPr>
          <w:lang w:val="es-ES"/>
        </w:rPr>
      </w:pPr>
    </w:p>
    <w:p w14:paraId="580CB79B" w14:textId="77777777" w:rsidR="00936F68" w:rsidRPr="00936F68" w:rsidRDefault="00936F68" w:rsidP="00936F68">
      <w:pPr>
        <w:rPr>
          <w:lang w:val="es-ES"/>
        </w:rPr>
      </w:pPr>
      <w:r w:rsidRPr="00936F68">
        <w:rPr>
          <w:lang w:val="es-ES"/>
        </w:rPr>
        <w:t>---</w:t>
      </w:r>
    </w:p>
    <w:p w14:paraId="7AECA46D" w14:textId="77777777" w:rsidR="00936F68" w:rsidRPr="00936F68" w:rsidRDefault="00936F68" w:rsidP="00936F68">
      <w:pPr>
        <w:rPr>
          <w:lang w:val="es-ES"/>
        </w:rPr>
      </w:pPr>
    </w:p>
    <w:p w14:paraId="636CD1BF" w14:textId="117C8066" w:rsidR="00936F68" w:rsidRPr="00936F68" w:rsidRDefault="00936F68" w:rsidP="00936F68">
      <w:pPr>
        <w:rPr>
          <w:lang w:val="es-ES"/>
        </w:rPr>
      </w:pPr>
      <w:r w:rsidRPr="00936F68">
        <w:rPr>
          <w:lang w:val="es-ES"/>
        </w:rPr>
        <w:t xml:space="preserve">  MACRO-ÁMBITO 5: Inversión, Comercio Exterior y Modernización (IMPORTANCIA ESTRATÉGICA)</w:t>
      </w:r>
    </w:p>
    <w:p w14:paraId="60B778CE" w14:textId="44F47310" w:rsidR="00936F68" w:rsidRPr="00936F68" w:rsidRDefault="00936F68" w:rsidP="00936F68">
      <w:pPr>
        <w:rPr>
          <w:lang w:val="es-ES"/>
        </w:rPr>
      </w:pPr>
      <w:r w:rsidRPr="00936F68">
        <w:rPr>
          <w:lang w:val="es-ES"/>
        </w:rPr>
        <w:t>Apertura al exterior y modernización tecnológica.</w:t>
      </w:r>
    </w:p>
    <w:p w14:paraId="79A270AB" w14:textId="77777777" w:rsidR="00936F68" w:rsidRPr="00936F68" w:rsidRDefault="00936F68" w:rsidP="00936F68">
      <w:pPr>
        <w:rPr>
          <w:lang w:val="es-ES"/>
        </w:rPr>
      </w:pPr>
    </w:p>
    <w:p w14:paraId="67C9374C" w14:textId="68DDD50A" w:rsidR="00936F68" w:rsidRPr="00936F68" w:rsidRDefault="00936F68" w:rsidP="00936F68">
      <w:pPr>
        <w:rPr>
          <w:lang w:val="es-ES"/>
        </w:rPr>
      </w:pPr>
      <w:r w:rsidRPr="00936F68">
        <w:rPr>
          <w:lang w:val="es-ES"/>
        </w:rPr>
        <w:t>Eje 14: Inversión Extranjera</w:t>
      </w:r>
    </w:p>
    <w:p w14:paraId="2D5B3D18" w14:textId="09BC1B8E" w:rsidR="00936F68" w:rsidRPr="00936F68" w:rsidRDefault="00936F68" w:rsidP="00936F68">
      <w:pPr>
        <w:rPr>
          <w:lang w:val="es-ES"/>
        </w:rPr>
      </w:pPr>
      <w:r w:rsidRPr="00936F68">
        <w:rPr>
          <w:lang w:val="es-ES"/>
        </w:rPr>
        <w:t xml:space="preserve">   119-126. Derechos de superficie hasta 99 años, permiso para abrir cuentas bancarias en el exterior sin autorización, negocios inmobiliarios de compraventa, eliminación de entidades empleadoras obligatorias para contratar personal, acceso flexible al mercado cambiario y aplicación del silencio administrativo positivo en trámites permisológicos. (Norma: Ley 118/2014 actualizada y nuevos Decretos del MINCEX).</w:t>
      </w:r>
    </w:p>
    <w:p w14:paraId="20439D6F" w14:textId="77777777" w:rsidR="00936F68" w:rsidRPr="00936F68" w:rsidRDefault="00936F68" w:rsidP="00936F68">
      <w:pPr>
        <w:rPr>
          <w:lang w:val="es-ES"/>
        </w:rPr>
      </w:pPr>
    </w:p>
    <w:p w14:paraId="5CFB6B63" w14:textId="0A24639F" w:rsidR="00936F68" w:rsidRPr="00936F68" w:rsidRDefault="00936F68" w:rsidP="00936F68">
      <w:pPr>
        <w:rPr>
          <w:lang w:val="es-ES"/>
        </w:rPr>
      </w:pPr>
      <w:r w:rsidRPr="00936F68">
        <w:rPr>
          <w:lang w:val="es-ES"/>
        </w:rPr>
        <w:t>Eje 15: Comercio exterior</w:t>
      </w:r>
    </w:p>
    <w:p w14:paraId="34539A6B" w14:textId="1079DC6C" w:rsidR="00936F68" w:rsidRPr="00936F68" w:rsidRDefault="00936F68" w:rsidP="00936F68">
      <w:pPr>
        <w:rPr>
          <w:lang w:val="es-ES"/>
        </w:rPr>
      </w:pPr>
      <w:r w:rsidRPr="00936F68">
        <w:rPr>
          <w:lang w:val="es-ES"/>
        </w:rPr>
        <w:t xml:space="preserve">   127-130. Fomento de exportaciones, principio de nomenclatura negativa (todo lo no prohibido está permitido) y permiso para que empresas privadas y cooperativas realicen comercio exterior directo previa autorización.</w:t>
      </w:r>
    </w:p>
    <w:p w14:paraId="0657D277" w14:textId="77777777" w:rsidR="00936F68" w:rsidRPr="00936F68" w:rsidRDefault="00936F68" w:rsidP="00936F68">
      <w:pPr>
        <w:rPr>
          <w:lang w:val="es-ES"/>
        </w:rPr>
      </w:pPr>
    </w:p>
    <w:p w14:paraId="7231DFAB" w14:textId="62B52078" w:rsidR="00936F68" w:rsidRPr="00936F68" w:rsidRDefault="00936F68" w:rsidP="00936F68">
      <w:pPr>
        <w:rPr>
          <w:lang w:val="es-ES"/>
        </w:rPr>
      </w:pPr>
      <w:r w:rsidRPr="00936F68">
        <w:rPr>
          <w:lang w:val="es-ES"/>
        </w:rPr>
        <w:t>Eje 17: Turismo</w:t>
      </w:r>
    </w:p>
    <w:p w14:paraId="7E5E850D" w14:textId="2E09D9CD" w:rsidR="00936F68" w:rsidRPr="00936F68" w:rsidRDefault="00936F68" w:rsidP="00936F68">
      <w:pPr>
        <w:rPr>
          <w:lang w:val="es-ES"/>
        </w:rPr>
      </w:pPr>
      <w:r w:rsidRPr="00936F68">
        <w:rPr>
          <w:lang w:val="es-ES"/>
        </w:rPr>
        <w:t xml:space="preserve">   133-145. Nuevas modalidades de negocios (arrendamientos, usufructo oneroso, venta de inmuebles caso a caso) para inversionistas extranjeros y cubanos en el exterior. Desarrollo inmobiliario en zonas turísticas, renta de autos y agencias de viajes para actores no estatales, y promoción de franquicias cubanas en el exterior.</w:t>
      </w:r>
    </w:p>
    <w:p w14:paraId="0B232D26" w14:textId="77777777" w:rsidR="00936F68" w:rsidRPr="00936F68" w:rsidRDefault="00936F68" w:rsidP="00936F68">
      <w:pPr>
        <w:rPr>
          <w:lang w:val="es-ES"/>
        </w:rPr>
      </w:pPr>
    </w:p>
    <w:p w14:paraId="5F87D428" w14:textId="724C4541" w:rsidR="00936F68" w:rsidRPr="00936F68" w:rsidRDefault="00936F68" w:rsidP="00936F68">
      <w:pPr>
        <w:rPr>
          <w:lang w:val="es-ES"/>
        </w:rPr>
      </w:pPr>
      <w:r w:rsidRPr="00936F68">
        <w:rPr>
          <w:lang w:val="es-ES"/>
        </w:rPr>
        <w:t>Eje 18: Transporte</w:t>
      </w:r>
    </w:p>
    <w:p w14:paraId="78E2FC10" w14:textId="4AF55AA6" w:rsidR="00936F68" w:rsidRPr="00936F68" w:rsidRDefault="00936F68" w:rsidP="00936F68">
      <w:pPr>
        <w:rPr>
          <w:lang w:val="es-ES"/>
        </w:rPr>
      </w:pPr>
      <w:r w:rsidRPr="00936F68">
        <w:rPr>
          <w:lang w:val="es-ES"/>
        </w:rPr>
        <w:t xml:space="preserve">   146-148. Eliminación de restricciones para adquisición de vehículos por personas jurídicas/naturales. Autorización de importación directa (comercial y no comercial) de vehículos 100% eléctricos, con exoneración de impuestos si se acompaña de estación de carga con energía renovable.</w:t>
      </w:r>
    </w:p>
    <w:p w14:paraId="36ECE37B" w14:textId="77777777" w:rsidR="00936F68" w:rsidRPr="00936F68" w:rsidRDefault="00936F68" w:rsidP="00936F68">
      <w:pPr>
        <w:rPr>
          <w:lang w:val="es-ES"/>
        </w:rPr>
      </w:pPr>
    </w:p>
    <w:p w14:paraId="38DFAE4A" w14:textId="6CFCF7CF" w:rsidR="00936F68" w:rsidRPr="00936F68" w:rsidRDefault="00936F68" w:rsidP="00936F68">
      <w:pPr>
        <w:rPr>
          <w:lang w:val="es-ES"/>
        </w:rPr>
      </w:pPr>
      <w:r w:rsidRPr="00936F68">
        <w:rPr>
          <w:lang w:val="es-ES"/>
        </w:rPr>
        <w:t>Eje 19: Comercio, gastronomía y servicios</w:t>
      </w:r>
    </w:p>
    <w:p w14:paraId="782E2718" w14:textId="41A36F97" w:rsidR="00936F68" w:rsidRPr="00936F68" w:rsidRDefault="00936F68" w:rsidP="00936F68">
      <w:pPr>
        <w:rPr>
          <w:lang w:val="es-ES"/>
        </w:rPr>
      </w:pPr>
      <w:r w:rsidRPr="00936F68">
        <w:rPr>
          <w:lang w:val="es-ES"/>
        </w:rPr>
        <w:t xml:space="preserve">   149-158. Prioridad a formas de gestión no estatal e inversión extranjera. Reordenamiento del comercio mayorista sin límites, creación de cadenas de tiendas/restaurantes, licitación de parques/zoológicos, carné de "vendedor ambulante" con régimen simplificado, y autorización de importaciones con carácter comercial por vía no comercial (con aranceles en divisas).</w:t>
      </w:r>
    </w:p>
    <w:p w14:paraId="1D9EB83C" w14:textId="77777777" w:rsidR="00936F68" w:rsidRPr="00936F68" w:rsidRDefault="00936F68" w:rsidP="00936F68">
      <w:pPr>
        <w:rPr>
          <w:lang w:val="es-ES"/>
        </w:rPr>
      </w:pPr>
    </w:p>
    <w:p w14:paraId="6D0E9AA7" w14:textId="2644B080" w:rsidR="00936F68" w:rsidRPr="00936F68" w:rsidRDefault="00936F68" w:rsidP="00936F68">
      <w:pPr>
        <w:rPr>
          <w:lang w:val="es-ES"/>
        </w:rPr>
      </w:pPr>
      <w:r w:rsidRPr="00936F68">
        <w:rPr>
          <w:lang w:val="es-ES"/>
        </w:rPr>
        <w:t>Eje 21: Ámbito digital, IA y economía del conocimiento</w:t>
      </w:r>
    </w:p>
    <w:p w14:paraId="644FF619" w14:textId="35FCD32A" w:rsidR="00936F68" w:rsidRPr="00936F68" w:rsidRDefault="00936F68" w:rsidP="00936F68">
      <w:pPr>
        <w:rPr>
          <w:lang w:val="es-ES"/>
        </w:rPr>
      </w:pPr>
      <w:r w:rsidRPr="00936F68">
        <w:rPr>
          <w:lang w:val="es-ES"/>
        </w:rPr>
        <w:t xml:space="preserve">   163-172. Nodo tecnológico nacional de IA, marco de interoperabilidad y gobernanza de datos, uso de IA en administración pública, inversión extranjera en centros de datos de ETECSA, permiso al sector privado para comercializar servicios de computación en la nube (no críticos), plataforma digital de compras públicas con IA, gestión mixta de logística de última milla y reconocimiento del dato como quinto factor de producción.</w:t>
      </w:r>
    </w:p>
    <w:p w14:paraId="6AA0F99E" w14:textId="77777777" w:rsidR="00936F68" w:rsidRPr="00936F68" w:rsidRDefault="00936F68" w:rsidP="00936F68">
      <w:pPr>
        <w:rPr>
          <w:lang w:val="es-ES"/>
        </w:rPr>
      </w:pPr>
    </w:p>
    <w:p w14:paraId="3C9508C0" w14:textId="028939BD" w:rsidR="00936F68" w:rsidRPr="00936F68" w:rsidRDefault="00936F68" w:rsidP="00936F68">
      <w:pPr>
        <w:rPr>
          <w:lang w:val="es-ES"/>
        </w:rPr>
      </w:pPr>
      <w:r w:rsidRPr="00936F68">
        <w:rPr>
          <w:lang w:val="es-ES"/>
        </w:rPr>
        <w:t>Eje 22: Sistema estadístico nacional</w:t>
      </w:r>
    </w:p>
    <w:p w14:paraId="3C7D8C3C" w14:textId="3F3DCDE5" w:rsidR="00936F68" w:rsidRPr="00936F68" w:rsidRDefault="00936F68" w:rsidP="00936F68">
      <w:pPr>
        <w:rPr>
          <w:lang w:val="es-ES"/>
        </w:rPr>
      </w:pPr>
      <w:r w:rsidRPr="00936F68">
        <w:rPr>
          <w:lang w:val="es-ES"/>
        </w:rPr>
        <w:t xml:space="preserve">   173-175. Ajuste del sistema estadístico a las nuevas transformaciones, cambio del año base de las Cuentas Nacionales y retomo de índices de precios al productor y comercio exterior.</w:t>
      </w:r>
    </w:p>
    <w:p w14:paraId="3779B583" w14:textId="77777777" w:rsidR="00936F68" w:rsidRPr="00936F68" w:rsidRDefault="00936F68" w:rsidP="00936F68">
      <w:pPr>
        <w:rPr>
          <w:lang w:val="es-ES"/>
        </w:rPr>
      </w:pPr>
    </w:p>
    <w:p w14:paraId="533522A7" w14:textId="688190CC" w:rsidR="00936F68" w:rsidRPr="00936F68" w:rsidRDefault="00936F68" w:rsidP="00936F68">
      <w:pPr>
        <w:rPr>
          <w:lang w:val="es-ES"/>
        </w:rPr>
      </w:pPr>
      <w:r w:rsidRPr="00936F68">
        <w:rPr>
          <w:lang w:val="es-ES"/>
        </w:rPr>
        <w:t>Eje 23: Mecanismos de control e inspección</w:t>
      </w:r>
    </w:p>
    <w:p w14:paraId="158B9400" w14:textId="55EC7F2B" w:rsidR="00936F68" w:rsidRPr="00936F68" w:rsidRDefault="00936F68" w:rsidP="00936F68">
      <w:pPr>
        <w:rPr>
          <w:lang w:val="es-ES"/>
        </w:rPr>
      </w:pPr>
      <w:r w:rsidRPr="00936F68">
        <w:rPr>
          <w:lang w:val="es-ES"/>
        </w:rPr>
        <w:t xml:space="preserve">   176.  Creación de un grupo de trabajo transversal (PCC, ANPP, FGR, CGR, MINJUS, etc.) para proponer transformaciones en el control, la inspección y el fortalecimiento de los órganos de control, buscando evitar la asfixia regulatoria.</w:t>
      </w:r>
    </w:p>
    <w:p w14:paraId="26B97F92" w14:textId="77777777" w:rsidR="00936F68" w:rsidRPr="00936F68" w:rsidRDefault="00936F68" w:rsidP="00936F68">
      <w:pPr>
        <w:rPr>
          <w:lang w:val="es-ES"/>
        </w:rPr>
      </w:pPr>
    </w:p>
    <w:p w14:paraId="41AFC3E7" w14:textId="36938F48" w:rsidR="002D2E30" w:rsidRPr="00936F68" w:rsidRDefault="002D2E30" w:rsidP="00936F68">
      <w:pPr>
        <w:rPr>
          <w:lang w:val="es-ES"/>
        </w:rPr>
      </w:pPr>
    </w:p>
    <w:sectPr w:rsidR="002D2E30" w:rsidRPr="00936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42"/>
    <w:rsid w:val="002D2E30"/>
    <w:rsid w:val="005C43EC"/>
    <w:rsid w:val="00936F68"/>
    <w:rsid w:val="00EA4D51"/>
    <w:rsid w:val="00EF6AA7"/>
    <w:rsid w:val="00F3127E"/>
    <w:rsid w:val="00FB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F9C0"/>
  <w15:chartTrackingRefBased/>
  <w15:docId w15:val="{5033DC75-9D6F-4C8F-8013-219D1F83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5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B5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B584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B584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B584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B58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58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58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58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584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B584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B58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B58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B58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B5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5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5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5842"/>
    <w:rPr>
      <w:rFonts w:eastAsiaTheme="majorEastAsia" w:cstheme="majorBidi"/>
      <w:color w:val="272727" w:themeColor="text1" w:themeTint="D8"/>
    </w:rPr>
  </w:style>
  <w:style w:type="paragraph" w:styleId="Ttulo">
    <w:name w:val="Title"/>
    <w:basedOn w:val="Normal"/>
    <w:next w:val="Normal"/>
    <w:link w:val="TtuloCar"/>
    <w:uiPriority w:val="10"/>
    <w:qFormat/>
    <w:rsid w:val="00FB5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5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58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5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5842"/>
    <w:pPr>
      <w:spacing w:before="160"/>
      <w:jc w:val="center"/>
    </w:pPr>
    <w:rPr>
      <w:i/>
      <w:iCs/>
      <w:color w:val="404040" w:themeColor="text1" w:themeTint="BF"/>
    </w:rPr>
  </w:style>
  <w:style w:type="character" w:customStyle="1" w:styleId="CitaCar">
    <w:name w:val="Cita Car"/>
    <w:basedOn w:val="Fuentedeprrafopredeter"/>
    <w:link w:val="Cita"/>
    <w:uiPriority w:val="29"/>
    <w:rsid w:val="00FB5842"/>
    <w:rPr>
      <w:i/>
      <w:iCs/>
      <w:color w:val="404040" w:themeColor="text1" w:themeTint="BF"/>
    </w:rPr>
  </w:style>
  <w:style w:type="paragraph" w:styleId="Prrafodelista">
    <w:name w:val="List Paragraph"/>
    <w:basedOn w:val="Normal"/>
    <w:uiPriority w:val="34"/>
    <w:qFormat/>
    <w:rsid w:val="00FB5842"/>
    <w:pPr>
      <w:ind w:left="720"/>
      <w:contextualSpacing/>
    </w:pPr>
  </w:style>
  <w:style w:type="character" w:styleId="nfasisintenso">
    <w:name w:val="Intense Emphasis"/>
    <w:basedOn w:val="Fuentedeprrafopredeter"/>
    <w:uiPriority w:val="21"/>
    <w:qFormat/>
    <w:rsid w:val="00FB5842"/>
    <w:rPr>
      <w:i/>
      <w:iCs/>
      <w:color w:val="2F5496" w:themeColor="accent1" w:themeShade="BF"/>
    </w:rPr>
  </w:style>
  <w:style w:type="paragraph" w:styleId="Citadestacada">
    <w:name w:val="Intense Quote"/>
    <w:basedOn w:val="Normal"/>
    <w:next w:val="Normal"/>
    <w:link w:val="CitadestacadaCar"/>
    <w:uiPriority w:val="30"/>
    <w:qFormat/>
    <w:rsid w:val="00FB5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5842"/>
    <w:rPr>
      <w:i/>
      <w:iCs/>
      <w:color w:val="2F5496" w:themeColor="accent1" w:themeShade="BF"/>
    </w:rPr>
  </w:style>
  <w:style w:type="character" w:styleId="Referenciaintensa">
    <w:name w:val="Intense Reference"/>
    <w:basedOn w:val="Fuentedeprrafopredeter"/>
    <w:uiPriority w:val="32"/>
    <w:qFormat/>
    <w:rsid w:val="00FB5842"/>
    <w:rPr>
      <w:b/>
      <w:bCs/>
      <w:smallCaps/>
      <w:color w:val="2F5496" w:themeColor="accent1" w:themeShade="BF"/>
      <w:spacing w:val="5"/>
    </w:rPr>
  </w:style>
  <w:style w:type="table" w:styleId="Tablaconcuadrcula">
    <w:name w:val="Table Grid"/>
    <w:basedOn w:val="Tablanormal"/>
    <w:uiPriority w:val="39"/>
    <w:rsid w:val="00936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1799</Words>
  <Characters>9895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 Cardero Cala</dc:creator>
  <cp:keywords/>
  <dc:description/>
  <cp:lastModifiedBy>Lazaro Cardero Cala</cp:lastModifiedBy>
  <cp:revision>2</cp:revision>
  <dcterms:created xsi:type="dcterms:W3CDTF">2026-09-19T01:28:00Z</dcterms:created>
  <dcterms:modified xsi:type="dcterms:W3CDTF">2026-09-19T01:44:00Z</dcterms:modified>
</cp:coreProperties>
</file>