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Estrategias bioclimáticas para la casa 3 del INFONAVIT (Ciudad de México)</w:t>
      </w:r>
    </w:p>
    <w:bookmarkStart w:id="10" w:name="clima"/>
    <w:p>
      <w:pPr>
        <w:pStyle w:val="Heading2"/>
      </w:pPr>
      <w:r>
        <w:t xml:space="preserve">1. Clima</w:t>
      </w:r>
    </w:p>
    <w:p>
      <w:pPr>
        <w:pStyle w:val="FirstParagraph"/>
      </w:pPr>
      <w:r>
        <w:t xml:space="preserve">La ubicación del EPW (epw/MEX_CMX_Cuidad.Mexico.Central.766800_TMYx.2011-2025.epw) es alcaldía Miguel Hidalgo, Ciudad de México</w:t>
      </w:r>
      <w:r>
        <w:t xml:space="preserve"> </w:t>
      </w:r>
      <w:r>
        <w:t xml:space="preserve">[1]</w:t>
      </w:r>
      <w:r>
        <w:t xml:space="preserve"> </w:t>
      </w:r>
      <w:r>
        <w:t xml:space="preserve">(clave INEGI 090160001). La clasificación del bioclima del sitio de acuerdo con la Comisión Nacional de Vivienda (CONAVI, 2010) es templado húmedo</w:t>
      </w:r>
      <w:r>
        <w:t xml:space="preserve"> </w:t>
      </w:r>
      <w:r>
        <w:t xml:space="preserve">[2]</w:t>
      </w:r>
      <w:r>
        <w:t xml:space="preserve"> </w:t>
      </w:r>
      <w:r>
        <w:t xml:space="preserve">y la zona térmica de acuerdo con los grados día reportados por la Comisión Nacional para el Uso Eficiente de la Energía (CONUEE, 2021) es 3A. Los Grados Día de Calefacción Anual base 65 Grados Fahrenheit (GDCA65F, 18.3 °C) reportados por CONUEE son 2351, y los Grados Día de Refrigeración Anual base 50 Grados Fahrenheit (GDRA50F, 10 °C) son 4959</w:t>
      </w:r>
      <w:r>
        <w:t xml:space="preserve"> </w:t>
      </w:r>
      <w:r>
        <w:t xml:space="preserve">[3]</w:t>
      </w:r>
      <w:r>
        <w:t xml:space="preserve">.</w:t>
      </w:r>
    </w:p>
    <w:p>
      <w:pPr>
        <w:pStyle w:val="BodyText"/>
      </w:pPr>
      <w:r>
        <w:t xml:space="preserve">En la</w:t>
      </w:r>
      <w:r>
        <w:t xml:space="preserve"> </w:t>
      </w:r>
      <w:hyperlink w:anchor="tbl-clima">
        <w:r>
          <w:rPr>
            <w:rStyle w:val="Hyperlink"/>
          </w:rPr>
          <w:t xml:space="preserve">Tabla 1</w:t>
        </w:r>
      </w:hyperlink>
      <w:r>
        <w:t xml:space="preserve"> </w:t>
      </w:r>
      <w:r>
        <w:t xml:space="preserve">se muestran la temperatura media, mínima y máxima mensual, así como los grados día de calefacción y refrigeración mensual del sitio calculados de acuerdo con</w:t>
      </w:r>
      <w:r>
        <w:t xml:space="preserve"> </w:t>
      </w:r>
      <w:r>
        <w:t xml:space="preserve">[4]</w:t>
      </w:r>
      <w:r>
        <w:t xml:space="preserve">.</w:t>
      </w:r>
    </w:p>
    <w:tbl>
      <w:tblPr>
        <w:tblStyle w:val="Table"/>
        <w:tblW w:type="pct" w:w="5000"/>
        <w:tblLayout w:type="fixed"/>
        <w:tblLook w:firstRow="0" w:lastRow="0" w:firstColumn="0" w:lastColumn="0" w:noHBand="0" w:noVBand="0" w:val="0000"/>
      </w:tblPr>
      <w:tblGrid>
        <w:gridCol w:w="7920"/>
      </w:tblGrid>
      <w:tr>
        <w:tc>
          <w:tcPr/>
          <w:bookmarkStart w:id="9" w:name="tbl-clima"/>
          <w:p>
            <w:pPr>
              <w:jc w:val="center"/>
            </w:pPr>
            <w:pPr>
              <w:jc w:val="left"/>
              <w:spacing w:before="200"/>
              <w:pStyle w:val="ImageCaption"/>
            </w:pPr>
            <w:r>
              <w:t xml:space="preserve">Tabla 1: Temperatura media, mínima y máxima mensual, grados día de calefacción y refrigeración mensual del sitio [ºC].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right"/>
                    <w:jc w:val="center"/>
                  </w:pPr>
                  <w:r>
                    <w:t xml:space="preserve">temp_media</w:t>
                  </w:r>
                </w:p>
              </w:tc>
              <w:tc>
                <w:tcPr/>
                <w:p>
                  <w:pPr>
                    <w:pStyle w:val="Compact"/>
                    <w:jc w:val="right"/>
                    <w:jc w:val="center"/>
                  </w:pPr>
                  <w:r>
                    <w:t xml:space="preserve">temp_min</w:t>
                  </w:r>
                </w:p>
              </w:tc>
              <w:tc>
                <w:tcPr/>
                <w:p>
                  <w:pPr>
                    <w:pStyle w:val="Compact"/>
                    <w:jc w:val="right"/>
                    <w:jc w:val="center"/>
                  </w:pPr>
                  <w:r>
                    <w:t xml:space="preserve">temp_max</w:t>
                  </w:r>
                </w:p>
              </w:tc>
              <w:tc>
                <w:tcPr/>
                <w:p>
                  <w:pPr>
                    <w:pStyle w:val="Compact"/>
                    <w:jc w:val="right"/>
                    <w:jc w:val="center"/>
                  </w:pPr>
                  <w:r>
                    <w:t xml:space="preserve">GDCA18.3</w:t>
                  </w:r>
                </w:p>
              </w:tc>
              <w:tc>
                <w:tcPr/>
                <w:p>
                  <w:pPr>
                    <w:pStyle w:val="Compact"/>
                    <w:jc w:val="right"/>
                    <w:jc w:val="center"/>
                  </w:pPr>
                  <w:r>
                    <w:t xml:space="preserve">GDRA10</w:t>
                  </w:r>
                </w:p>
              </w:tc>
            </w:tr>
            <w:tr>
              <w:tc>
                <w:tcPr/>
                <w:p>
                  <w:pPr>
                    <w:pStyle w:val="Compact"/>
                    <w:jc w:val="center"/>
                  </w:pPr>
                  <w:r>
                    <w:t xml:space="preserve">Ene</w:t>
                  </w:r>
                </w:p>
              </w:tc>
              <w:tc>
                <w:tcPr/>
                <w:p>
                  <w:pPr>
                    <w:pStyle w:val="Compact"/>
                    <w:jc w:val="right"/>
                    <w:jc w:val="center"/>
                  </w:pPr>
                  <w:r>
                    <w:t xml:space="preserve">12.21</w:t>
                  </w:r>
                </w:p>
              </w:tc>
              <w:tc>
                <w:tcPr/>
                <w:p>
                  <w:pPr>
                    <w:pStyle w:val="Compact"/>
                    <w:jc w:val="right"/>
                    <w:jc w:val="center"/>
                  </w:pPr>
                  <w:r>
                    <w:t xml:space="preserve">2.4</w:t>
                  </w:r>
                </w:p>
              </w:tc>
              <w:tc>
                <w:tcPr/>
                <w:p>
                  <w:pPr>
                    <w:pStyle w:val="Compact"/>
                    <w:jc w:val="right"/>
                    <w:jc w:val="center"/>
                  </w:pPr>
                  <w:r>
                    <w:t xml:space="preserve">24.4</w:t>
                  </w:r>
                </w:p>
              </w:tc>
              <w:tc>
                <w:tcPr/>
                <w:p>
                  <w:pPr>
                    <w:pStyle w:val="Compact"/>
                    <w:jc w:val="right"/>
                    <w:jc w:val="center"/>
                  </w:pPr>
                  <w:r>
                    <w:t xml:space="preserve">198.29</w:t>
                  </w:r>
                </w:p>
              </w:tc>
              <w:tc>
                <w:tcPr/>
                <w:p>
                  <w:pPr>
                    <w:pStyle w:val="Compact"/>
                    <w:jc w:val="right"/>
                    <w:jc w:val="center"/>
                  </w:pPr>
                  <w:r>
                    <w:t xml:space="preserve">108.7</w:t>
                  </w:r>
                </w:p>
              </w:tc>
            </w:tr>
            <w:tr>
              <w:tc>
                <w:tcPr/>
                <w:p>
                  <w:pPr>
                    <w:pStyle w:val="Compact"/>
                    <w:jc w:val="center"/>
                  </w:pPr>
                  <w:r>
                    <w:t xml:space="preserve">Feb</w:t>
                  </w:r>
                </w:p>
              </w:tc>
              <w:tc>
                <w:tcPr/>
                <w:p>
                  <w:pPr>
                    <w:pStyle w:val="Compact"/>
                    <w:jc w:val="right"/>
                    <w:jc w:val="center"/>
                  </w:pPr>
                  <w:r>
                    <w:t xml:space="preserve">14.67</w:t>
                  </w:r>
                </w:p>
              </w:tc>
              <w:tc>
                <w:tcPr/>
                <w:p>
                  <w:pPr>
                    <w:pStyle w:val="Compact"/>
                    <w:jc w:val="right"/>
                    <w:jc w:val="center"/>
                  </w:pPr>
                  <w:r>
                    <w:t xml:space="preserve">3.7</w:t>
                  </w:r>
                </w:p>
              </w:tc>
              <w:tc>
                <w:tcPr/>
                <w:p>
                  <w:pPr>
                    <w:pStyle w:val="Compact"/>
                    <w:jc w:val="right"/>
                    <w:jc w:val="center"/>
                  </w:pPr>
                  <w:r>
                    <w:t xml:space="preserve">27</w:t>
                  </w:r>
                </w:p>
              </w:tc>
              <w:tc>
                <w:tcPr/>
                <w:p>
                  <w:pPr>
                    <w:pStyle w:val="Compact"/>
                    <w:jc w:val="right"/>
                    <w:jc w:val="center"/>
                  </w:pPr>
                  <w:r>
                    <w:t xml:space="preserve">133.45</w:t>
                  </w:r>
                </w:p>
              </w:tc>
              <w:tc>
                <w:tcPr/>
                <w:p>
                  <w:pPr>
                    <w:pStyle w:val="Compact"/>
                    <w:jc w:val="right"/>
                    <w:jc w:val="center"/>
                  </w:pPr>
                  <w:r>
                    <w:t xml:space="preserve">149.55</w:t>
                  </w:r>
                </w:p>
              </w:tc>
            </w:tr>
            <w:tr>
              <w:tc>
                <w:tcPr/>
                <w:p>
                  <w:pPr>
                    <w:pStyle w:val="Compact"/>
                    <w:jc w:val="center"/>
                  </w:pPr>
                  <w:r>
                    <w:t xml:space="preserve">Mar</w:t>
                  </w:r>
                </w:p>
              </w:tc>
              <w:tc>
                <w:tcPr/>
                <w:p>
                  <w:pPr>
                    <w:pStyle w:val="Compact"/>
                    <w:jc w:val="right"/>
                    <w:jc w:val="center"/>
                  </w:pPr>
                  <w:r>
                    <w:t xml:space="preserve">16.93</w:t>
                  </w:r>
                </w:p>
              </w:tc>
              <w:tc>
                <w:tcPr/>
                <w:p>
                  <w:pPr>
                    <w:pStyle w:val="Compact"/>
                    <w:jc w:val="right"/>
                    <w:jc w:val="center"/>
                  </w:pPr>
                  <w:r>
                    <w:t xml:space="preserve">6.5</w:t>
                  </w:r>
                </w:p>
              </w:tc>
              <w:tc>
                <w:tcPr/>
                <w:p>
                  <w:pPr>
                    <w:pStyle w:val="Compact"/>
                    <w:jc w:val="right"/>
                    <w:jc w:val="center"/>
                  </w:pPr>
                  <w:r>
                    <w:t xml:space="preserve">28.9</w:t>
                  </w:r>
                </w:p>
              </w:tc>
              <w:tc>
                <w:tcPr/>
                <w:p>
                  <w:pPr>
                    <w:pStyle w:val="Compact"/>
                    <w:jc w:val="right"/>
                    <w:jc w:val="center"/>
                  </w:pPr>
                  <w:r>
                    <w:t xml:space="preserve">102.48</w:t>
                  </w:r>
                </w:p>
              </w:tc>
              <w:tc>
                <w:tcPr/>
                <w:p>
                  <w:pPr>
                    <w:pStyle w:val="Compact"/>
                    <w:jc w:val="right"/>
                    <w:jc w:val="center"/>
                  </w:pPr>
                  <w:r>
                    <w:t xml:space="preserve">221.84</w:t>
                  </w:r>
                </w:p>
              </w:tc>
            </w:tr>
            <w:tr>
              <w:tc>
                <w:tcPr/>
                <w:p>
                  <w:pPr>
                    <w:pStyle w:val="Compact"/>
                    <w:jc w:val="center"/>
                  </w:pPr>
                  <w:r>
                    <w:t xml:space="preserve">Abr</w:t>
                  </w:r>
                </w:p>
              </w:tc>
              <w:tc>
                <w:tcPr/>
                <w:p>
                  <w:pPr>
                    <w:pStyle w:val="Compact"/>
                    <w:jc w:val="right"/>
                    <w:jc w:val="center"/>
                  </w:pPr>
                  <w:r>
                    <w:t xml:space="preserve">18.31</w:t>
                  </w:r>
                </w:p>
              </w:tc>
              <w:tc>
                <w:tcPr/>
                <w:p>
                  <w:pPr>
                    <w:pStyle w:val="Compact"/>
                    <w:jc w:val="right"/>
                    <w:jc w:val="center"/>
                  </w:pPr>
                  <w:r>
                    <w:t xml:space="preserve">8.1</w:t>
                  </w:r>
                </w:p>
              </w:tc>
              <w:tc>
                <w:tcPr/>
                <w:p>
                  <w:pPr>
                    <w:pStyle w:val="Compact"/>
                    <w:jc w:val="right"/>
                    <w:jc w:val="center"/>
                  </w:pPr>
                  <w:r>
                    <w:t xml:space="preserve">30.1</w:t>
                  </w:r>
                </w:p>
              </w:tc>
              <w:tc>
                <w:tcPr/>
                <w:p>
                  <w:pPr>
                    <w:pStyle w:val="Compact"/>
                    <w:jc w:val="right"/>
                    <w:jc w:val="center"/>
                  </w:pPr>
                  <w:r>
                    <w:t xml:space="preserve">69.84</w:t>
                  </w:r>
                </w:p>
              </w:tc>
              <w:tc>
                <w:tcPr/>
                <w:p>
                  <w:pPr>
                    <w:pStyle w:val="Compact"/>
                    <w:jc w:val="right"/>
                    <w:jc w:val="center"/>
                  </w:pPr>
                  <w:r>
                    <w:t xml:space="preserve">249.34</w:t>
                  </w:r>
                </w:p>
              </w:tc>
            </w:tr>
            <w:tr>
              <w:tc>
                <w:tcPr/>
                <w:p>
                  <w:pPr>
                    <w:pStyle w:val="Compact"/>
                    <w:jc w:val="center"/>
                  </w:pPr>
                  <w:r>
                    <w:t xml:space="preserve">May</w:t>
                  </w:r>
                </w:p>
              </w:tc>
              <w:tc>
                <w:tcPr/>
                <w:p>
                  <w:pPr>
                    <w:pStyle w:val="Compact"/>
                    <w:jc w:val="right"/>
                    <w:jc w:val="center"/>
                  </w:pPr>
                  <w:r>
                    <w:t xml:space="preserve">18.7</w:t>
                  </w:r>
                </w:p>
              </w:tc>
              <w:tc>
                <w:tcPr/>
                <w:p>
                  <w:pPr>
                    <w:pStyle w:val="Compact"/>
                    <w:jc w:val="right"/>
                    <w:jc w:val="center"/>
                  </w:pPr>
                  <w:r>
                    <w:t xml:space="preserve">8.3</w:t>
                  </w:r>
                </w:p>
              </w:tc>
              <w:tc>
                <w:tcPr/>
                <w:p>
                  <w:pPr>
                    <w:pStyle w:val="Compact"/>
                    <w:jc w:val="right"/>
                    <w:jc w:val="center"/>
                  </w:pPr>
                  <w:r>
                    <w:t xml:space="preserve">31.6</w:t>
                  </w:r>
                </w:p>
              </w:tc>
              <w:tc>
                <w:tcPr/>
                <w:p>
                  <w:pPr>
                    <w:pStyle w:val="Compact"/>
                    <w:jc w:val="right"/>
                    <w:jc w:val="center"/>
                  </w:pPr>
                  <w:r>
                    <w:t xml:space="preserve">58.4</w:t>
                  </w:r>
                </w:p>
              </w:tc>
              <w:tc>
                <w:tcPr/>
                <w:p>
                  <w:pPr>
                    <w:pStyle w:val="Compact"/>
                    <w:jc w:val="right"/>
                    <w:jc w:val="center"/>
                  </w:pPr>
                  <w:r>
                    <w:t xml:space="preserve">269.79</w:t>
                  </w:r>
                </w:p>
              </w:tc>
            </w:tr>
            <w:tr>
              <w:tc>
                <w:tcPr/>
                <w:p>
                  <w:pPr>
                    <w:pStyle w:val="Compact"/>
                    <w:jc w:val="center"/>
                  </w:pPr>
                  <w:r>
                    <w:t xml:space="preserve">Jun</w:t>
                  </w:r>
                </w:p>
              </w:tc>
              <w:tc>
                <w:tcPr/>
                <w:p>
                  <w:pPr>
                    <w:pStyle w:val="Compact"/>
                    <w:jc w:val="right"/>
                    <w:jc w:val="center"/>
                  </w:pPr>
                  <w:r>
                    <w:t xml:space="preserve">17.93</w:t>
                  </w:r>
                </w:p>
              </w:tc>
              <w:tc>
                <w:tcPr/>
                <w:p>
                  <w:pPr>
                    <w:pStyle w:val="Compact"/>
                    <w:jc w:val="right"/>
                    <w:jc w:val="center"/>
                  </w:pPr>
                  <w:r>
                    <w:t xml:space="preserve">9</w:t>
                  </w:r>
                </w:p>
              </w:tc>
              <w:tc>
                <w:tcPr/>
                <w:p>
                  <w:pPr>
                    <w:pStyle w:val="Compact"/>
                    <w:jc w:val="right"/>
                    <w:jc w:val="center"/>
                  </w:pPr>
                  <w:r>
                    <w:t xml:space="preserve">28.3</w:t>
                  </w:r>
                </w:p>
              </w:tc>
              <w:tc>
                <w:tcPr/>
                <w:p>
                  <w:pPr>
                    <w:pStyle w:val="Compact"/>
                    <w:jc w:val="right"/>
                    <w:jc w:val="center"/>
                  </w:pPr>
                  <w:r>
                    <w:t xml:space="preserve">51.96</w:t>
                  </w:r>
                </w:p>
              </w:tc>
              <w:tc>
                <w:tcPr/>
                <w:p>
                  <w:pPr>
                    <w:pStyle w:val="Compact"/>
                    <w:jc w:val="right"/>
                    <w:jc w:val="center"/>
                  </w:pPr>
                  <w:r>
                    <w:t xml:space="preserve">237.94</w:t>
                  </w:r>
                </w:p>
              </w:tc>
            </w:tr>
            <w:tr>
              <w:tc>
                <w:tcPr/>
                <w:p>
                  <w:pPr>
                    <w:pStyle w:val="Compact"/>
                    <w:jc w:val="center"/>
                  </w:pPr>
                  <w:r>
                    <w:t xml:space="preserve">Jul</w:t>
                  </w:r>
                </w:p>
              </w:tc>
              <w:tc>
                <w:tcPr/>
                <w:p>
                  <w:pPr>
                    <w:pStyle w:val="Compact"/>
                    <w:jc w:val="right"/>
                    <w:jc w:val="center"/>
                  </w:pPr>
                  <w:r>
                    <w:t xml:space="preserve">17.2</w:t>
                  </w:r>
                </w:p>
              </w:tc>
              <w:tc>
                <w:tcPr/>
                <w:p>
                  <w:pPr>
                    <w:pStyle w:val="Compact"/>
                    <w:jc w:val="right"/>
                    <w:jc w:val="center"/>
                  </w:pPr>
                  <w:r>
                    <w:t xml:space="preserve">8.9</w:t>
                  </w:r>
                </w:p>
              </w:tc>
              <w:tc>
                <w:tcPr/>
                <w:p>
                  <w:pPr>
                    <w:pStyle w:val="Compact"/>
                    <w:jc w:val="right"/>
                    <w:jc w:val="center"/>
                  </w:pPr>
                  <w:r>
                    <w:t xml:space="preserve">26.3</w:t>
                  </w:r>
                </w:p>
              </w:tc>
              <w:tc>
                <w:tcPr/>
                <w:p>
                  <w:pPr>
                    <w:pStyle w:val="Compact"/>
                    <w:jc w:val="right"/>
                    <w:jc w:val="center"/>
                  </w:pPr>
                  <w:r>
                    <w:t xml:space="preserve">65.64</w:t>
                  </w:r>
                </w:p>
              </w:tc>
              <w:tc>
                <w:tcPr/>
                <w:p>
                  <w:pPr>
                    <w:pStyle w:val="Compact"/>
                    <w:jc w:val="right"/>
                    <w:jc w:val="center"/>
                  </w:pPr>
                  <w:r>
                    <w:t xml:space="preserve">223.19</w:t>
                  </w:r>
                </w:p>
              </w:tc>
            </w:tr>
            <w:tr>
              <w:tc>
                <w:tcPr/>
                <w:p>
                  <w:pPr>
                    <w:pStyle w:val="Compact"/>
                    <w:jc w:val="center"/>
                  </w:pPr>
                  <w:r>
                    <w:t xml:space="preserve">Ago</w:t>
                  </w:r>
                </w:p>
              </w:tc>
              <w:tc>
                <w:tcPr/>
                <w:p>
                  <w:pPr>
                    <w:pStyle w:val="Compact"/>
                    <w:jc w:val="right"/>
                    <w:jc w:val="center"/>
                  </w:pPr>
                  <w:r>
                    <w:t xml:space="preserve">16.91</w:t>
                  </w:r>
                </w:p>
              </w:tc>
              <w:tc>
                <w:tcPr/>
                <w:p>
                  <w:pPr>
                    <w:pStyle w:val="Compact"/>
                    <w:jc w:val="right"/>
                    <w:jc w:val="center"/>
                  </w:pPr>
                  <w:r>
                    <w:t xml:space="preserve">8.8</w:t>
                  </w:r>
                </w:p>
              </w:tc>
              <w:tc>
                <w:tcPr/>
                <w:p>
                  <w:pPr>
                    <w:pStyle w:val="Compact"/>
                    <w:jc w:val="right"/>
                    <w:jc w:val="center"/>
                  </w:pPr>
                  <w:r>
                    <w:t xml:space="preserve">25.8</w:t>
                  </w:r>
                </w:p>
              </w:tc>
              <w:tc>
                <w:tcPr/>
                <w:p>
                  <w:pPr>
                    <w:pStyle w:val="Compact"/>
                    <w:jc w:val="right"/>
                    <w:jc w:val="center"/>
                  </w:pPr>
                  <w:r>
                    <w:t xml:space="preserve">67.53</w:t>
                  </w:r>
                </w:p>
              </w:tc>
              <w:tc>
                <w:tcPr/>
                <w:p>
                  <w:pPr>
                    <w:pStyle w:val="Compact"/>
                    <w:jc w:val="right"/>
                    <w:jc w:val="center"/>
                  </w:pPr>
                  <w:r>
                    <w:t xml:space="preserve">214.36</w:t>
                  </w:r>
                </w:p>
              </w:tc>
            </w:tr>
            <w:tr>
              <w:tc>
                <w:tcPr/>
                <w:p>
                  <w:pPr>
                    <w:pStyle w:val="Compact"/>
                    <w:jc w:val="center"/>
                  </w:pPr>
                  <w:r>
                    <w:t xml:space="preserve">Sep</w:t>
                  </w:r>
                </w:p>
              </w:tc>
              <w:tc>
                <w:tcPr/>
                <w:p>
                  <w:pPr>
                    <w:pStyle w:val="Compact"/>
                    <w:jc w:val="right"/>
                    <w:jc w:val="center"/>
                  </w:pPr>
                  <w:r>
                    <w:t xml:space="preserve">16.88</w:t>
                  </w:r>
                </w:p>
              </w:tc>
              <w:tc>
                <w:tcPr/>
                <w:p>
                  <w:pPr>
                    <w:pStyle w:val="Compact"/>
                    <w:jc w:val="right"/>
                    <w:jc w:val="center"/>
                  </w:pPr>
                  <w:r>
                    <w:t xml:space="preserve">9.6</w:t>
                  </w:r>
                </w:p>
              </w:tc>
              <w:tc>
                <w:tcPr/>
                <w:p>
                  <w:pPr>
                    <w:pStyle w:val="Compact"/>
                    <w:jc w:val="right"/>
                    <w:jc w:val="center"/>
                  </w:pPr>
                  <w:r>
                    <w:t xml:space="preserve">26</w:t>
                  </w:r>
                </w:p>
              </w:tc>
              <w:tc>
                <w:tcPr/>
                <w:p>
                  <w:pPr>
                    <w:pStyle w:val="Compact"/>
                    <w:jc w:val="right"/>
                    <w:jc w:val="center"/>
                  </w:pPr>
                  <w:r>
                    <w:t xml:space="preserve">70.93</w:t>
                  </w:r>
                </w:p>
              </w:tc>
              <w:tc>
                <w:tcPr/>
                <w:p>
                  <w:pPr>
                    <w:pStyle w:val="Compact"/>
                    <w:jc w:val="right"/>
                    <w:jc w:val="center"/>
                  </w:pPr>
                  <w:r>
                    <w:t xml:space="preserve">206.47</w:t>
                  </w:r>
                </w:p>
              </w:tc>
            </w:tr>
            <w:tr>
              <w:tc>
                <w:tcPr/>
                <w:p>
                  <w:pPr>
                    <w:pStyle w:val="Compact"/>
                    <w:jc w:val="center"/>
                  </w:pPr>
                  <w:r>
                    <w:t xml:space="preserve">Oct</w:t>
                  </w:r>
                </w:p>
              </w:tc>
              <w:tc>
                <w:tcPr/>
                <w:p>
                  <w:pPr>
                    <w:pStyle w:val="Compact"/>
                    <w:jc w:val="right"/>
                    <w:jc w:val="center"/>
                  </w:pPr>
                  <w:r>
                    <w:t xml:space="preserve">15.54</w:t>
                  </w:r>
                </w:p>
              </w:tc>
              <w:tc>
                <w:tcPr/>
                <w:p>
                  <w:pPr>
                    <w:pStyle w:val="Compact"/>
                    <w:jc w:val="right"/>
                    <w:jc w:val="center"/>
                  </w:pPr>
                  <w:r>
                    <w:t xml:space="preserve">6</w:t>
                  </w:r>
                </w:p>
              </w:tc>
              <w:tc>
                <w:tcPr/>
                <w:p>
                  <w:pPr>
                    <w:pStyle w:val="Compact"/>
                    <w:jc w:val="right"/>
                    <w:jc w:val="center"/>
                  </w:pPr>
                  <w:r>
                    <w:t xml:space="preserve">28.6</w:t>
                  </w:r>
                </w:p>
              </w:tc>
              <w:tc>
                <w:tcPr/>
                <w:p>
                  <w:pPr>
                    <w:pStyle w:val="Compact"/>
                    <w:jc w:val="right"/>
                    <w:jc w:val="center"/>
                  </w:pPr>
                  <w:r>
                    <w:t xml:space="preserve">110.03</w:t>
                  </w:r>
                </w:p>
              </w:tc>
              <w:tc>
                <w:tcPr/>
                <w:p>
                  <w:pPr>
                    <w:pStyle w:val="Compact"/>
                    <w:jc w:val="right"/>
                    <w:jc w:val="center"/>
                  </w:pPr>
                  <w:r>
                    <w:t xml:space="preserve">171.59</w:t>
                  </w:r>
                </w:p>
              </w:tc>
            </w:tr>
            <w:tr>
              <w:tc>
                <w:tcPr/>
                <w:p>
                  <w:pPr>
                    <w:pStyle w:val="Compact"/>
                    <w:jc w:val="center"/>
                  </w:pPr>
                  <w:r>
                    <w:t xml:space="preserve">Nov</w:t>
                  </w:r>
                </w:p>
              </w:tc>
              <w:tc>
                <w:tcPr/>
                <w:p>
                  <w:pPr>
                    <w:pStyle w:val="Compact"/>
                    <w:jc w:val="right"/>
                    <w:jc w:val="center"/>
                  </w:pPr>
                  <w:r>
                    <w:t xml:space="preserve">13.86</w:t>
                  </w:r>
                </w:p>
              </w:tc>
              <w:tc>
                <w:tcPr/>
                <w:p>
                  <w:pPr>
                    <w:pStyle w:val="Compact"/>
                    <w:jc w:val="right"/>
                    <w:jc w:val="center"/>
                  </w:pPr>
                  <w:r>
                    <w:t xml:space="preserve">0.1</w:t>
                  </w:r>
                </w:p>
              </w:tc>
              <w:tc>
                <w:tcPr/>
                <w:p>
                  <w:pPr>
                    <w:pStyle w:val="Compact"/>
                    <w:jc w:val="right"/>
                    <w:jc w:val="center"/>
                  </w:pPr>
                  <w:r>
                    <w:t xml:space="preserve">25.4</w:t>
                  </w:r>
                </w:p>
              </w:tc>
              <w:tc>
                <w:tcPr/>
                <w:p>
                  <w:pPr>
                    <w:pStyle w:val="Compact"/>
                    <w:jc w:val="right"/>
                    <w:jc w:val="center"/>
                  </w:pPr>
                  <w:r>
                    <w:t xml:space="preserve">147.56</w:t>
                  </w:r>
                </w:p>
              </w:tc>
              <w:tc>
                <w:tcPr/>
                <w:p>
                  <w:pPr>
                    <w:pStyle w:val="Compact"/>
                    <w:jc w:val="right"/>
                    <w:jc w:val="center"/>
                  </w:pPr>
                  <w:r>
                    <w:t xml:space="preserve">129.82</w:t>
                  </w:r>
                </w:p>
              </w:tc>
            </w:tr>
            <w:tr>
              <w:tc>
                <w:tcPr/>
                <w:p>
                  <w:pPr>
                    <w:pStyle w:val="Compact"/>
                    <w:jc w:val="center"/>
                  </w:pPr>
                  <w:r>
                    <w:t xml:space="preserve">Dic</w:t>
                  </w:r>
                </w:p>
              </w:tc>
              <w:tc>
                <w:tcPr/>
                <w:p>
                  <w:pPr>
                    <w:pStyle w:val="Compact"/>
                    <w:jc w:val="right"/>
                    <w:jc w:val="center"/>
                  </w:pPr>
                  <w:r>
                    <w:t xml:space="preserve">12.91</w:t>
                  </w:r>
                </w:p>
              </w:tc>
              <w:tc>
                <w:tcPr/>
                <w:p>
                  <w:pPr>
                    <w:pStyle w:val="Compact"/>
                    <w:jc w:val="right"/>
                    <w:jc w:val="center"/>
                  </w:pPr>
                  <w:r>
                    <w:t xml:space="preserve">3</w:t>
                  </w:r>
                </w:p>
              </w:tc>
              <w:tc>
                <w:tcPr/>
                <w:p>
                  <w:pPr>
                    <w:pStyle w:val="Compact"/>
                    <w:jc w:val="right"/>
                    <w:jc w:val="center"/>
                  </w:pPr>
                  <w:r>
                    <w:t xml:space="preserve">25.2</w:t>
                  </w:r>
                </w:p>
              </w:tc>
              <w:tc>
                <w:tcPr/>
                <w:p>
                  <w:pPr>
                    <w:pStyle w:val="Compact"/>
                    <w:jc w:val="right"/>
                    <w:jc w:val="center"/>
                  </w:pPr>
                  <w:r>
                    <w:t xml:space="preserve">181.45</w:t>
                  </w:r>
                </w:p>
              </w:tc>
              <w:tc>
                <w:tcPr/>
                <w:p>
                  <w:pPr>
                    <w:pStyle w:val="Compact"/>
                    <w:jc w:val="right"/>
                    <w:jc w:val="center"/>
                  </w:pPr>
                  <w:r>
                    <w:t xml:space="preserve">124.95</w:t>
                  </w:r>
                </w:p>
              </w:tc>
            </w:tr>
          </w:tbl>
          <w:bookmarkEnd w:id="9"/>
          <w:p/>
        </w:tc>
      </w:tr>
    </w:tbl>
    <w:p>
      <w:pPr>
        <w:pStyle w:val="BodyText"/>
      </w:pPr>
      <w:r>
        <w:t xml:space="preserve">Se observa en la</w:t>
      </w:r>
      <w:r>
        <w:t xml:space="preserve"> </w:t>
      </w:r>
      <w:hyperlink w:anchor="tbl-clima">
        <w:r>
          <w:rPr>
            <w:rStyle w:val="Hyperlink"/>
          </w:rPr>
          <w:t xml:space="preserve">Tabla 1</w:t>
        </w:r>
      </w:hyperlink>
      <w:r>
        <w:t xml:space="preserve"> </w:t>
      </w:r>
      <w:r>
        <w:t xml:space="preserve">que el más cálido es el mes de mayo, con una temperatura media de 18.7 °C y una temperatura máxima de 31.6 °C, y el más frío es enero, con una temperatura media de 12.2 °C y una temperatura mínima de 2.4 °C. Mayo también es el mes con mayor necesidad de refrigeración, con 269.79 grados día de refrigeración, mientras que enero es el mes con mayor necesidad de calefacción, con 198.29 grados día de calefacción.</w:t>
      </w:r>
    </w:p>
    <w:bookmarkEnd w:id="10"/>
    <w:bookmarkStart w:id="31" w:name="caso-base-cb"/>
    <w:p>
      <w:pPr>
        <w:pStyle w:val="Heading2"/>
      </w:pPr>
      <w:r>
        <w:t xml:space="preserve">2. Caso base (CB)</w:t>
      </w:r>
    </w:p>
    <w:tbl>
      <w:tblPr>
        <w:tblStyle w:val="Table"/>
        <w:tblW w:type="pct" w:w="5000"/>
        <w:tblLayout w:type="fixed"/>
        <w:tblLook w:firstRow="0" w:lastRow="0" w:firstColumn="0" w:lastColumn="0" w:noHBand="0" w:noVBand="0" w:val="0000"/>
      </w:tblPr>
      <w:tblGrid>
        <w:gridCol w:w="7920"/>
      </w:tblGrid>
      <w:tr>
        <w:tc>
          <w:tcPr/>
          <w:bookmarkStart w:id="11" w:name="tbl-geometria"/>
          <w:p>
            <w:pPr>
              <w:jc w:val="center"/>
            </w:pPr>
            <w:pPr>
              <w:jc w:val="left"/>
              <w:spacing w:before="200"/>
              <w:pStyle w:val="ImageCaption"/>
            </w:pPr>
            <w:r>
              <w:t xml:space="preserve">Tabla 2: Justificación de simplificaciones en geometría</w:t>
            </w:r>
          </w:p>
          <w:tbl>
            <w:tblPr>
              <w:tblStyle w:val="Table"/>
              <w:tblW w:type="pct" w:w="5000"/>
              <w:tblLayout w:type="fixed"/>
              <w:tblLook w:firstRow="1" w:lastRow="0" w:firstColumn="0" w:lastColumn="0" w:noHBand="0" w:noVBand="0" w:val="0020"/>
            </w:tblPr>
            <w:tblGrid>
              <w:gridCol w:w="4087"/>
              <w:gridCol w:w="3832"/>
            </w:tblGrid>
            <w:tr>
              <w:trPr>
                <w:tblHeader w:val="on"/>
              </w:trPr>
              <w:tc>
                <w:tcPr/>
                <w:p>
                  <w:pPr>
                    <w:pStyle w:val="Compact"/>
                    <w:jc w:val="center"/>
                  </w:pPr>
                  <w:r>
                    <w:t xml:space="preserve">Simplificación</w:t>
                  </w:r>
                </w:p>
              </w:tc>
              <w:tc>
                <w:tcPr/>
                <w:p>
                  <w:pPr>
                    <w:pStyle w:val="Compact"/>
                    <w:jc w:val="center"/>
                  </w:pPr>
                  <w:r>
                    <w:t xml:space="preserve">Justificación</w:t>
                  </w:r>
                </w:p>
              </w:tc>
            </w:tr>
            <w:tr>
              <w:tc>
                <w:tcPr/>
                <w:p>
                  <w:pPr>
                    <w:pStyle w:val="Compact"/>
                    <w:jc w:val="center"/>
                  </w:pPr>
                  <w:r>
                    <w:t xml:space="preserve">Redondeo de longitudes a 10 cm más cercanos</w:t>
                  </w:r>
                </w:p>
              </w:tc>
              <w:tc>
                <w:tcPr/>
                <w:p>
                  <w:pPr>
                    <w:pStyle w:val="Compact"/>
                    <w:jc w:val="center"/>
                  </w:pPr>
                  <w:r>
                    <w:t xml:space="preserve">Rectángulos en Floorspace siguen malla (0.1 m).</w:t>
                  </w:r>
                </w:p>
              </w:tc>
            </w:tr>
            <w:tr>
              <w:tc>
                <w:tcPr/>
                <w:p>
                  <w:pPr>
                    <w:pStyle w:val="Compact"/>
                    <w:jc w:val="center"/>
                  </w:pPr>
                  <w:r>
                    <w:t xml:space="preserve">Longitudes perpendiculares a muro interior menores en 0.06 m</w:t>
                  </w:r>
                </w:p>
              </w:tc>
              <w:tc>
                <w:tcPr/>
                <w:p>
                  <w:pPr>
                    <w:pStyle w:val="Compact"/>
                    <w:jc w:val="center"/>
                  </w:pPr>
                  <w:r>
                    <w:t xml:space="preserve">La frontera entre 2 espacios adyacentes está en 2 zonas térmicas simultáneamente, se reparte grosor grosor del muro entre ambas zonas.</w:t>
                  </w:r>
                </w:p>
              </w:tc>
            </w:tr>
            <w:tr>
              <w:tc>
                <w:tcPr/>
                <w:p>
                  <w:pPr>
                    <w:pStyle w:val="Compact"/>
                    <w:jc w:val="center"/>
                  </w:pPr>
                  <w:r>
                    <w:t xml:space="preserve">Alturas de ambos pisos iguales</w:t>
                  </w:r>
                </w:p>
              </w:tc>
              <w:tc>
                <w:tcPr/>
                <w:p>
                  <w:pPr>
                    <w:pStyle w:val="Compact"/>
                    <w:jc w:val="center"/>
                  </w:pPr>
                  <w:r>
                    <w:t xml:space="preserve">Se dividió la altura total entre las 2 plantas suponiendo que el piso y el techo de planta baja (PB) y planta alta (PA) tienen el mismo grosor. Se distribuye el grosor entre las zonas térmicas adyacentes porque la frontera es de tipo interzona.</w:t>
                  </w:r>
                </w:p>
              </w:tc>
            </w:tr>
            <w:tr>
              <w:tc>
                <w:tcPr/>
                <w:p>
                  <w:pPr>
                    <w:pStyle w:val="Compact"/>
                    <w:jc w:val="center"/>
                  </w:pPr>
                  <w:r>
                    <w:t xml:space="preserve">Sin zonas térmicas para espacios abiertos (pasillo)</w:t>
                  </w:r>
                </w:p>
              </w:tc>
              <w:tc>
                <w:tcPr/>
                <w:p>
                  <w:pPr>
                    <w:pStyle w:val="Compact"/>
                    <w:jc w:val="center"/>
                  </w:pPr>
                  <w:r>
                    <w:t xml:space="preserve">No se pueden modelar en OpenStudio</w:t>
                  </w:r>
                </w:p>
              </w:tc>
            </w:tr>
            <w:tr>
              <w:tc>
                <w:tcPr/>
                <w:p>
                  <w:pPr>
                    <w:pStyle w:val="Compact"/>
                    <w:jc w:val="center"/>
                  </w:pPr>
                  <w:r>
                    <w:t xml:space="preserve">Escaleras cubo de doble altura</w:t>
                  </w:r>
                </w:p>
              </w:tc>
              <w:tc>
                <w:tcPr/>
                <w:p>
                  <w:pPr>
                    <w:pStyle w:val="Compact"/>
                    <w:jc w:val="center"/>
                  </w:pPr>
                  <w:r>
                    <w:t xml:space="preserve">Simplificación sin masa térmica</w:t>
                  </w:r>
                </w:p>
              </w:tc>
            </w:tr>
            <w:tr>
              <w:tc>
                <w:tcPr/>
                <w:p>
                  <w:pPr>
                    <w:pStyle w:val="Compact"/>
                    <w:jc w:val="center"/>
                  </w:pPr>
                  <w:r>
                    <w:t xml:space="preserve">Boiler parte del baño</w:t>
                  </w:r>
                </w:p>
              </w:tc>
              <w:tc>
                <w:tcPr/>
                <w:p>
                  <w:pPr>
                    <w:pStyle w:val="Compact"/>
                    <w:jc w:val="center"/>
                  </w:pPr>
                  <w:r>
                    <w:t xml:space="preserve">Boiler?</w:t>
                  </w:r>
                </w:p>
              </w:tc>
            </w:tr>
            <w:tr>
              <w:tc>
                <w:tcPr/>
                <w:p>
                  <w:pPr>
                    <w:pStyle w:val="Compact"/>
                    <w:jc w:val="center"/>
                  </w:pPr>
                  <w:r>
                    <w:t xml:space="preserve">Ventana del comercio de 2 m x h</w:t>
                  </w:r>
                </w:p>
              </w:tc>
              <w:tc>
                <w:tcPr/>
                <w:p>
                  <w:pPr>
                    <w:pStyle w:val="Compact"/>
                    <w:jc w:val="center"/>
                  </w:pPr>
                  <w:r>
                    <w:t xml:space="preserve">Simplificación de planos</w:t>
                  </w:r>
                </w:p>
              </w:tc>
            </w:tr>
          </w:tbl>
          <w:bookmarkEnd w:id="11"/>
          <w:p/>
        </w:tc>
      </w:tr>
    </w:tbl>
    <w:p>
      <w:pPr>
        <w:pStyle w:val="BodyText"/>
      </w:pPr>
      <w:r>
        <w:t xml:space="preserve">Propiedades de materiales:</w:t>
      </w:r>
      <w:r>
        <w:t xml:space="preserve"> </w:t>
      </w:r>
      <w:r>
        <w:t xml:space="preserve">[5]</w:t>
      </w:r>
      <w:r>
        <w:t xml:space="preserve"> </w:t>
      </w:r>
      <w:r>
        <w:t xml:space="preserve">[6]</w:t>
      </w:r>
    </w:p>
    <w:p>
      <w:pPr>
        <w:pStyle w:val="BodyText"/>
      </w:pPr>
      <w:r>
        <w:t xml:space="preserve">impermeabilizante:</w:t>
      </w:r>
      <w:r>
        <w:t xml:space="preserve"> </w:t>
      </w:r>
      <w:r>
        <w:t xml:space="preserve">[7]</w:t>
      </w:r>
      <w:r>
        <w:t xml:space="preserve">,</w:t>
      </w:r>
      <w:r>
        <w:t xml:space="preserve"> </w:t>
      </w:r>
      <w:r>
        <w:t xml:space="preserve">[8]</w:t>
      </w:r>
      <w:r>
        <w:t xml:space="preserve">,</w:t>
      </w:r>
      <w:r>
        <w:t xml:space="preserve"> </w:t>
      </w:r>
      <w:r>
        <w:t xml:space="preserve">[9]</w:t>
      </w:r>
    </w:p>
    <w:bookmarkStart w:id="30" w:name="refs"/>
    <w:bookmarkStart w:id="13" w:name="X7b93399a64158ab90ea077025d7ca312b7119b1"/>
    <w:p>
      <w:pPr>
        <w:pStyle w:val="Bibliography"/>
      </w:pPr>
      <w:r>
        <w:t xml:space="preserve">[1]</w:t>
      </w:r>
      <w:r>
        <w:t xml:space="preserve"> </w:t>
      </w:r>
      <w:r>
        <w:t xml:space="preserve">	</w:t>
      </w:r>
      <w:r>
        <w:t xml:space="preserve">L. K. Lawrie y D. B. Crawley,</w:t>
      </w:r>
      <w:r>
        <w:t xml:space="preserve"> </w:t>
      </w:r>
      <w:r>
        <w:t xml:space="preserve">“</w:t>
      </w:r>
      <w:r>
        <w:t xml:space="preserve">\</w:t>
      </w:r>
      <w:r>
        <w:t xml:space="preserve">climatewebsite</w:t>
      </w:r>
      <w:r>
        <w:t xml:space="preserve">\</w:t>
      </w:r>
      <w:r>
        <w:t xml:space="preserve">WMO</w:t>
      </w:r>
      <w:r>
        <w:t xml:space="preserve">_Region_4_North_and_Central_America</w:t>
      </w:r>
      <w:r>
        <w:t xml:space="preserve">\</w:t>
      </w:r>
      <w:r>
        <w:t xml:space="preserve">MEX</w:t>
      </w:r>
      <w:r>
        <w:t xml:space="preserve">_Mexico”</w:t>
      </w:r>
      <w:r>
        <w:t xml:space="preserve">,</w:t>
      </w:r>
      <w:r>
        <w:t xml:space="preserve"> </w:t>
      </w:r>
      <w:r>
        <w:rPr>
          <w:i/>
          <w:iCs/>
        </w:rPr>
        <w:t xml:space="preserve">Development of Global Typical Meteorological Years (TMYx)</w:t>
      </w:r>
      <w:r>
        <w:t xml:space="preserve">. Climate.OneBuilding, 2026. Consultado: el 31 de mayo de 2026. [En línea]. Disponible en:</w:t>
      </w:r>
      <w:r>
        <w:t xml:space="preserve"> </w:t>
      </w:r>
      <w:hyperlink r:id="rId12">
        <w:r>
          <w:rPr>
            <w:rStyle w:val="Hyperlink"/>
          </w:rPr>
          <w:t xml:space="preserve">https://climate.onebuilding.org/WMO_Region_4_North_and_Central_America/MEX_Mexico/CMX_Cuidad_de_Mexico/MEX_CMX_Cuidad.Mexico.Central.766800_TMYx.2011-2025.zip</w:t>
        </w:r>
      </w:hyperlink>
    </w:p>
    <w:bookmarkEnd w:id="13"/>
    <w:bookmarkStart w:id="15" w:name="ref-noauthor_anexo_nodate"/>
    <w:p>
      <w:pPr>
        <w:pStyle w:val="Bibliography"/>
      </w:pPr>
      <w:r>
        <w:t xml:space="preserve">[2]</w:t>
      </w:r>
      <w:r>
        <w:t xml:space="preserve"> </w:t>
      </w:r>
      <w:r>
        <w:t xml:space="preserve">	</w:t>
      </w:r>
      <w:r>
        <w:t xml:space="preserve">“Anexo 1. Listado de regiones bioclimáticas”</w:t>
      </w:r>
      <w:r>
        <w:t xml:space="preserve">. Consultado: el 29 de mayo de 2026. [En línea]. Disponible en:</w:t>
      </w:r>
      <w:r>
        <w:t xml:space="preserve"> </w:t>
      </w:r>
      <w:hyperlink r:id="rId14">
        <w:r>
          <w:rPr>
            <w:rStyle w:val="Hyperlink"/>
          </w:rPr>
          <w:t xml:space="preserve">https://portalmx.infonavit.org.mx/wps/wcm/connect/005dcf74-d918-41aa-acfa-927e7b33d98a/12.+Anexo%2B1.%2BListado%2Bde%2Bregiones%2Bbioclim%C3%A1ticas.pdf?MOD=AJPERES&amp;CONVERT_TO=url&amp;CACHEID=ROOTWORKSPACE-005dcf74-d918-41aa-acfa-927e7b33d98a-mmCFC0</w:t>
        </w:r>
      </w:hyperlink>
    </w:p>
    <w:bookmarkEnd w:id="15"/>
    <w:bookmarkStart w:id="17" w:name="ref-noauthor_gradosdia_2021"/>
    <w:p>
      <w:pPr>
        <w:pStyle w:val="Bibliography"/>
      </w:pPr>
      <w:r>
        <w:t xml:space="preserve">[3]</w:t>
      </w:r>
      <w:r>
        <w:t xml:space="preserve"> </w:t>
      </w:r>
      <w:r>
        <w:t xml:space="preserve">	</w:t>
      </w:r>
      <w:r>
        <w:t xml:space="preserve">“</w:t>
      </w:r>
      <w:r>
        <w:t xml:space="preserve">GradosDia</w:t>
      </w:r>
      <w:r>
        <w:t xml:space="preserve"> </w:t>
      </w:r>
      <w:r>
        <w:t xml:space="preserve">29062021 (a945717)”</w:t>
      </w:r>
      <w:r>
        <w:t xml:space="preserve">. Consultado: el 29 de mayo de 2026. [En línea]. Disponible en:</w:t>
      </w:r>
      <w:r>
        <w:t xml:space="preserve"> </w:t>
      </w:r>
      <w:hyperlink r:id="rId16">
        <w:r>
          <w:rPr>
            <w:rStyle w:val="Hyperlink"/>
          </w:rPr>
          <w:t xml:space="preserve">https://a945717.fmphost.com/fmi/webd/GradosDia%2029062021</w:t>
        </w:r>
      </w:hyperlink>
    </w:p>
    <w:bookmarkEnd w:id="17"/>
    <w:bookmarkStart w:id="19" w:name="ref-de_buen_r_clasificacion_2020"/>
    <w:p>
      <w:pPr>
        <w:pStyle w:val="Bibliography"/>
      </w:pPr>
      <w:r>
        <w:t xml:space="preserve">[4]</w:t>
      </w:r>
      <w:r>
        <w:t xml:space="preserve"> </w:t>
      </w:r>
      <w:r>
        <w:t xml:space="preserve">	</w:t>
      </w:r>
      <w:r>
        <w:t xml:space="preserve">O. de Buen R y N. Morales M,</w:t>
      </w:r>
      <w:r>
        <w:t xml:space="preserve"> </w:t>
      </w:r>
      <w:r>
        <w:t xml:space="preserve">“Clasificación de climas y su aplicación a la norma para envolvente de viviendas: notas para discusión”</w:t>
      </w:r>
      <w:r>
        <w:t xml:space="preserve">,</w:t>
      </w:r>
      <w:r>
        <w:t xml:space="preserve"> </w:t>
      </w:r>
      <w:r>
        <w:rPr>
          <w:i/>
          <w:iCs/>
        </w:rPr>
        <w:t xml:space="preserve">Cuadernos de la CONUEE</w:t>
      </w:r>
      <w:r>
        <w:t xml:space="preserve">, vol. 6, 2020, Consultado: el 31 de mayo de 2026. [En línea]. Disponible en:</w:t>
      </w:r>
      <w:r>
        <w:t xml:space="preserve"> </w:t>
      </w:r>
      <w:hyperlink r:id="rId18">
        <w:r>
          <w:rPr>
            <w:rStyle w:val="Hyperlink"/>
          </w:rPr>
          <w:t xml:space="preserve">https://www.conuee.gob.mx/transparencia/boletines/Cuadernos/cuaderno6NvoCiclo.pdf</w:t>
        </w:r>
      </w:hyperlink>
    </w:p>
    <w:bookmarkEnd w:id="19"/>
    <w:bookmarkStart w:id="21" w:name="X50a5eca424aa765eacb876c9b721e3b11132e4f"/>
    <w:p>
      <w:pPr>
        <w:pStyle w:val="Bibliography"/>
      </w:pPr>
      <w:r>
        <w:t xml:space="preserve">[5]</w:t>
      </w:r>
      <w:r>
        <w:t xml:space="preserve"> </w:t>
      </w:r>
      <w:r>
        <w:t xml:space="preserve">	</w:t>
      </w:r>
      <w:r>
        <w:t xml:space="preserve">“validacion_enerhabitat/notebook/materials.ini at main ·</w:t>
      </w:r>
      <w:r>
        <w:t xml:space="preserve"> </w:t>
      </w:r>
      <w:r>
        <w:t xml:space="preserve">AltamarMx</w:t>
      </w:r>
      <w:r>
        <w:t xml:space="preserve">/validacion_enerhabitat”</w:t>
      </w:r>
      <w:r>
        <w:t xml:space="preserve">,</w:t>
      </w:r>
      <w:r>
        <w:t xml:space="preserve"> </w:t>
      </w:r>
      <w:r>
        <w:rPr>
          <w:i/>
          <w:iCs/>
        </w:rPr>
        <w:t xml:space="preserve">GitHub</w:t>
      </w:r>
      <w:r>
        <w:t xml:space="preserve">. Consultado: el 1 de junio de 2026. [En línea]. Disponible en:</w:t>
      </w:r>
      <w:r>
        <w:t xml:space="preserve"> </w:t>
      </w:r>
      <w:hyperlink r:id="rId20">
        <w:r>
          <w:rPr>
            <w:rStyle w:val="Hyperlink"/>
          </w:rPr>
          <w:t xml:space="preserve">https://github.com/AltamarMx/validacion_enerhabitat/blob/main/notebook/materials.ini</w:t>
        </w:r>
      </w:hyperlink>
    </w:p>
    <w:bookmarkEnd w:id="21"/>
    <w:bookmarkStart w:id="23" w:name="ref-noauthor_absorbed_nodate"/>
    <w:p>
      <w:pPr>
        <w:pStyle w:val="Bibliography"/>
      </w:pPr>
      <w:r>
        <w:t xml:space="preserve">[6]</w:t>
      </w:r>
      <w:r>
        <w:t xml:space="preserve"> </w:t>
      </w:r>
      <w:r>
        <w:t xml:space="preserve">	</w:t>
      </w:r>
      <w:r>
        <w:t xml:space="preserve">“Absorbed</w:t>
      </w:r>
      <w:r>
        <w:t xml:space="preserve"> </w:t>
      </w:r>
      <w:r>
        <w:t xml:space="preserve">Solar</w:t>
      </w:r>
      <w:r>
        <w:t xml:space="preserve"> </w:t>
      </w:r>
      <w:r>
        <w:t xml:space="preserve">Radiation</w:t>
      </w:r>
      <w:r>
        <w:t xml:space="preserve">”</w:t>
      </w:r>
      <w:r>
        <w:t xml:space="preserve">. Consultado: el 1 de junio de 2026. [En línea]. Disponible en:</w:t>
      </w:r>
      <w:r>
        <w:t xml:space="preserve"> </w:t>
      </w:r>
      <w:hyperlink r:id="rId22">
        <w:r>
          <w:rPr>
            <w:rStyle w:val="Hyperlink"/>
          </w:rPr>
          <w:t xml:space="preserve">https://www.engineeringtoolbox.com/solar-radiation-absorbed-materials-d_1568.html</w:t>
        </w:r>
      </w:hyperlink>
    </w:p>
    <w:bookmarkEnd w:id="23"/>
    <w:bookmarkStart w:id="25" w:name="ref-cemex_cemex_2024"/>
    <w:p>
      <w:pPr>
        <w:pStyle w:val="Bibliography"/>
      </w:pPr>
      <w:r>
        <w:t xml:space="preserve">[7]</w:t>
      </w:r>
      <w:r>
        <w:t xml:space="preserve"> </w:t>
      </w:r>
      <w:r>
        <w:t xml:space="preserve">	</w:t>
      </w:r>
      <w:r>
        <w:t xml:space="preserve">CEMEX,</w:t>
      </w:r>
      <w:r>
        <w:t xml:space="preserve"> </w:t>
      </w:r>
      <w:r>
        <w:t xml:space="preserve">“Cemex</w:t>
      </w:r>
      <w:r>
        <w:t xml:space="preserve"> </w:t>
      </w:r>
      <w:r>
        <w:t xml:space="preserve">Impermeabilizante</w:t>
      </w:r>
      <w:r>
        <w:t xml:space="preserve"> </w:t>
      </w:r>
      <w:r>
        <w:t xml:space="preserve">Acrílico</w:t>
      </w:r>
      <w:r>
        <w:t xml:space="preserve"> </w:t>
      </w:r>
      <w:r>
        <w:t xml:space="preserve">Terracota</w:t>
      </w:r>
      <w:r>
        <w:t xml:space="preserve">”</w:t>
      </w:r>
      <w:r>
        <w:t xml:space="preserve">. CEMEX, enero de 2024. Consultado: el 31 de mayo de 2026. [En línea]. Disponible en:</w:t>
      </w:r>
      <w:r>
        <w:t xml:space="preserve"> </w:t>
      </w:r>
      <w:hyperlink r:id="rId24">
        <w:r>
          <w:rPr>
            <w:rStyle w:val="Hyperlink"/>
          </w:rPr>
          <w:t xml:space="preserve">https://www.cemexmexico.com/documents/5368755/7397134/su_Impermeabilzantes_fichatecnica_impermeabilizanteterracota.pdf/112d2cfd-3649-2e16-7809-a59aaaa1ac47?version=1.0&amp;t=1764439087853&amp;download=true</w:t>
        </w:r>
      </w:hyperlink>
    </w:p>
    <w:bookmarkEnd w:id="25"/>
    <w:bookmarkStart w:id="27" w:name="ref-noauthor_overview_nodate"/>
    <w:p>
      <w:pPr>
        <w:pStyle w:val="Bibliography"/>
      </w:pPr>
      <w:r>
        <w:t xml:space="preserve">[8]</w:t>
      </w:r>
      <w:r>
        <w:t xml:space="preserve"> </w:t>
      </w:r>
      <w:r>
        <w:t xml:space="preserve">	</w:t>
      </w:r>
      <w:r>
        <w:t xml:space="preserve">“Overview of materials for</w:t>
      </w:r>
      <w:r>
        <w:t xml:space="preserve"> </w:t>
      </w:r>
      <w:r>
        <w:t xml:space="preserve">Acrylic</w:t>
      </w:r>
      <w:r>
        <w:t xml:space="preserve">,</w:t>
      </w:r>
      <w:r>
        <w:t xml:space="preserve"> </w:t>
      </w:r>
      <w:r>
        <w:t xml:space="preserve">Cast</w:t>
      </w:r>
      <w:r>
        <w:t xml:space="preserve">”</w:t>
      </w:r>
      <w:r>
        <w:t xml:space="preserve">. Consultado: el 1 de junio de 2026. [En línea]. Disponible en:</w:t>
      </w:r>
      <w:r>
        <w:t xml:space="preserve"> </w:t>
      </w:r>
      <w:hyperlink r:id="rId26">
        <w:r>
          <w:rPr>
            <w:rStyle w:val="Hyperlink"/>
          </w:rPr>
          <w:t xml:space="preserve">https://www.matweb.com/search/datasheet.aspx?bassnum=O1303&amp;ckck=1</w:t>
        </w:r>
      </w:hyperlink>
    </w:p>
    <w:bookmarkEnd w:id="27"/>
    <w:bookmarkStart w:id="29" w:name="ref-lucero-alvarez_experimental_2011"/>
    <w:p>
      <w:pPr>
        <w:pStyle w:val="Bibliography"/>
      </w:pPr>
      <w:r>
        <w:t xml:space="preserve">[9]</w:t>
      </w:r>
      <w:r>
        <w:t xml:space="preserve"> </w:t>
      </w:r>
      <w:r>
        <w:t xml:space="preserve">	</w:t>
      </w:r>
      <w:r>
        <w:t xml:space="preserve">J. Lucero-Álvarez, I. Martin-Dominguez, M. T. Alarcón-Herrera, F. Rubín-Zacarías, y A. Ledezma-Gallegos,</w:t>
      </w:r>
      <w:r>
        <w:t xml:space="preserve"> </w:t>
      </w:r>
      <w:r>
        <w:t xml:space="preserve">“Experimental</w:t>
      </w:r>
      <w:r>
        <w:t xml:space="preserve"> </w:t>
      </w:r>
      <w:r>
        <w:t xml:space="preserve">Comparison</w:t>
      </w:r>
      <w:r>
        <w:t xml:space="preserve"> </w:t>
      </w:r>
      <w:r>
        <w:t xml:space="preserve">of</w:t>
      </w:r>
      <w:r>
        <w:t xml:space="preserve"> </w:t>
      </w:r>
      <w:r>
        <w:t xml:space="preserve">Heat</w:t>
      </w:r>
      <w:r>
        <w:t xml:space="preserve"> </w:t>
      </w:r>
      <w:r>
        <w:t xml:space="preserve">Flow</w:t>
      </w:r>
      <w:r>
        <w:t xml:space="preserve"> </w:t>
      </w:r>
      <w:r>
        <w:t xml:space="preserve">Through</w:t>
      </w:r>
      <w:r>
        <w:t xml:space="preserve"> </w:t>
      </w:r>
      <w:r>
        <w:t xml:space="preserve">Concrete</w:t>
      </w:r>
      <w:r>
        <w:t xml:space="preserve"> </w:t>
      </w:r>
      <w:r>
        <w:t xml:space="preserve">Roofing</w:t>
      </w:r>
      <w:r>
        <w:t xml:space="preserve"> </w:t>
      </w:r>
      <w:r>
        <w:t xml:space="preserve">Flagstones</w:t>
      </w:r>
      <w:r>
        <w:t xml:space="preserve"> </w:t>
      </w:r>
      <w:r>
        <w:t xml:space="preserve">with</w:t>
      </w:r>
      <w:r>
        <w:t xml:space="preserve"> </w:t>
      </w:r>
      <w:r>
        <w:t xml:space="preserve">Different</w:t>
      </w:r>
      <w:r>
        <w:t xml:space="preserve"> </w:t>
      </w:r>
      <w:r>
        <w:t xml:space="preserve">Coatings</w:t>
      </w:r>
      <w:r>
        <w:t xml:space="preserve">”</w:t>
      </w:r>
      <w:r>
        <w:t xml:space="preserve">, en</w:t>
      </w:r>
      <w:r>
        <w:t xml:space="preserve"> </w:t>
      </w:r>
      <w:r>
        <w:rPr>
          <w:i/>
          <w:iCs/>
        </w:rPr>
        <w:t xml:space="preserve">Proceedings of the</w:t>
      </w:r>
      <w:r>
        <w:rPr>
          <w:i/>
          <w:iCs/>
        </w:rPr>
        <w:t xml:space="preserve"> </w:t>
      </w:r>
      <w:r>
        <w:rPr>
          <w:i/>
          <w:iCs/>
        </w:rPr>
        <w:t xml:space="preserve">ISES</w:t>
      </w:r>
      <w:r>
        <w:rPr>
          <w:i/>
          <w:iCs/>
        </w:rPr>
        <w:t xml:space="preserve"> </w:t>
      </w:r>
      <w:r>
        <w:rPr>
          <w:i/>
          <w:iCs/>
        </w:rPr>
        <w:t xml:space="preserve">Solar</w:t>
      </w:r>
      <w:r>
        <w:rPr>
          <w:i/>
          <w:iCs/>
        </w:rPr>
        <w:t xml:space="preserve"> </w:t>
      </w:r>
      <w:r>
        <w:rPr>
          <w:i/>
          <w:iCs/>
        </w:rPr>
        <w:t xml:space="preserve">World</w:t>
      </w:r>
      <w:r>
        <w:rPr>
          <w:i/>
          <w:iCs/>
        </w:rPr>
        <w:t xml:space="preserve"> </w:t>
      </w:r>
      <w:r>
        <w:rPr>
          <w:i/>
          <w:iCs/>
        </w:rPr>
        <w:t xml:space="preserve">Congress</w:t>
      </w:r>
      <w:r>
        <w:rPr>
          <w:i/>
          <w:iCs/>
        </w:rPr>
        <w:t xml:space="preserve"> </w:t>
      </w:r>
      <w:r>
        <w:rPr>
          <w:i/>
          <w:iCs/>
        </w:rPr>
        <w:t xml:space="preserve">2011</w:t>
      </w:r>
      <w:r>
        <w:t xml:space="preserve">, Kassel, Germany: International Solar Energy Society, 2011, pp. 1–12. doi:</w:t>
      </w:r>
      <w:r>
        <w:t xml:space="preserve"> </w:t>
      </w:r>
      <w:hyperlink r:id="rId28">
        <w:r>
          <w:rPr>
            <w:rStyle w:val="Hyperlink"/>
          </w:rPr>
          <w:t xml:space="preserve">10.18086/swc.2011.02.05</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945717.fmphost.com/fmi/webd/GradosDia%2029062021" TargetMode="External" /><Relationship Type="http://schemas.openxmlformats.org/officeDocument/2006/relationships/hyperlink" Id="rId12" Target="https://climate.onebuilding.org/WMO_Region_4_North_and_Central_America/MEX_Mexico/CMX_Cuidad_de_Mexico/MEX_CMX_Cuidad.Mexico.Central.766800_TMYx.2011-2025.zip" TargetMode="External" /><Relationship Type="http://schemas.openxmlformats.org/officeDocument/2006/relationships/hyperlink" Id="rId28" Target="https://doi.org/10.18086/swc.2011.02.05" TargetMode="External" /><Relationship Type="http://schemas.openxmlformats.org/officeDocument/2006/relationships/hyperlink" Id="rId20" Target="https://github.com/AltamarMx/validacion_enerhabitat/blob/main/notebook/materials.ini" TargetMode="External" /><Relationship Type="http://schemas.openxmlformats.org/officeDocument/2006/relationships/hyperlink" Id="rId14" Target="https://portalmx.infonavit.org.mx/wps/wcm/connect/005dcf74-d918-41aa-acfa-927e7b33d98a/12.+Anexo%2B1.%2BListado%2Bde%2Bregiones%2Bbioclim%C3%A1ticas.pdf?MOD=AJPERES&amp;CONVERT_TO=url&amp;CACHEID=ROOTWORKSPACE-005dcf74-d918-41aa-acfa-927e7b33d98a-mmCFC0" TargetMode="External" /><Relationship Type="http://schemas.openxmlformats.org/officeDocument/2006/relationships/hyperlink" Id="rId24" Target="https://www.cemexmexico.com/documents/5368755/7397134/su_Impermeabilzantes_fichatecnica_impermeabilizanteterracota.pdf/112d2cfd-3649-2e16-7809-a59aaaa1ac47?version=1.0&amp;t=1764439087853&amp;download=true" TargetMode="External" /><Relationship Type="http://schemas.openxmlformats.org/officeDocument/2006/relationships/hyperlink" Id="rId18" Target="https://www.conuee.gob.mx/transparencia/boletines/Cuadernos/cuaderno6NvoCiclo.pdf" TargetMode="External" /><Relationship Type="http://schemas.openxmlformats.org/officeDocument/2006/relationships/hyperlink" Id="rId22" Target="https://www.engineeringtoolbox.com/solar-radiation-absorbed-materials-d_1568.html" TargetMode="External" /><Relationship Type="http://schemas.openxmlformats.org/officeDocument/2006/relationships/hyperlink" Id="rId26" Target="https://www.matweb.com/search/datasheet.aspx?bassnum=O1303&amp;ckck=1" TargetMode="External" /></Relationships>
</file>

<file path=word/_rels/footnotes.xml.rels><?xml version="1.0" encoding="UTF-8"?><Relationships xmlns="http://schemas.openxmlformats.org/package/2006/relationships"><Relationship Type="http://schemas.openxmlformats.org/officeDocument/2006/relationships/hyperlink" Id="rId16" Target="https://a945717.fmphost.com/fmi/webd/GradosDia%2029062021" TargetMode="External" /><Relationship Type="http://schemas.openxmlformats.org/officeDocument/2006/relationships/hyperlink" Id="rId12" Target="https://climate.onebuilding.org/WMO_Region_4_North_and_Central_America/MEX_Mexico/CMX_Cuidad_de_Mexico/MEX_CMX_Cuidad.Mexico.Central.766800_TMYx.2011-2025.zip" TargetMode="External" /><Relationship Type="http://schemas.openxmlformats.org/officeDocument/2006/relationships/hyperlink" Id="rId28" Target="https://doi.org/10.18086/swc.2011.02.05" TargetMode="External" /><Relationship Type="http://schemas.openxmlformats.org/officeDocument/2006/relationships/hyperlink" Id="rId20" Target="https://github.com/AltamarMx/validacion_enerhabitat/blob/main/notebook/materials.ini" TargetMode="External" /><Relationship Type="http://schemas.openxmlformats.org/officeDocument/2006/relationships/hyperlink" Id="rId14" Target="https://portalmx.infonavit.org.mx/wps/wcm/connect/005dcf74-d918-41aa-acfa-927e7b33d98a/12.+Anexo%2B1.%2BListado%2Bde%2Bregiones%2Bbioclim%C3%A1ticas.pdf?MOD=AJPERES&amp;CONVERT_TO=url&amp;CACHEID=ROOTWORKSPACE-005dcf74-d918-41aa-acfa-927e7b33d98a-mmCFC0" TargetMode="External" /><Relationship Type="http://schemas.openxmlformats.org/officeDocument/2006/relationships/hyperlink" Id="rId24" Target="https://www.cemexmexico.com/documents/5368755/7397134/su_Impermeabilzantes_fichatecnica_impermeabilizanteterracota.pdf/112d2cfd-3649-2e16-7809-a59aaaa1ac47?version=1.0&amp;t=1764439087853&amp;download=true" TargetMode="External" /><Relationship Type="http://schemas.openxmlformats.org/officeDocument/2006/relationships/hyperlink" Id="rId18" Target="https://www.conuee.gob.mx/transparencia/boletines/Cuadernos/cuaderno6NvoCiclo.pdf" TargetMode="External" /><Relationship Type="http://schemas.openxmlformats.org/officeDocument/2006/relationships/hyperlink" Id="rId22" Target="https://www.engineeringtoolbox.com/solar-radiation-absorbed-materials-d_1568.html" TargetMode="External" /><Relationship Type="http://schemas.openxmlformats.org/officeDocument/2006/relationships/hyperlink" Id="rId26" Target="https://www.matweb.com/search/datasheet.aspx?bassnum=O1303&amp;ckck=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Estrategias bioclimáticas para la casa 3 del INFONAVIT (Ciudad de México)</dc:title>
  <dc:creator/>
  <dc:language>es-MX</dc:language>
  <cp:keywords/>
  <dcterms:created xsi:type="dcterms:W3CDTF">2026-06-03T13:39:26Z</dcterms:created>
  <dcterms:modified xsi:type="dcterms:W3CDTF">2026-06-03T13:39:26Z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ieee.csl</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Tabla de contenidos</vt:lpwstr>
  </property>
</Properties>
</file>