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475569"/>
          <w:sz w:val="24"/>
          <w:szCs w:val="24"/>
        </w:rPr>
        <w:t xml:space="preserve">Digitalización Avanzada · 2º DAM</w:t>
      </w:r>
    </w:p>
    <w:p>
      <w:pPr>
        <w:spacing w:after="120"/>
      </w:pPr>
      <w:r>
        <w:rPr>
          <w:b/>
          <w:bCs/>
          <w:color w:val="1E1B4B"/>
          <w:sz w:val="52"/>
          <w:szCs w:val="52"/>
        </w:rPr>
        <w:t xml:space="preserve">Trabajo a Desarrollar del Equipo UX</w:t>
      </w:r>
    </w:p>
    <w:p>
      <w:pPr>
        <w:pBdr>
          <w:bottom w:val="single" w:color="4F46E5" w:sz="12" w:space="8"/>
        </w:pBdr>
        <w:spacing w:after="600"/>
      </w:pPr>
      <w:r>
        <w:rPr>
          <w:color w:val="4F46E5"/>
          <w:sz w:val="26"/>
          <w:szCs w:val="26"/>
        </w:rPr>
        <w:t xml:space="preserve">Área: Experiencia de Usuario (UX) — Auditoría y métrica de calidad UX</w:t>
      </w:r>
    </w:p>
    <w:p>
      <w:pPr>
        <w:spacing w:after="60" w:line="276"/>
      </w:pPr>
      <w:r>
        <w:rPr>
          <w:b/>
          <w:bCs/>
        </w:rPr>
        <w:t xml:space="preserve">Integrantes:</w:t>
      </w:r>
    </w:p>
    <w:p>
      <w:pPr>
        <w:spacing w:after="40" w:line="276"/>
        <w:ind w:left="360"/>
      </w:pPr>
      <w:r>
        <w:t xml:space="preserve">Fatma Erguibi Moh ali</w:t>
      </w:r>
    </w:p>
    <w:p>
      <w:pPr>
        <w:spacing w:after="40" w:line="276"/>
        <w:ind w:left="360"/>
      </w:pPr>
      <w:r>
        <w:t xml:space="preserve">Alejandro Domingo Varela</w:t>
      </w:r>
    </w:p>
    <w:p>
      <w:pPr>
        <w:spacing w:after="40" w:line="276"/>
        <w:ind w:left="360"/>
      </w:pPr>
      <w:r>
        <w:t xml:space="preserve">Taniana Paredes Rodriguez</w:t>
      </w:r>
    </w:p>
    <w:p>
      <w:pPr>
        <w:spacing w:after="40" w:line="276"/>
        <w:ind w:left="360"/>
      </w:pPr>
      <w:r>
        <w:t xml:space="preserve">Irene Pesquera García</w:t>
      </w:r>
    </w:p>
    <w:p>
      <w:pPr>
        <w:spacing w:after="80"/>
      </w:pPr>
    </w:p>
    <w:p>
      <w:pPr>
        <w:spacing w:after="120" w:line="276"/>
      </w:pPr>
      <w:r>
        <w:rPr>
          <w:b/>
          <w:bCs/>
        </w:rPr>
        <w:t xml:space="preserve">Fecha:</w:t>
      </w:r>
      <w:r>
        <w:t xml:space="preserve"> octubre de 2026</w:t>
      </w:r>
    </w:p>
    <w:p>
      <w:pPr>
        <w:pageBreakBefore/>
        <w:spacing w:after="240"/>
      </w:pPr>
      <w:r>
        <w:rPr>
          <w:b/>
          <w:bCs/>
          <w:color w:val="1E1B4B"/>
          <w:sz w:val="36"/>
          <w:szCs w:val="36"/>
        </w:rPr>
        <w:t xml:space="preserve">Índice</w:t>
      </w:r>
    </w:p>
    <w:p>
      <w:pPr>
        <w:pStyle w:val="TOC1"/>
      </w:pPr>
      <w:r>
        <w:fldChar w:fldCharType="begin"/>
      </w:r>
      <w:r>
        <w:instrText xml:space="preserve"> TOC \o "1-2" \h \z \u </w:instrText>
      </w:r>
      <w:r>
        <w:fldChar w:fldCharType="separate"/>
      </w:r>
      <w:hyperlink w:anchor="_Toc900001" w:history="1">
        <w:r>
          <w:t xml:space="preserve">01- Estándares y Referentes</w:t>
        </w:r>
        <w:r>
          <w:tab/>
        </w:r>
        <w:r>
          <w:fldChar w:fldCharType="begin"/>
        </w:r>
        <w:r>
          <w:instrText xml:space="preserve"> PAGEREF _Toc900001 \h </w:instrText>
        </w:r>
        <w:r>
          <w:fldChar w:fldCharType="separate"/>
        </w:r>
        <w:r>
          <w:t>3</w:t>
        </w:r>
        <w:r>
          <w:fldChar w:fldCharType="end"/>
        </w:r>
      </w:hyperlink>
    </w:p>
    <w:p>
      <w:pPr>
        <w:pStyle w:val="TOC2"/>
      </w:pPr>
      <w:hyperlink w:anchor="_Toc900002" w:history="1">
        <w:r>
          <w:t xml:space="preserve">1.1 Usabilidad y experiencia de usuario: el marco ISO</w:t>
        </w:r>
        <w:r>
          <w:tab/>
        </w:r>
        <w:r>
          <w:fldChar w:fldCharType="begin"/>
        </w:r>
        <w:r>
          <w:instrText xml:space="preserve"> PAGEREF _Toc900002 \h </w:instrText>
        </w:r>
        <w:r>
          <w:fldChar w:fldCharType="separate"/>
        </w:r>
        <w:r>
          <w:t>3</w:t>
        </w:r>
        <w:r>
          <w:fldChar w:fldCharType="end"/>
        </w:r>
      </w:hyperlink>
    </w:p>
    <w:p>
      <w:pPr>
        <w:pStyle w:val="TOC2"/>
      </w:pPr>
      <w:hyperlink w:anchor="_Toc900003" w:history="1">
        <w:r>
          <w:t xml:space="preserve">1.2 Accesibilidad: WCAG 2.2 y su metodología de evaluación</w:t>
        </w:r>
        <w:r>
          <w:tab/>
        </w:r>
        <w:r>
          <w:fldChar w:fldCharType="begin"/>
        </w:r>
        <w:r>
          <w:instrText xml:space="preserve"> PAGEREF _Toc900003 \h </w:instrText>
        </w:r>
        <w:r>
          <w:fldChar w:fldCharType="separate"/>
        </w:r>
        <w:r>
          <w:t>4</w:t>
        </w:r>
        <w:r>
          <w:fldChar w:fldCharType="end"/>
        </w:r>
      </w:hyperlink>
    </w:p>
    <w:p>
      <w:pPr>
        <w:pStyle w:val="TOC2"/>
      </w:pPr>
      <w:hyperlink w:anchor="_Toc900004" w:history="1">
        <w:r>
          <w:t xml:space="preserve">1.3 Marco legal europeo y español</w:t>
        </w:r>
        <w:r>
          <w:tab/>
        </w:r>
        <w:r>
          <w:fldChar w:fldCharType="begin"/>
        </w:r>
        <w:r>
          <w:instrText xml:space="preserve"> PAGEREF _Toc900004 \h </w:instrText>
        </w:r>
        <w:r>
          <w:fldChar w:fldCharType="separate"/>
        </w:r>
        <w:r>
          <w:t>4</w:t>
        </w:r>
        <w:r>
          <w:fldChar w:fldCharType="end"/>
        </w:r>
      </w:hyperlink>
    </w:p>
    <w:p>
      <w:pPr>
        <w:pStyle w:val="TOC2"/>
      </w:pPr>
      <w:hyperlink w:anchor="_Toc900005" w:history="1">
        <w:r>
          <w:t xml:space="preserve">1.4 Heurísticas y principios de diseño</w:t>
        </w:r>
        <w:r>
          <w:tab/>
        </w:r>
        <w:r>
          <w:fldChar w:fldCharType="begin"/>
        </w:r>
        <w:r>
          <w:instrText xml:space="preserve"> PAGEREF _Toc900005 \h </w:instrText>
        </w:r>
        <w:r>
          <w:fldChar w:fldCharType="separate"/>
        </w:r>
        <w:r>
          <w:t>6</w:t>
        </w:r>
        <w:r>
          <w:fldChar w:fldCharType="end"/>
        </w:r>
      </w:hyperlink>
    </w:p>
    <w:p>
      <w:pPr>
        <w:pStyle w:val="TOC2"/>
      </w:pPr>
      <w:hyperlink w:anchor="_Toc900006" w:history="1">
        <w:r>
          <w:t xml:space="preserve">1.5 Steve Krug: «No me hagas pensar» y «Haz fácil lo imposible»</w:t>
        </w:r>
        <w:r>
          <w:tab/>
        </w:r>
        <w:r>
          <w:fldChar w:fldCharType="begin"/>
        </w:r>
        <w:r>
          <w:instrText xml:space="preserve"> PAGEREF _Toc900006 \h </w:instrText>
        </w:r>
        <w:r>
          <w:fldChar w:fldCharType="separate"/>
        </w:r>
        <w:r>
          <w:t>6</w:t>
        </w:r>
        <w:r>
          <w:fldChar w:fldCharType="end"/>
        </w:r>
      </w:hyperlink>
    </w:p>
    <w:p>
      <w:pPr>
        <w:pStyle w:val="TOC2"/>
      </w:pPr>
      <w:hyperlink w:anchor="_Toc900007" w:history="1">
        <w:r>
          <w:t xml:space="preserve">1.6 Investigación aplicada: Baymard Institute y GOV.UK</w:t>
        </w:r>
        <w:r>
          <w:tab/>
        </w:r>
        <w:r>
          <w:fldChar w:fldCharType="begin"/>
        </w:r>
        <w:r>
          <w:instrText xml:space="preserve"> PAGEREF _Toc900007 \h </w:instrText>
        </w:r>
        <w:r>
          <w:fldChar w:fldCharType="separate"/>
        </w:r>
        <w:r>
          <w:t>7</w:t>
        </w:r>
        <w:r>
          <w:fldChar w:fldCharType="end"/>
        </w:r>
      </w:hyperlink>
    </w:p>
    <w:p>
      <w:pPr>
        <w:pStyle w:val="TOC2"/>
      </w:pPr>
      <w:hyperlink w:anchor="_Toc900008" w:history="1">
        <w:r>
          <w:t xml:space="preserve">1.7 Leyes de la UX y psicología de la interacción</w:t>
        </w:r>
        <w:r>
          <w:tab/>
        </w:r>
        <w:r>
          <w:fldChar w:fldCharType="begin"/>
        </w:r>
        <w:r>
          <w:instrText xml:space="preserve"> PAGEREF _Toc900008 \h </w:instrText>
        </w:r>
        <w:r>
          <w:fldChar w:fldCharType="separate"/>
        </w:r>
        <w:r>
          <w:t>8</w:t>
        </w:r>
        <w:r>
          <w:fldChar w:fldCharType="end"/>
        </w:r>
      </w:hyperlink>
    </w:p>
    <w:p>
      <w:pPr>
        <w:pStyle w:val="TOC2"/>
      </w:pPr>
      <w:hyperlink w:anchor="_Toc900009" w:history="1">
        <w:r>
          <w:t xml:space="preserve">1.8 Guías de plataforma y sistemas de diseño</w:t>
        </w:r>
        <w:r>
          <w:tab/>
        </w:r>
        <w:r>
          <w:fldChar w:fldCharType="begin"/>
        </w:r>
        <w:r>
          <w:instrText xml:space="preserve"> PAGEREF _Toc900009 \h </w:instrText>
        </w:r>
        <w:r>
          <w:fldChar w:fldCharType="separate"/>
        </w:r>
        <w:r>
          <w:t>8</w:t>
        </w:r>
        <w:r>
          <w:fldChar w:fldCharType="end"/>
        </w:r>
      </w:hyperlink>
    </w:p>
    <w:p>
      <w:pPr>
        <w:pStyle w:val="TOC2"/>
      </w:pPr>
      <w:hyperlink w:anchor="_Toc900010" w:history="1">
        <w:r>
          <w:t xml:space="preserve">1.9 Instrumentos de medición</w:t>
        </w:r>
        <w:r>
          <w:tab/>
        </w:r>
        <w:r>
          <w:fldChar w:fldCharType="begin"/>
        </w:r>
        <w:r>
          <w:instrText xml:space="preserve"> PAGEREF _Toc900010 \h </w:instrText>
        </w:r>
        <w:r>
          <w:fldChar w:fldCharType="separate"/>
        </w:r>
        <w:r>
          <w:t>8</w:t>
        </w:r>
        <w:r>
          <w:fldChar w:fldCharType="end"/>
        </w:r>
      </w:hyperlink>
    </w:p>
    <w:p>
      <w:pPr>
        <w:pStyle w:val="TOC1"/>
      </w:pPr>
      <w:hyperlink w:anchor="_Toc900011" w:history="1">
        <w:r>
          <w:t xml:space="preserve">02- SOTA (Estado del arte)</w:t>
        </w:r>
        <w:r>
          <w:tab/>
        </w:r>
        <w:r>
          <w:fldChar w:fldCharType="begin"/>
        </w:r>
        <w:r>
          <w:instrText xml:space="preserve"> PAGEREF _Toc900011 \h </w:instrText>
        </w:r>
        <w:r>
          <w:fldChar w:fldCharType="separate"/>
        </w:r>
        <w:r>
          <w:t>10</w:t>
        </w:r>
        <w:r>
          <w:fldChar w:fldCharType="end"/>
        </w:r>
      </w:hyperlink>
    </w:p>
    <w:p>
      <w:pPr>
        <w:pStyle w:val="TOC2"/>
      </w:pPr>
      <w:hyperlink w:anchor="_Toc900012" w:history="1">
        <w:r>
          <w:t xml:space="preserve">2.1 Tendencias actuales</w:t>
        </w:r>
        <w:r>
          <w:tab/>
        </w:r>
        <w:r>
          <w:fldChar w:fldCharType="begin"/>
        </w:r>
        <w:r>
          <w:instrText xml:space="preserve"> PAGEREF _Toc900012 \h </w:instrText>
        </w:r>
        <w:r>
          <w:fldChar w:fldCharType="separate"/>
        </w:r>
        <w:r>
          <w:t>10</w:t>
        </w:r>
        <w:r>
          <w:fldChar w:fldCharType="end"/>
        </w:r>
      </w:hyperlink>
    </w:p>
    <w:p>
      <w:pPr>
        <w:pStyle w:val="TOC2"/>
      </w:pPr>
      <w:hyperlink w:anchor="_Toc900013" w:history="1">
        <w:r>
          <w:t xml:space="preserve">2.2 Comparativa de herramientas existentes</w:t>
        </w:r>
        <w:r>
          <w:tab/>
        </w:r>
        <w:r>
          <w:fldChar w:fldCharType="begin"/>
        </w:r>
        <w:r>
          <w:instrText xml:space="preserve"> PAGEREF _Toc900013 \h </w:instrText>
        </w:r>
        <w:r>
          <w:fldChar w:fldCharType="separate"/>
        </w:r>
        <w:r>
          <w:t>11</w:t>
        </w:r>
        <w:r>
          <w:fldChar w:fldCharType="end"/>
        </w:r>
      </w:hyperlink>
    </w:p>
    <w:p>
      <w:pPr>
        <w:pStyle w:val="TOC2"/>
      </w:pPr>
      <w:hyperlink w:anchor="_Toc900014" w:history="1">
        <w:r>
          <w:t xml:space="preserve">2.3 Huecos del estado del arte (análisis de carencias)</w:t>
        </w:r>
        <w:r>
          <w:tab/>
        </w:r>
        <w:r>
          <w:fldChar w:fldCharType="begin"/>
        </w:r>
        <w:r>
          <w:instrText xml:space="preserve"> PAGEREF _Toc900014 \h </w:instrText>
        </w:r>
        <w:r>
          <w:fldChar w:fldCharType="separate"/>
        </w:r>
        <w:r>
          <w:t>11</w:t>
        </w:r>
        <w:r>
          <w:fldChar w:fldCharType="end"/>
        </w:r>
      </w:hyperlink>
    </w:p>
    <w:p>
      <w:pPr>
        <w:pStyle w:val="TOC1"/>
      </w:pPr>
      <w:hyperlink w:anchor="_Toc900015" w:history="1">
        <w:r>
          <w:t xml:space="preserve">03- Sistema de métrica</w:t>
        </w:r>
        <w:r>
          <w:tab/>
        </w:r>
        <w:r>
          <w:fldChar w:fldCharType="begin"/>
        </w:r>
        <w:r>
          <w:instrText xml:space="preserve"> PAGEREF _Toc900015 \h </w:instrText>
        </w:r>
        <w:r>
          <w:fldChar w:fldCharType="separate"/>
        </w:r>
        <w:r>
          <w:t>14</w:t>
        </w:r>
        <w:r>
          <w:fldChar w:fldCharType="end"/>
        </w:r>
      </w:hyperlink>
    </w:p>
    <w:p>
      <w:pPr>
        <w:pStyle w:val="TOC2"/>
      </w:pPr>
      <w:hyperlink w:anchor="_Toc900016" w:history="1">
        <w:r>
          <w:t xml:space="preserve">3.1 Dimensiones y pesos</w:t>
        </w:r>
        <w:r>
          <w:tab/>
        </w:r>
        <w:r>
          <w:fldChar w:fldCharType="begin"/>
        </w:r>
        <w:r>
          <w:instrText xml:space="preserve"> PAGEREF _Toc900016 \h </w:instrText>
        </w:r>
        <w:r>
          <w:fldChar w:fldCharType="separate"/>
        </w:r>
        <w:r>
          <w:t>14</w:t>
        </w:r>
        <w:r>
          <w:fldChar w:fldCharType="end"/>
        </w:r>
      </w:hyperlink>
    </w:p>
    <w:p>
      <w:pPr>
        <w:pStyle w:val="TOC2"/>
      </w:pPr>
      <w:hyperlink w:anchor="_Toc900017" w:history="1">
        <w:r>
          <w:t xml:space="preserve">3.2 Cálculo de cada dimensión</w:t>
        </w:r>
        <w:r>
          <w:tab/>
        </w:r>
        <w:r>
          <w:fldChar w:fldCharType="begin"/>
        </w:r>
        <w:r>
          <w:instrText xml:space="preserve"> PAGEREF _Toc900017 \h </w:instrText>
        </w:r>
        <w:r>
          <w:fldChar w:fldCharType="separate"/>
        </w:r>
        <w:r>
          <w:t>14</w:t>
        </w:r>
        <w:r>
          <w:fldChar w:fldCharType="end"/>
        </w:r>
      </w:hyperlink>
    </w:p>
    <w:p>
      <w:pPr>
        <w:pStyle w:val="TOC2"/>
      </w:pPr>
      <w:hyperlink w:anchor="_Toc900018" w:history="1">
        <w:r>
          <w:t xml:space="preserve">3.3 Índice global, techos y modo estricto</w:t>
        </w:r>
        <w:r>
          <w:tab/>
        </w:r>
        <w:r>
          <w:fldChar w:fldCharType="begin"/>
        </w:r>
        <w:r>
          <w:instrText xml:space="preserve"> PAGEREF _Toc900018 \h </w:instrText>
        </w:r>
        <w:r>
          <w:fldChar w:fldCharType="separate"/>
        </w:r>
        <w:r>
          <w:t>15</w:t>
        </w:r>
        <w:r>
          <w:fldChar w:fldCharType="end"/>
        </w:r>
      </w:hyperlink>
    </w:p>
    <w:p>
      <w:pPr>
        <w:pStyle w:val="TOC2"/>
      </w:pPr>
      <w:hyperlink w:anchor="_Toc900019" w:history="1">
        <w:r>
          <w:t xml:space="preserve">3.4 Escala de interpretación</w:t>
        </w:r>
        <w:r>
          <w:tab/>
        </w:r>
        <w:r>
          <w:fldChar w:fldCharType="begin"/>
        </w:r>
        <w:r>
          <w:instrText xml:space="preserve"> PAGEREF _Toc900019 \h </w:instrText>
        </w:r>
        <w:r>
          <w:fldChar w:fldCharType="separate"/>
        </w:r>
        <w:r>
          <w:t>16</w:t>
        </w:r>
        <w:r>
          <w:fldChar w:fldCharType="end"/>
        </w:r>
      </w:hyperlink>
    </w:p>
    <w:p>
      <w:pPr>
        <w:pStyle w:val="TOC2"/>
      </w:pPr>
      <w:hyperlink w:anchor="_Toc900020" w:history="1">
        <w:r>
          <w:t xml:space="preserve">3.5 Ejemplo de cálculo</w:t>
        </w:r>
        <w:r>
          <w:tab/>
        </w:r>
        <w:r>
          <w:fldChar w:fldCharType="begin"/>
        </w:r>
        <w:r>
          <w:instrText xml:space="preserve"> PAGEREF _Toc900020 \h </w:instrText>
        </w:r>
        <w:r>
          <w:fldChar w:fldCharType="separate"/>
        </w:r>
        <w:r>
          <w:t>16</w:t>
        </w:r>
        <w:r>
          <w:fldChar w:fldCharType="end"/>
        </w:r>
      </w:hyperlink>
    </w:p>
    <w:p>
      <w:pPr>
        <w:pStyle w:val="TOC1"/>
      </w:pPr>
      <w:hyperlink w:anchor="_Toc900021" w:history="1">
        <w:r>
          <w:t xml:space="preserve">04- Auditor Reutilizable</w:t>
        </w:r>
        <w:r>
          <w:tab/>
        </w:r>
        <w:r>
          <w:fldChar w:fldCharType="begin"/>
        </w:r>
        <w:r>
          <w:instrText xml:space="preserve"> PAGEREF _Toc900021 \h </w:instrText>
        </w:r>
        <w:r>
          <w:fldChar w:fldCharType="separate"/>
        </w:r>
        <w:r>
          <w:t>17</w:t>
        </w:r>
        <w:r>
          <w:fldChar w:fldCharType="end"/>
        </w:r>
      </w:hyperlink>
    </w:p>
    <w:p>
      <w:pPr>
        <w:pStyle w:val="TOC2"/>
      </w:pPr>
      <w:hyperlink w:anchor="_Toc900022" w:history="1">
        <w:r>
          <w:t xml:space="preserve">4.1 Requisitos / Análisis</w:t>
        </w:r>
        <w:r>
          <w:tab/>
        </w:r>
        <w:r>
          <w:fldChar w:fldCharType="begin"/>
        </w:r>
        <w:r>
          <w:instrText xml:space="preserve"> PAGEREF _Toc900022 \h </w:instrText>
        </w:r>
        <w:r>
          <w:fldChar w:fldCharType="separate"/>
        </w:r>
        <w:r>
          <w:t>17</w:t>
        </w:r>
        <w:r>
          <w:fldChar w:fldCharType="end"/>
        </w:r>
      </w:hyperlink>
    </w:p>
    <w:p>
      <w:pPr>
        <w:pStyle w:val="TOC2"/>
      </w:pPr>
      <w:hyperlink w:anchor="_Toc900023" w:history="1">
        <w:r>
          <w:t xml:space="preserve">4.2 Diseño</w:t>
        </w:r>
        <w:r>
          <w:tab/>
        </w:r>
        <w:r>
          <w:fldChar w:fldCharType="begin"/>
        </w:r>
        <w:r>
          <w:instrText xml:space="preserve"> PAGEREF _Toc900023 \h </w:instrText>
        </w:r>
        <w:r>
          <w:fldChar w:fldCharType="separate"/>
        </w:r>
        <w:r>
          <w:t>18</w:t>
        </w:r>
        <w:r>
          <w:fldChar w:fldCharType="end"/>
        </w:r>
      </w:hyperlink>
    </w:p>
    <w:p>
      <w:pPr>
        <w:pStyle w:val="TOC1"/>
      </w:pPr>
      <w:hyperlink w:anchor="_Toc900024" w:history="1">
        <w:r>
          <w:t xml:space="preserve">05- Resumen de GitHub</w:t>
        </w:r>
        <w:r>
          <w:tab/>
        </w:r>
        <w:r>
          <w:fldChar w:fldCharType="begin"/>
        </w:r>
        <w:r>
          <w:instrText xml:space="preserve"> PAGEREF _Toc900024 \h </w:instrText>
        </w:r>
        <w:r>
          <w:fldChar w:fldCharType="separate"/>
        </w:r>
        <w:r>
          <w:t>22</w:t>
        </w:r>
        <w:r>
          <w:fldChar w:fldCharType="end"/>
        </w:r>
      </w:hyperlink>
    </w:p>
    <w:p>
      <w:pPr>
        <w:pStyle w:val="TOC2"/>
      </w:pPr>
      <w:hyperlink w:anchor="_Toc900025" w:history="1">
        <w:r>
          <w:t xml:space="preserve">5.1 Qué contiene</w:t>
        </w:r>
        <w:r>
          <w:tab/>
        </w:r>
        <w:r>
          <w:fldChar w:fldCharType="begin"/>
        </w:r>
        <w:r>
          <w:instrText xml:space="preserve"> PAGEREF _Toc900025 \h </w:instrText>
        </w:r>
        <w:r>
          <w:fldChar w:fldCharType="separate"/>
        </w:r>
        <w:r>
          <w:t>22</w:t>
        </w:r>
        <w:r>
          <w:fldChar w:fldCharType="end"/>
        </w:r>
      </w:hyperlink>
    </w:p>
    <w:p>
      <w:pPr>
        <w:pStyle w:val="TOC2"/>
      </w:pPr>
      <w:hyperlink w:anchor="_Toc900026" w:history="1">
        <w:r>
          <w:t xml:space="preserve">5.2 Cómo funciona</w:t>
        </w:r>
        <w:r>
          <w:tab/>
        </w:r>
        <w:r>
          <w:fldChar w:fldCharType="begin"/>
        </w:r>
        <w:r>
          <w:instrText xml:space="preserve"> PAGEREF _Toc900026 \h </w:instrText>
        </w:r>
        <w:r>
          <w:fldChar w:fldCharType="separate"/>
        </w:r>
        <w:r>
          <w:t>23</w:t>
        </w:r>
        <w:r>
          <w:fldChar w:fldCharType="end"/>
        </w:r>
      </w:hyperlink>
    </w:p>
    <w:p>
      <w:pPr>
        <w:pStyle w:val="TOC2"/>
      </w:pPr>
      <w:hyperlink w:anchor="_Toc900027" w:history="1">
        <w:r>
          <w:t xml:space="preserve">5.3 Instalación y uso</w:t>
        </w:r>
        <w:r>
          <w:tab/>
        </w:r>
        <w:r>
          <w:fldChar w:fldCharType="begin"/>
        </w:r>
        <w:r>
          <w:instrText xml:space="preserve"> PAGEREF _Toc900027 \h </w:instrText>
        </w:r>
        <w:r>
          <w:fldChar w:fldCharType="separate"/>
        </w:r>
        <w:r>
          <w:t>23</w:t>
        </w:r>
        <w:r>
          <w:fldChar w:fldCharType="end"/>
        </w:r>
      </w:hyperlink>
    </w:p>
    <w:p>
      <w:pPr>
        <w:pStyle w:val="TOC2"/>
      </w:pPr>
      <w:hyperlink w:anchor="_Toc900028" w:history="1">
        <w:r>
          <w:t xml:space="preserve">5.4 Cómo lo hemos aplicado en nuestro proyecto</w:t>
        </w:r>
        <w:r>
          <w:tab/>
        </w:r>
        <w:r>
          <w:fldChar w:fldCharType="begin"/>
        </w:r>
        <w:r>
          <w:instrText xml:space="preserve"> PAGEREF _Toc900028 \h </w:instrText>
        </w:r>
        <w:r>
          <w:fldChar w:fldCharType="separate"/>
        </w:r>
        <w:r>
          <w:t>23</w:t>
        </w:r>
        <w:r>
          <w:fldChar w:fldCharType="end"/>
        </w:r>
      </w:hyperlink>
    </w:p>
    <w:p>
      <w:pPr>
        <w:pStyle w:val="TOC2"/>
      </w:pPr>
      <w:hyperlink w:anchor="_Toc900029" w:history="1">
        <w:r>
          <w:t xml:space="preserve">Referencias</w:t>
        </w:r>
        <w:r>
          <w:tab/>
        </w:r>
        <w:r>
          <w:fldChar w:fldCharType="begin"/>
        </w:r>
        <w:r>
          <w:instrText xml:space="preserve"> PAGEREF _Toc900029 \h </w:instrText>
        </w:r>
        <w:r>
          <w:fldChar w:fldCharType="separate"/>
        </w:r>
        <w:r>
          <w:t>23</w:t>
        </w:r>
        <w:r>
          <w:fldChar w:fldCharType="end"/>
        </w:r>
      </w:hyperlink>
      <w:r>
        <w:fldChar w:fldCharType="end"/>
      </w:r>
    </w:p>
    <w:p>
      <w:pPr>
        <w:spacing w:before="240"/>
      </w:pPr>
      <w:r>
        <w:rPr>
          <w:i/>
          <w:color w:val="475569"/>
          <w:sz w:val="18"/>
        </w:rPr>
        <w:t xml:space="preserve">Pulsa Ctrl + clic sobre un apartado para ir a él. Si cambias el documento, actualiza el índice: clic derecho sobre él → Actualizar campo → Actualizar toda la tabla.</w:t>
      </w:r>
    </w:p>
    <w:p>
      <w:pPr>
        <w:pStyle w:val="Heading1"/>
        <w:pageBreakBefore/>
      </w:pPr>
      <w:bookmarkStart w:id="1001" w:name="_Toc900001"/>
      <w:r>
        <w:t xml:space="preserve">01- Estándares y Referentes</w:t>
      </w:r>
      <w:bookmarkEnd w:id="1001"/>
    </w:p>
    <w:p>
      <w:pPr>
        <w:spacing w:after="120" w:line="276"/>
      </w:pPr>
      <w:r>
        <w:t xml:space="preserve">La experiencia de usuario (UX) se define como las percepciones y respuestas de una persona que resultan del uso, o del uso previsto, de un sistema, producto o servicio (ISO 9241-210:2019). Evaluarla con rigor, y no desde la apreciación estética, exige apoyarse en un corpus de referencia contrastado. A diferencia de otras áreas de la ingeniería del software, la UX no depende de una única norma: se construye en la intersección de normas internacionales, recomendaciones técnicas del W3C, legislación, principios y heurísticas procedentes de la investigación en interacción persona-ordenador, guías de diseño de plataformas e instrumentos de medida validados.</w:t>
      </w:r>
    </w:p>
    <w:p>
      <w:pPr>
        <w:spacing w:after="120" w:line="276"/>
      </w:pPr>
      <w:r>
        <w:t xml:space="preserve">Conviene distinguir desde el principio la naturaleza de cada fuente, porque no todas tienen la misma fuerza. Las </w:t>
      </w:r>
      <w:r>
        <w:rPr>
          <w:b/>
          <w:bCs/>
        </w:rPr>
        <w:t xml:space="preserve">normas</w:t>
      </w:r>
      <w:r>
        <w:t xml:space="preserve"> (ISO, EN) fijan requisitos verificables y la </w:t>
      </w:r>
      <w:r>
        <w:rPr>
          <w:b/>
          <w:bCs/>
        </w:rPr>
        <w:t xml:space="preserve">legislación</w:t>
      </w:r>
      <w:r>
        <w:t xml:space="preserve"> los hace obligatorios. Las </w:t>
      </w:r>
      <w:r>
        <w:rPr>
          <w:b/>
          <w:bCs/>
        </w:rPr>
        <w:t xml:space="preserve">recomendaciones técnicas</w:t>
      </w:r>
      <w:r>
        <w:t xml:space="preserve"> del W3C, como WCAG, son estándares de consenso que pasan a ser exigibles cuando la ley los incorpora. Las </w:t>
      </w:r>
      <w:r>
        <w:rPr>
          <w:b/>
          <w:bCs/>
        </w:rPr>
        <w:t xml:space="preserve">heurísticas y principios de diseño</w:t>
      </w:r>
      <w:r>
        <w:t xml:space="preserve"> (Nielsen, Norman, Shneiderman, Krug) son conocimiento experto para inspeccionar interfaces, no requisitos. Las </w:t>
      </w:r>
      <w:r>
        <w:rPr>
          <w:b/>
          <w:bCs/>
        </w:rPr>
        <w:t xml:space="preserve">guías de plataforma</w:t>
      </w:r>
      <w:r>
        <w:t xml:space="preserve"> (Apple, Google, Microsoft) son referentes comerciales que concretan buenas prácticas para un ecosistema. Este apartado presenta cada familia, analiza sus límites y explica cómo se traduce en el Índice de Experiencia de Usuario (IUX) y en las reglas del UX-Auditor.</w:t>
      </w:r>
    </w:p>
    <w:p>
      <w:pPr>
        <w:pStyle w:val="Heading2"/>
      </w:pPr>
      <w:bookmarkStart w:id="1002" w:name="_Toc900002"/>
      <w:r>
        <w:t xml:space="preserve">1.1 Usabilidad y experiencia de usuario: el marco ISO</w:t>
      </w:r>
      <w:bookmarkEnd w:id="1002"/>
    </w:p>
    <w:p>
      <w:pPr>
        <w:spacing w:after="120" w:line="276"/>
      </w:pPr>
      <w:r>
        <w:t xml:space="preserve">La primera decisión metodológica es separar usabilidad y experiencia de usuario. La norma </w:t>
      </w:r>
      <w:r>
        <w:rPr>
          <w:b/>
          <w:bCs/>
        </w:rPr>
        <w:t xml:space="preserve">ISO 9241-11:2018</w:t>
      </w:r>
      <w:r>
        <w:t xml:space="preserve"> define la usabilidad como el grado en que un sistema, producto o servicio puede ser utilizado por usuarios concretos para alcanzar objetivos concretos con </w:t>
      </w:r>
      <w:r>
        <w:rPr>
          <w:b/>
          <w:bCs/>
        </w:rPr>
        <w:t xml:space="preserve">eficacia, eficiencia y satisfacción</w:t>
      </w:r>
      <w:r>
        <w:t xml:space="preserve"> en un contexto de uso determinado. Es un concepto orientado a tareas y medible. La experiencia de usuario, definida en </w:t>
      </w:r>
      <w:r>
        <w:rPr>
          <w:b/>
          <w:bCs/>
        </w:rPr>
        <w:t xml:space="preserve">ISO 9241-210:2019</w:t>
      </w:r>
      <w:r>
        <w:t xml:space="preserve">, es más amplia: incluye las emociones, creencias, preferencias y respuestas de la persona antes, durante y después del uso. Esta distinción explica la arquitectura del IUX: las dimensiones D1 a D6 miden condiciones objetivas de usabilidad y accesibilidad, mientras que D7 (satisfacción percibida) y D8 (ética, privacidad y sostenibilidad) recogen aspectos de la experiencia que no se reducen a completar una tarea.</w:t>
      </w:r>
    </w:p>
    <w:p>
      <w:pPr>
        <w:spacing w:after="120" w:line="276"/>
      </w:pPr>
      <w:r>
        <w:t xml:space="preserve">En el plano de la interacción, </w:t>
      </w:r>
      <w:r>
        <w:rPr>
          <w:b/>
          <w:bCs/>
        </w:rPr>
        <w:t xml:space="preserve">ISO 9241-110:2020</w:t>
      </w:r>
      <w:r>
        <w:t xml:space="preserve"> establece siete principios: adecuación a las tareas del usuario, autodescripción, conformidad con las expectativas del usuario, facilidad de aprendizaje, controlabilidad, robustez frente a errores de uso e implicación del usuario. Esta revisión integró la antigua individualización dentro de la controlabilidad y añadió la implicación del usuario. Es decir, la norma ya no atiende solo a la eficiencia, sino también a la motivación de quien usa el sistema. Estos principios fundamentan la dimensión D2 y varias preguntas del cuestionario experto, como la de control y libertad del usuario.</w:t>
      </w:r>
    </w:p>
    <w:p>
      <w:pPr>
        <w:spacing w:after="120" w:line="276"/>
      </w:pPr>
      <w:r>
        <w:t xml:space="preserve">Desde la ingeniería del software, el modelo de calidad </w:t>
      </w:r>
      <w:r>
        <w:rPr>
          <w:b/>
          <w:bCs/>
        </w:rPr>
        <w:t xml:space="preserve">ISO/IEC 25010:2023</w:t>
      </w:r>
      <w:r>
        <w:t xml:space="preserve"> sustituye la característica «usabilidad» por </w:t>
      </w:r>
      <w:r>
        <w:rPr>
          <w:b/>
          <w:bCs/>
        </w:rPr>
        <w:t xml:space="preserve">capacidad de interacción</w:t>
      </w:r>
      <w:r>
        <w:t xml:space="preserve">, con ocho subcaracterísticas: reconocibilidad de la adecuación, facilidad de aprendizaje, operabilidad, protección frente a errores del usuario, implicación del usuario, inclusividad, asistencia al usuario y autodescripción. Esto tiene dos consecuencias para el proyecto: la calidad de la interfaz pasa a ser un atributo del producto software, evaluable con indicadores como cualquier otro, y la inclusividad deja de ser un añadido para formar parte de la propia calidad.</w:t>
      </w:r>
    </w:p>
    <w:p>
      <w:pPr>
        <w:spacing w:after="120" w:line="276"/>
      </w:pPr>
      <w:r>
        <w:t xml:space="preserve">ISO 9241-210:2019 describe además el diseño centrado en las personas como un ciclo iterativo: comprender el contexto de uso, especificar los requisitos, producir soluciones y evaluarlas con usuarios. Metodologías de proceso como Design Thinking, el Doble Diamante del Design Council o Lean UX concretan ese ciclo. El UX-Auditor se sitúa en la fase de evaluación y está pensado para ejecutarse de forma repetida (auditar, corregir y volver a auditar). Su histórico de puntuaciones permite comprobar si cada iteración mejora el resultado.</w:t>
      </w:r>
    </w:p>
    <w:p>
      <w:pPr>
        <w:spacing w:after="120" w:line="276"/>
      </w:pPr>
      <w:r>
        <w:t xml:space="preserve">Por último, en el plano del contenido, </w:t>
      </w:r>
      <w:r>
        <w:rPr>
          <w:b/>
          <w:bCs/>
        </w:rPr>
        <w:t xml:space="preserve">ISO 24495-1:2023</w:t>
      </w:r>
      <w:r>
        <w:t xml:space="preserve"> establece los principios del lenguaje claro: que la información sea relevante, localizable, comprensible y utilizable para el lector. Es la base de la regla de legibilidad del IUX (D4).</w:t>
      </w:r>
    </w:p>
    <w:p>
      <w:pPr>
        <w:pStyle w:val="Heading2"/>
      </w:pPr>
      <w:bookmarkStart w:id="1003" w:name="_Toc900003"/>
      <w:r>
        <w:t xml:space="preserve">1.2 Accesibilidad: WCAG 2.2 y su metodología de evaluación</w:t>
      </w:r>
      <w:bookmarkEnd w:id="1003"/>
    </w:p>
    <w:p>
      <w:pPr>
        <w:spacing w:after="120" w:line="276"/>
      </w:pPr>
      <w:r>
        <w:t xml:space="preserve">La referencia técnica de la accesibilidad web son las Pautas de Accesibilidad para el Contenido Web (</w:t>
      </w:r>
      <w:r>
        <w:rPr>
          <w:b/>
          <w:bCs/>
        </w:rPr>
        <w:t xml:space="preserve">WCAG 2.2</w:t>
      </w:r>
      <w:r>
        <w:t xml:space="preserve">), Recomendación del W3C desde octubre de 2023 y norma internacional </w:t>
      </w:r>
      <w:r>
        <w:rPr>
          <w:b/>
          <w:bCs/>
        </w:rPr>
        <w:t xml:space="preserve">ISO/IEC 40500:2025</w:t>
      </w:r>
      <w:r>
        <w:t xml:space="preserve">. Se organizan en cuatro principios (perceptible, operable, comprensible y robusto) y en criterios de conformidad de niveles A, AA y AAA. El IUX adopta el </w:t>
      </w:r>
      <w:r>
        <w:rPr>
          <w:b/>
          <w:bCs/>
        </w:rPr>
        <w:t xml:space="preserve">nivel AA como mínimo</w:t>
      </w:r>
      <w:r>
        <w:t xml:space="preserve">, porque es el que exige la legislación europea. Entre los criterios que incorpora la versión 2.2 destacan el tamaño mínimo del objetivo (2.5.8: 24 × 24 píxeles CSS), el foco no oculto (2.4.11) y la autenticación accesible (3.3.8), que el auditor comprueba con reglas específicas. La especificación </w:t>
      </w:r>
      <w:r>
        <w:rPr>
          <w:b/>
          <w:bCs/>
        </w:rPr>
        <w:t xml:space="preserve">WAI-ARIA 1.2</w:t>
      </w:r>
      <w:r>
        <w:t xml:space="preserve"> (W3C, 2023) completa este marco: define cómo exponer los roles, estados y nombres de los componentes a las tecnologías de apoyo.</w:t>
      </w:r>
    </w:p>
    <w:p>
      <w:pPr>
        <w:spacing w:after="120" w:line="276"/>
      </w:pPr>
      <w:r>
        <w:t xml:space="preserve">El principal límite práctico de WCAG está en su verificación. El estudio de Deque Systems sobre más de 13.000 páginas atribuye a las pruebas automáticas, de media, el 57 % de las incidencias detectadas, medidas por volumen; el resto requiere pruebas de interacción o juicio humano. Por eso el W3C publica la metodología de evaluación </w:t>
      </w:r>
      <w:r>
        <w:rPr>
          <w:b/>
          <w:bCs/>
        </w:rPr>
        <w:t xml:space="preserve">WCAG-EM</w:t>
      </w:r>
      <w:r>
        <w:t xml:space="preserve"> (versión 2.0, nota de grupo de julio de 2026). Esta metodología organiza la auditoría en cinco pasos (definir el alcance, explorar el producto, seleccionar una muestra representativa, evaluarla e informar) y advierte de que las herramientas ayudan, pero no sustituyen la evaluación manual.</w:t>
      </w:r>
    </w:p>
    <w:p>
      <w:pPr>
        <w:spacing w:after="120" w:line="276"/>
      </w:pPr>
      <w:r>
        <w:t xml:space="preserve">El UX-Auditor sigue ese enfoque híbrido. Combina pruebas automáticas (axe-core y comprobaciones propias, incluida la navegación real con teclado y la emulación de las preferencias del usuario) con un cuestionario experto, y permite auditar varias páginas del mismo sitio en una sola ejecución. La definición del alcance y la selección de la muestra siguen correspondiendo al evaluador, porque la herramienta no las automatiza.</w:t>
      </w:r>
    </w:p>
    <w:p>
      <w:pPr>
        <w:pStyle w:val="Heading2"/>
      </w:pPr>
      <w:bookmarkStart w:id="1004" w:name="_Toc900004"/>
      <w:r>
        <w:t xml:space="preserve">1.3 Marco legal europeo y español</w:t>
      </w:r>
      <w:bookmarkEnd w:id="1004"/>
    </w:p>
    <w:p>
      <w:pPr>
        <w:spacing w:after="120" w:line="276"/>
      </w:pPr>
      <w:r>
        <w:t xml:space="preserve">La accesibilidad ha pasado de ser una recomendación a ser una obligación. La norma armonizada europea </w:t>
      </w:r>
      <w:r>
        <w:rPr>
          <w:b/>
          <w:bCs/>
        </w:rPr>
        <w:t xml:space="preserve">EN 301 549</w:t>
      </w:r>
      <w:r>
        <w:t xml:space="preserve"> traslada WCAG a los requisitos de accesibilidad de productos y servicios TIC. La Directiva (UE) 2016/2102, aplicada en España por el </w:t>
      </w:r>
      <w:r>
        <w:rPr>
          <w:b/>
          <w:bCs/>
        </w:rPr>
        <w:t xml:space="preserve">Real Decreto 1112/2018</w:t>
      </w:r>
      <w:r>
        <w:t xml:space="preserve">, la exige al sector público. El </w:t>
      </w:r>
      <w:r>
        <w:rPr>
          <w:b/>
          <w:bCs/>
        </w:rPr>
        <w:t xml:space="preserve">Acta Europea de Accesibilidad</w:t>
      </w:r>
      <w:r>
        <w:t xml:space="preserve"> (Directiva (UE) 2019/882, transpuesta por la Ley 11/2023) la extiende desde el 28 de junio de 2025 a servicios privados como el comercio electrónico o la banca. Esta obligación legal explica que la accesibilidad tenga el mayor peso del IUX (25 %) y que, en modo estricto, un incumplimiento grave de accesibilidad limite la nota máxima.</w:t>
      </w:r>
    </w:p>
    <w:p>
      <w:pPr>
        <w:spacing w:after="120" w:line="276"/>
      </w:pPr>
      <w:r>
        <w:t xml:space="preserve">La legislación también regula aspectos de la experiencia de usuario que las auditorías de usabilidad tradicionales no contemplan:</w:t>
      </w:r>
    </w:p>
    <w:p>
      <w:pPr>
        <w:pStyle w:val="ListParagraph"/>
        <w:numPr>
          <w:ilvl w:val="0"/>
          <w:numId w:val="2"/>
        </w:numPr>
        <w:spacing w:after="60" w:line="264"/>
      </w:pPr>
      <w:r>
        <w:rPr>
          <w:b/>
          <w:bCs/>
        </w:rPr>
        <w:t xml:space="preserve">Privacidad y consentimiento.</w:t>
      </w:r>
      <w:r>
        <w:t xml:space="preserve"> El Reglamento General de Protección de Datos (Reglamento (UE) 2016/679) y la LSSI (Ley 34/2002, art. 22.2) exigen consentimiento previo para las cookies no técnicas. La Guía sobre el uso de las cookies de la AEPD, actualizada en julio de 2023 y exigible desde el 11 de enero de 2024, concreta que la opción de rechazar debe ofrecerse en la primera capa, al mismo nivel que la de aceptar y sin un diseño que la haga más difícil.</w:t>
      </w:r>
    </w:p>
    <w:p>
      <w:pPr>
        <w:pStyle w:val="ListParagraph"/>
        <w:numPr>
          <w:ilvl w:val="0"/>
          <w:numId w:val="2"/>
        </w:numPr>
        <w:spacing w:after="60" w:line="264"/>
      </w:pPr>
      <w:r>
        <w:rPr>
          <w:b/>
          <w:bCs/>
        </w:rPr>
        <w:t xml:space="preserve">Patrones oscuros.</w:t>
      </w:r>
      <w:r>
        <w:t xml:space="preserve"> El Reglamento de Servicios Digitales (Reglamento (UE) 2022/2065, art. 25) prohíbe a las plataformas en línea las interfaces que engañan o manipulan al usuario. La Directiva 2005/29/CE sobre prácticas comerciales desleales considera engañoso, por ejemplo, afirmar falsamente que un producto solo estará disponible durante un tiempo muy limitado. Las Directrices 03/2022 del Comité Europeo de Protección de Datos clasifican estos patrones de diseño engañoso.</w:t>
      </w:r>
    </w:p>
    <w:p>
      <w:pPr>
        <w:pStyle w:val="ListParagraph"/>
        <w:numPr>
          <w:ilvl w:val="0"/>
          <w:numId w:val="2"/>
        </w:numPr>
        <w:spacing w:after="60" w:line="264"/>
      </w:pPr>
      <w:r>
        <w:rPr>
          <w:b/>
          <w:bCs/>
        </w:rPr>
        <w:t xml:space="preserve">Inteligencia artificial.</w:t>
      </w:r>
      <w:r>
        <w:t xml:space="preserve"> El Reglamento (UE) 2024/1689, en su artículo 50, obliga desde el 2 de agosto de 2026 a informar a las personas de que están interactuando con un sistema de IA.</w:t>
      </w:r>
    </w:p>
    <w:p>
      <w:pPr>
        <w:spacing w:after="120" w:line="276"/>
      </w:pPr>
      <w:r>
        <w:t xml:space="preserve">Estas normas fundamentan la dimensión D8 del IUX. Su inclusión es deliberada: un producto puede ser eficaz y eficiente y, aun así, manipular al usuario o vulnerar su privacidad, y eso también es una mala experiencia. La tabla 1 resume el marco normativo y su uso en la métrica.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700"/>
        <w:gridCol w:w="2526"/>
      </w:tblGrid>
      <w:tr>
        <w:trPr>
          <w:tblHeader/>
        </w:trPr>
        <w:tc>
          <w:tcPr>
            <w:tcW w:type="dxa" w:w="2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Referencia</w:t>
            </w:r>
          </w:p>
        </w:tc>
        <w:tc>
          <w:tcPr>
            <w:tcW w:type="dxa" w:w="1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Tipo</w:t>
            </w:r>
          </w:p>
        </w:tc>
        <w:tc>
          <w:tcPr>
            <w:tcW w:type="dxa" w:w="2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Qué establece</w:t>
            </w:r>
          </w:p>
        </w:tc>
        <w:tc>
          <w:tcPr>
            <w:tcW w:type="dxa" w:w="25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Uso en el IUX</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ISO 9241-11:2018</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Norma ISO</w:t>
            </w:r>
          </w:p>
        </w:tc>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Usabilidad: eficacia, eficiencia y satisfacción en un contexto de uso.</w:t>
            </w:r>
          </w:p>
        </w:tc>
        <w:tc>
          <w:tcPr>
            <w:tcW w:type="dxa" w:w="25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Marco conceptual de las dimensiones D1 a D7.</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ISO 9241-210:2019</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Norma ISO</w:t>
            </w:r>
          </w:p>
        </w:tc>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Experiencia de usuario y diseño centrado en las personas (ciclo iterativo).</w:t>
            </w:r>
          </w:p>
        </w:tc>
        <w:tc>
          <w:tcPr>
            <w:tcW w:type="dxa" w:w="25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Justifica D7 y D8 y el uso iterativo del auditor (histórico).</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ISO 9241-110:2020</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Norma ISO</w:t>
            </w:r>
          </w:p>
        </w:tc>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Siete principios de interacción.</w:t>
            </w:r>
          </w:p>
        </w:tc>
        <w:tc>
          <w:tcPr>
            <w:tcW w:type="dxa" w:w="25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Dimensión D2 y preguntas expertas.</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ISO/IEC 25010:2023</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Norma ISO/IEC</w:t>
            </w:r>
          </w:p>
        </w:tc>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Capacidad de interacción como característica de calidad del software (8 subcaracterísticas).</w:t>
            </w:r>
          </w:p>
        </w:tc>
        <w:tc>
          <w:tcPr>
            <w:tcW w:type="dxa" w:w="25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La UX como atributo de calidad evaluable.</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ISO 24495-1:2023</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Norma ISO</w:t>
            </w:r>
          </w:p>
        </w:tc>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Principios del lenguaje claro.</w:t>
            </w:r>
          </w:p>
        </w:tc>
        <w:tc>
          <w:tcPr>
            <w:tcW w:type="dxa" w:w="25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Regla de legibilidad (D4).</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WCAG 2.2</w:t>
            </w:r>
            <w:r>
              <w:rPr>
                <w:b w:val="false"/>
                <w:bCs w:val="false"/>
                <w:sz w:val="18"/>
                <w:szCs w:val="18"/>
              </w:rPr>
              <w:t xml:space="preserve"> = ISO/IEC 40500:2025</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Recomendación W3C y norma ISO</w:t>
            </w:r>
          </w:p>
        </w:tc>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Criterios de accesibilidad de niveles A, AA y AAA.</w:t>
            </w:r>
          </w:p>
        </w:tc>
        <w:tc>
          <w:tcPr>
            <w:tcW w:type="dxa" w:w="25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Nivel AA como mínimo de D1.</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WAI-ARIA 1.2</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Recomendación W3C</w:t>
            </w:r>
          </w:p>
        </w:tc>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Roles, estados y nombres accesibles.</w:t>
            </w:r>
          </w:p>
        </w:tc>
        <w:tc>
          <w:tcPr>
            <w:tcW w:type="dxa" w:w="25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Reglas de nombres accesibles y uso de ARIA (D1).</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WCAG-EM 2.0</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Nota de grupo W3C (metodología)</w:t>
            </w:r>
          </w:p>
        </w:tc>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Evaluación en cinco pasos combinando herramientas y revisión manual.</w:t>
            </w:r>
          </w:p>
        </w:tc>
        <w:tc>
          <w:tcPr>
            <w:tcW w:type="dxa" w:w="25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Diseño híbrido: pruebas automáticas y cuestionario experto.</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EN 301 549</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Norma europea armonizada</w:t>
            </w:r>
          </w:p>
        </w:tc>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Requisitos de accesibilidad para productos y servicios TIC.</w:t>
            </w:r>
          </w:p>
        </w:tc>
        <w:tc>
          <w:tcPr>
            <w:tcW w:type="dxa" w:w="25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Referencia de cumplimiento en la UE.</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Directiva (UE) 2019/882 · Ley 11/2023</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Legislación</w:t>
            </w:r>
          </w:p>
        </w:tc>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Accesibilidad obligatoria de servicios privados desde el 28/06/2025.</w:t>
            </w:r>
          </w:p>
        </w:tc>
        <w:tc>
          <w:tcPr>
            <w:tcW w:type="dxa" w:w="25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Peso del 25 % de D1 y techos de nota.</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Directiva (UE) 2016/2102 · RD 1112/2018</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Legislación</w:t>
            </w:r>
          </w:p>
        </w:tc>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Accesibilidad de webs y apps del sector público.</w:t>
            </w:r>
          </w:p>
        </w:tc>
        <w:tc>
          <w:tcPr>
            <w:tcW w:type="dxa" w:w="25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Referencia para webs públicas.</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RGPD · LSSI · Guía de cookies de la AEPD (2023)</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Legislación y guía de la autoridad de control</w:t>
            </w:r>
          </w:p>
        </w:tc>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Consentimiento previo; «Rechazar» al mismo nivel que «Aceptar».</w:t>
            </w:r>
          </w:p>
        </w:tc>
        <w:tc>
          <w:tcPr>
            <w:tcW w:type="dxa" w:w="25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Reglas de cookies y de rastreo previo (D8).</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DSA art. 25 · Directiva 2005/29/CE · Directrices CEPD 03/2022</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Legislación y directrices</w:t>
            </w:r>
          </w:p>
        </w:tc>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Prohibición de patrones oscuros y prácticas desleales.</w:t>
            </w:r>
          </w:p>
        </w:tc>
        <w:tc>
          <w:tcPr>
            <w:tcW w:type="dxa" w:w="25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Reglas de casillas premarcadas, confirmshaming y urgencia falsa (D8).</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Reglamento (UE) 2024/1689, art. 50</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Legislación</w:t>
            </w:r>
          </w:p>
        </w:tc>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Transparencia en la interacción con sistemas de IA.</w:t>
            </w:r>
          </w:p>
        </w:tc>
        <w:tc>
          <w:tcPr>
            <w:tcW w:type="dxa" w:w="25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Pregunta experta de transparencia de la IA (D8).</w:t>
            </w:r>
          </w:p>
        </w:tc>
      </w:tr>
    </w:tbl>
    <w:p>
      <w:pPr>
        <w:spacing w:after="200" w:before="60"/>
        <w:jc w:val="center"/>
      </w:pPr>
      <w:r>
        <w:rPr>
          <w:i/>
          <w:iCs/>
          <w:color w:val="475569"/>
          <w:sz w:val="18"/>
          <w:szCs w:val="18"/>
        </w:rPr>
        <w:t xml:space="preserve">Tabla 1. Normas, recomendaciones y legislación que fundamentan el IUX.</w:t>
      </w:r>
    </w:p>
    <w:p>
      <w:pPr>
        <w:pStyle w:val="Heading2"/>
      </w:pPr>
      <w:bookmarkStart w:id="1005" w:name="_Toc900005"/>
      <w:r>
        <w:t xml:space="preserve">1.4 Heurísticas y principios de diseño</w:t>
      </w:r>
      <w:bookmarkEnd w:id="1005"/>
    </w:p>
    <w:p>
      <w:pPr>
        <w:spacing w:after="120" w:line="276"/>
      </w:pPr>
      <w:r>
        <w:t xml:space="preserve">Si las normas establecen qué nivel de calidad debe alcanzarse, las heurísticas y los principios de diseño aportan el conocimiento para inspeccionar una interfaz y decidir cómo mejorarla. Su valor es diagnóstico, no normativo: no fijan umbrales, sino preguntas que un experto se plantea ante cada pantalla.</w:t>
      </w:r>
    </w:p>
    <w:p>
      <w:pPr>
        <w:spacing w:after="120" w:line="276"/>
      </w:pPr>
      <w:r>
        <w:t xml:space="preserve">Las </w:t>
      </w:r>
      <w:r>
        <w:rPr>
          <w:b/>
          <w:bCs/>
        </w:rPr>
        <w:t xml:space="preserve">10 heurísticas de usabilidad de Jakob Nielsen</w:t>
      </w:r>
      <w:r>
        <w:t xml:space="preserve">, formuladas con Rolf Molich en 1990 y revisadas por Nielsen en 1994, son el instrumento de inspección más extendido. Son: visibilidad del estado del sistema, correspondencia con el mundo real, control y libertad del usuario, consistencia y estándares, prevención de errores, reconocer antes que recordar, flexibilidad y eficiencia, diseño estético y minimalista, ayuda para reconocer y recuperarse de los errores, y ayuda y documentación.</w:t>
      </w:r>
    </w:p>
    <w:p>
      <w:pPr>
        <w:spacing w:after="120" w:line="276"/>
      </w:pPr>
      <w:r>
        <w:t xml:space="preserve">Su limitación conocida es la dependencia del evaluador: cada experto pasa por alto parte de los problemas. Por eso Nielsen Norman Group recomienda que entre tres y cinco personas evalúen la interfaz de forma independiente. En el UX-Auditor, las heurísticas que no pueden medirse automáticamente forman parte del cuestionario experto. Lo aconsejable es que lo respondan varios miembros del equipo y pongan en común sus respuestas, ya que la herramienta registra un único fichero de respuestas por auditoría.</w:t>
      </w:r>
    </w:p>
    <w:p>
      <w:pPr>
        <w:spacing w:after="120" w:line="276"/>
      </w:pPr>
      <w:r>
        <w:t xml:space="preserve">Las heurísticas se apoyan en principios más generales. Don Norman (2013) explica la interacción mediante affordances, significantes, mapeo, retroalimentación y restricciones: un control debe comunicar por sí mismo qué se puede hacer con él. Las ocho reglas de oro de Ben Shneiderman (Shneiderman et al., 2016) insisten en la consistencia, la retroalimentación informativa, la prevención de errores, la reversibilidad de las acciones y la reducción de la carga de memoria. Los principios de la Gestalt (proximidad, semejanza, continuidad, cierre y figura-fondo) explican cómo agrupamos visualmente la información. En el auditor, estos principios se reflejan en reglas como que todo lo clicable tenga semántica de control y se distinga del texto, o que cada pantalla tenga una sola llamada a la acción principal.</w:t>
      </w:r>
    </w:p>
    <w:p>
      <w:pPr>
        <w:pStyle w:val="Heading2"/>
      </w:pPr>
      <w:bookmarkStart w:id="1006" w:name="_Toc900006"/>
      <w:r>
        <w:t xml:space="preserve">1.5 Steve Krug: «No me hagas pensar» y «Haz fácil lo imposible»</w:t>
      </w:r>
      <w:bookmarkEnd w:id="1006"/>
    </w:p>
    <w:p>
      <w:pPr>
        <w:spacing w:after="120" w:line="276"/>
      </w:pPr>
      <w:r>
        <w:t xml:space="preserve">Steve Krug aporta el enfoque más pragmático y uno de los más influyentes en la práctica profesional. En «No me hagas pensar» (Don't Make Me Think, Revisited, 3.ª ed., 2014) parte de cómo se usa realmente la web: las personas no leen, escanean; eligen la primera opción razonable en lugar de la óptima, lo que Herbert Simon (1956) llamó satisficing; y salen del paso sin entender cómo funciona el sistema. De ahí su primera ley de la usabilidad: una página debe ser evidente por sí misma o, como mínimo, autoexplicativa. En «Haz fácil lo imposible» (Rocket Surgery Made Easy, 2010) propone pruebas de usabilidad sencillas y frecuentes: una mañana al mes, tres usuarios y corregir primero los problemas más graves.</w:t>
      </w:r>
    </w:p>
    <w:p>
      <w:pPr>
        <w:spacing w:after="120" w:line="276"/>
      </w:pPr>
      <w:r>
        <w:t xml:space="preserve">Su obra no es investigación experimental, sino síntesis de experiencia profesional, y nació centrada en la web de escritorio. Aun así, varias de sus recomendaciones son lo bastante concretas para convertirse en comprobaciones objetivas, algo que no hacen las herramientas de auditoría analizadas en el apartado 02. La tabla 2 resume cómo se han trasladado al UX-Auditor.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Principio de Krug</w:t>
            </w:r>
          </w:p>
        </w:tc>
        <w:tc>
          <w:tcPr>
            <w:tcW w:type="dxa" w:w="3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Qué dice</w:t>
            </w:r>
          </w:p>
        </w:tc>
        <w:tc>
          <w:tcPr>
            <w:tcW w:type="dxa" w:w="30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Cómo lo aplicamos en el auditor</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Primera ley de la usabilidad: «No me hagas pensar»</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Cada página debe ser evidente por sí misma o, al menos, autoexplicativa. Cada duda («¿esto es un botón?», «¿dónde estará…?») suma carga cognitiva.</w:t>
            </w:r>
          </w:p>
        </w:tc>
        <w:tc>
          <w:tcPr>
            <w:tcW w:type="dxa" w:w="3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Pregunta experta MAN-KRUG-EVIDENTE (D2, alta).</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Cómo usamos realmente la web</w:t>
            </w:r>
          </w:p>
        </w:tc>
        <w:tc>
          <w:tcPr>
            <w:tcW w:type="dxa" w:w="3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No leemos: escaneamos. Elegimos la primera opción razonable (satisficing) y salimos del paso sin entender cómo funciona.</w:t>
            </w:r>
          </w:p>
        </w:tc>
        <w:tc>
          <w:tcPr>
            <w:tcW w:type="dxa" w:w="30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Justifica las reglas de jerarquía visual, de una sola llamada a la acción principal y de legibilidad.</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Diseño de valla publicitaria</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Usar convenciones, crear una jerarquía visual clara, dividir la página en zonas, hacer evidente lo clicable y reducir el ruido.</w:t>
            </w:r>
          </w:p>
        </w:tc>
        <w:tc>
          <w:tcPr>
            <w:tcW w:type="dxa" w:w="3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INT-ENLACES-DISTINGUIBLES (enlaces que no se distinguen del texto), INT-CTA-COMPITEN, INT-CLIC-NO-SEMANTICO.</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Omite las palabras innecesarias</w:t>
            </w:r>
          </w:p>
        </w:tc>
        <w:tc>
          <w:tcPr>
            <w:tcW w:type="dxa" w:w="3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«Elimina la mitad de las palabras de cada página y luego la mitad de lo que quede»: fuera el texto de bienvenida (happy talk) y las instrucciones que nadie lee.</w:t>
            </w:r>
          </w:p>
        </w:tc>
        <w:tc>
          <w:tcPr>
            <w:tcW w:type="dxa" w:w="30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VIS-PALABRAS-INNECESARIAS (D4) y el índice de legibilidad.</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Prueba del tronco (trunk test)</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En cualquier página, a simple vista, debe verse qué sitio es, en qué página estoy, cuáles son las secciones, dónde estoy y cómo buscar.</w:t>
            </w:r>
          </w:p>
        </w:tc>
        <w:tc>
          <w:tcPr>
            <w:tcW w:type="dxa" w:w="3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NAV-PRUEBA-TRONCO (D6, alta). Las herramientas analizadas en el apartado 02 no la incluyen.</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La portada</w:t>
            </w:r>
          </w:p>
        </w:tc>
        <w:tc>
          <w:tcPr>
            <w:tcW w:type="dxa" w:w="3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Debe explicar en segundos qué es el sitio, qué ofrece y por dónde empezar (lema y propuesta de valor).</w:t>
            </w:r>
          </w:p>
        </w:tc>
        <w:tc>
          <w:tcPr>
            <w:tcW w:type="dxa" w:w="30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Pregunta experta MAN-KRUG-PORTADA (D6).</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La reserva de buena voluntad</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Cada usuario llega con una reserva de paciencia. La gastan: ocultar información (teléfono, precios, gastos de envío), castigarle por no escribir los datos a tu manera, pedir datos innecesarios o tener un aspecto descuidado. La recuperan: ahorrar pasos y facilitar la recuperación de los errores.</w:t>
            </w:r>
          </w:p>
        </w:tc>
        <w:tc>
          <w:tcPr>
            <w:tcW w:type="dxa" w:w="3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FORM-FORMATO-LIBRE (teléfonos e IBAN que no admiten espacios) y la pregunta MAN-KRUG-BUENA-VOLUNTAD.</w:t>
            </w:r>
          </w:p>
        </w:tc>
      </w:tr>
      <w:tr>
        <w:trPr>
          <w:cantSplit/>
        </w:trPr>
        <w:tc>
          <w:tcPr>
            <w:tcW w:type="dxa" w:w="2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Accesibilidad</w:t>
            </w:r>
          </w:p>
        </w:tc>
        <w:tc>
          <w:tcPr>
            <w:tcW w:type="dxa" w:w="3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Es lo correcto y mejora la experiencia de todos: primero, arreglar lo que confunde a todo el mundo.</w:t>
            </w:r>
          </w:p>
        </w:tc>
        <w:tc>
          <w:tcPr>
            <w:tcW w:type="dxa" w:w="30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Dimensión D1 completa.</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Pruebas de usabilidad «hazlo tú mismo»</w:t>
            </w:r>
          </w:p>
        </w:tc>
        <w:tc>
          <w:tcPr>
            <w:tcW w:type="dxa" w:w="3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Una mañana al mes, tres usuarios, todo el equipo observando y corregir primero los problemas más graves. Probar pronto con pocos usuarios es mejor que tarde con muchos.</w:t>
            </w:r>
          </w:p>
        </w:tc>
        <w:tc>
          <w:tcPr>
            <w:tcW w:type="dxa" w:w="3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Pregunta MAN-KRUG-PRUEBAS (D7), junto con el SUS.</w:t>
            </w:r>
          </w:p>
        </w:tc>
      </w:tr>
    </w:tbl>
    <w:p>
      <w:pPr>
        <w:spacing w:after="200" w:before="60"/>
        <w:jc w:val="center"/>
      </w:pPr>
      <w:r>
        <w:rPr>
          <w:i/>
          <w:iCs/>
          <w:color w:val="475569"/>
          <w:sz w:val="18"/>
          <w:szCs w:val="18"/>
        </w:rPr>
        <w:t xml:space="preserve">Tabla 2. Principios de Steve Krug y su uso en el auditor.</w:t>
      </w:r>
    </w:p>
    <w:p>
      <w:pPr>
        <w:pStyle w:val="Heading2"/>
      </w:pPr>
      <w:bookmarkStart w:id="1007" w:name="_Toc900007"/>
      <w:r>
        <w:t xml:space="preserve">1.6 Investigación aplicada: Baymard Institute y GOV.UK</w:t>
      </w:r>
      <w:bookmarkEnd w:id="1007"/>
    </w:p>
    <w:p>
      <w:pPr>
        <w:spacing w:after="120" w:line="276"/>
      </w:pPr>
      <w:r>
        <w:t xml:space="preserve">Para el comercio electrónico y los formularios, el </w:t>
      </w:r>
      <w:r>
        <w:rPr>
          <w:b/>
          <w:bCs/>
        </w:rPr>
        <w:t xml:space="preserve">Baymard Institute</w:t>
      </w:r>
      <w:r>
        <w:t xml:space="preserve"> es un referente de investigación aplicada de carácter comercial: afirma basar sus más de 700 directrices en más de 200.000 horas de investigación de UX. Sus estudios sobre el proceso de compra respaldan dos decisiones del IUX: tratar la transparencia del precio total como un requisito (pregunta MAN-COSTES-OCULTOS, D8) y valorar la validación en línea y la prevención de errores en los formularios (D5). Al ser una fuente privada y en gran parte de pago, el auditor no reproduce sus directrices; las usa como respaldo empírico de reglas que se basan, en primer lugar, en normas y legislación.</w:t>
      </w:r>
    </w:p>
    <w:p>
      <w:pPr>
        <w:spacing w:after="120" w:line="276"/>
      </w:pPr>
      <w:r>
        <w:t xml:space="preserve">En el ámbito público, el </w:t>
      </w:r>
      <w:r>
        <w:rPr>
          <w:b/>
          <w:bCs/>
        </w:rPr>
        <w:t xml:space="preserve">GOV.UK Design System</w:t>
      </w:r>
      <w:r>
        <w:t xml:space="preserve"> del Gobierno del Reino Unido documenta componentes y patrones basados en investigación con usuarios, en especial para formularios: etiquetas visibles, mensajes de error junto al campo y un resumen de errores que recibe el foco. Es la fuente de varias reglas de D5, como la de etiquetas visibles, y de la pregunta experta sobre el resumen de errores.</w:t>
      </w:r>
    </w:p>
    <w:p>
      <w:pPr>
        <w:pStyle w:val="Heading2"/>
      </w:pPr>
      <w:bookmarkStart w:id="1008" w:name="_Toc900008"/>
      <w:r>
        <w:t xml:space="preserve">1.7 Leyes de la UX y psicología de la interacción</w:t>
      </w:r>
      <w:bookmarkEnd w:id="1008"/>
    </w:p>
    <w:p>
      <w:pPr>
        <w:spacing w:after="120" w:line="276"/>
      </w:pPr>
      <w:r>
        <w:t xml:space="preserve">Las llamadas leyes de la UX son regularidades empíricas de la psicología cognitiva y de la ergonomía aplicadas al diseño. No son normas y conviene usarlas con cautela: describen tendencias medidas en condiciones de laboratorio que no siempre se trasladan de forma literal a una interfaz. La tabla 3 recoge las más utilizadas, su origen y la regla del auditor en la que se concretan.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Ley</w:t>
            </w:r>
          </w:p>
        </w:tc>
        <w:tc>
          <w:tcPr>
            <w:tcW w:type="dxa" w:w="3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Enunciado y origen</w:t>
            </w:r>
          </w:p>
        </w:tc>
        <w:tc>
          <w:tcPr>
            <w:tcW w:type="dxa" w:w="37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Aplicación en el auditor (y matiz)</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Ley de Fitts</w:t>
            </w:r>
          </w:p>
        </w:tc>
        <w:tc>
          <w:tcPr>
            <w:tcW w:type="dxa" w:w="3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El tiempo para alcanzar un objetivo crece con la distancia y disminuye con su tamaño (Fitts, 1954).</w:t>
            </w:r>
          </w:p>
        </w:tc>
        <w:tc>
          <w:tcPr>
            <w:tcW w:type="dxa" w:w="37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Objetivos de al menos 24 × 24 px (WCAG 2.5.8) y de 44–48 px en móvil (Apple HIG, Material Design): reglas INT-OBJETIVO-WCAG e INT-OBJETIVO-TACTIL.</w:t>
            </w:r>
          </w:p>
        </w:tc>
      </w:tr>
      <w:tr>
        <w:trPr>
          <w:cantSplit/>
        </w:trPr>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Ley de Hick-Hyman</w:t>
            </w:r>
          </w:p>
        </w:tc>
        <w:tc>
          <w:tcPr>
            <w:tcW w:type="dxa" w:w="3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El tiempo de decisión crece de forma logarítmica con el número de opciones equiprobables (Hick, 1952; Hyman, 1953).</w:t>
            </w:r>
          </w:p>
        </w:tc>
        <w:tc>
          <w:tcPr>
            <w:tcW w:type="dxa" w:w="37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Menús de 7 opciones como máximo y una llamada a la acción principal (NAV-MENU, INT-CTA-COMPITEN). Matiz: en menús conocidos el usuario no evalúa todas las opciones, así que el umbral es orientativo.</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Ley de Jakob</w:t>
            </w:r>
          </w:p>
        </w:tc>
        <w:tc>
          <w:tcPr>
            <w:tcW w:type="dxa" w:w="3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Los usuarios pasan la mayor parte del tiempo en otros sitios y esperan que el tuyo funcione igual (Nielsen, 2000).</w:t>
            </w:r>
          </w:p>
        </w:tc>
        <w:tc>
          <w:tcPr>
            <w:tcW w:type="dxa" w:w="37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Convenciones de navegación: prueba del tronco y consistencia entre páginas (NAV-PRUEBA-TRONCO, NAV-CONSISTENCIA).</w:t>
            </w:r>
          </w:p>
        </w:tc>
      </w:tr>
      <w:tr>
        <w:trPr>
          <w:cantSplit/>
        </w:trPr>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Umbral de Doherty</w:t>
            </w:r>
          </w:p>
        </w:tc>
        <w:tc>
          <w:tcPr>
            <w:tcW w:type="dxa" w:w="3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La productividad aumenta cuando el sistema responde en menos de 400 ms (Doherty y Thadani, 1982).</w:t>
            </w:r>
          </w:p>
        </w:tc>
        <w:tc>
          <w:tcPr>
            <w:tcW w:type="dxa" w:w="37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Métrica de capacidad de respuesta (TBT como aproximación de INP) con umbrales estrictos en D3.</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Ley de Miller</w:t>
            </w:r>
          </w:p>
        </w:tc>
        <w:tc>
          <w:tcPr>
            <w:tcW w:type="dxa" w:w="3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La memoria a corto plazo es limitada: «siete, más o menos dos» elementos (Miller, 1956).</w:t>
            </w:r>
          </w:p>
        </w:tc>
        <w:tc>
          <w:tcPr>
            <w:tcW w:type="dxa" w:w="37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Agrupar el contenido y limitar las opciones. Matiz: estudios posteriores sitúan la capacidad en torno a cuatro unidades (Cowan, 2001), lo que refuerza el criterio de no sobrecargar.</w:t>
            </w:r>
          </w:p>
        </w:tc>
      </w:tr>
      <w:tr>
        <w:trPr>
          <w:cantSplit/>
        </w:trPr>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Ley de Tesler</w:t>
            </w:r>
          </w:p>
        </w:tc>
        <w:tc>
          <w:tcPr>
            <w:tcW w:type="dxa" w:w="3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La complejidad inherente de un sistema no se elimina, solo se traslada (atribuida a Larry Tesler).</w:t>
            </w:r>
          </w:p>
        </w:tc>
        <w:tc>
          <w:tcPr>
            <w:tcW w:type="dxa" w:w="37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Que la asuma el sistema y no el usuario: aceptar formatos libres en teléfonos o IBAN (FORM-FORMATO-LIBRE).</w:t>
            </w:r>
          </w:p>
        </w:tc>
      </w:tr>
    </w:tbl>
    <w:p>
      <w:pPr>
        <w:spacing w:after="200" w:before="60"/>
        <w:jc w:val="center"/>
      </w:pPr>
      <w:r>
        <w:rPr>
          <w:i/>
          <w:iCs/>
          <w:color w:val="475569"/>
          <w:sz w:val="18"/>
          <w:szCs w:val="18"/>
        </w:rPr>
        <w:t xml:space="preserve">Tabla 3. Leyes de la UX y su aplicación en el auditor.</w:t>
      </w:r>
    </w:p>
    <w:p>
      <w:pPr>
        <w:pStyle w:val="Heading2"/>
      </w:pPr>
      <w:bookmarkStart w:id="1009" w:name="_Toc900009"/>
      <w:r>
        <w:t xml:space="preserve">1.8 Guías de plataforma y sistemas de diseño</w:t>
      </w:r>
      <w:bookmarkEnd w:id="1009"/>
    </w:p>
    <w:p>
      <w:pPr>
        <w:spacing w:after="120" w:line="276"/>
      </w:pPr>
      <w:r>
        <w:t xml:space="preserve">Las guías de las grandes plataformas son referentes comerciales: no tienen valor normativo, pero concretan buenas prácticas para millones de usuarios y, con ello, fijan sus expectativas, que es justo lo que describe la ley de Jakob. </w:t>
      </w:r>
      <w:r>
        <w:rPr>
          <w:b/>
          <w:bCs/>
        </w:rPr>
        <w:t xml:space="preserve">Material Design 3</w:t>
      </w:r>
      <w:r>
        <w:t xml:space="preserve"> (Google) y las </w:t>
      </w:r>
      <w:r>
        <w:rPr>
          <w:b/>
          <w:bCs/>
        </w:rPr>
        <w:t xml:space="preserve">Human Interface Guidelines</w:t>
      </w:r>
      <w:r>
        <w:t xml:space="preserve"> (Apple) establecen objetivos táctiles mínimos de 48 × 48 dp y 44 × 44 pt respectivamente, además de soporte para el tamaño de texto del sistema y la reducción de movimiento. </w:t>
      </w:r>
      <w:r>
        <w:rPr>
          <w:b/>
          <w:bCs/>
        </w:rPr>
        <w:t xml:space="preserve">Fluent 2</w:t>
      </w:r>
      <w:r>
        <w:t xml:space="preserve"> (Microsoft) hace lo mismo en su ecosistema. El auditor toma de estas guías los umbrales de comodidad táctil, más exigentes que el mínimo de WCAG, y las preferencias del sistema que emula (reducir movimiento, modo oscuro y alto contraste). La skill UI UX Pro Max, descrita en el apartado 05, recopila estas recomendaciones en la base de conocimiento que el auditor usa para proponer correcciones.</w:t>
      </w:r>
    </w:p>
    <w:p>
      <w:pPr>
        <w:pStyle w:val="Heading2"/>
      </w:pPr>
      <w:bookmarkStart w:id="1010" w:name="_Toc900010"/>
      <w:r>
        <w:t xml:space="preserve">1.9 Instrumentos de medición</w:t>
      </w:r>
      <w:bookmarkEnd w:id="1010"/>
    </w:p>
    <w:p>
      <w:pPr>
        <w:spacing w:after="120" w:line="276"/>
      </w:pPr>
      <w:r>
        <w:t xml:space="preserve">Cuantificar la experiencia de usuario exige triangular lo que las personas hacen (datos de comportamiento) con lo que opinan (datos de percepción). El IUX combina estos instrumentos:</w:t>
      </w:r>
    </w:p>
    <w:p>
      <w:pPr>
        <w:pStyle w:val="ListParagraph"/>
        <w:numPr>
          <w:ilvl w:val="0"/>
          <w:numId w:val="2"/>
        </w:numPr>
        <w:spacing w:after="60" w:line="264"/>
      </w:pPr>
      <w:r>
        <w:rPr>
          <w:b/>
          <w:bCs/>
        </w:rPr>
        <w:t xml:space="preserve">Core Web Vitals</w:t>
      </w:r>
      <w:r>
        <w:t xml:space="preserve"> (Google). Miden el rendimiento percibido con tres métricas y sus umbrales de «bueno», evaluados en el percentil 75 de las visitas: LCP ≤ 2,5 s (carga del contenido principal), INP ≤ 200 ms (respuesta a la interacción; sustituyó a FID en marzo de 2024) y CLS ≤ 0,1 (estabilidad visual). INP solo puede medirse con interacciones reales; en laboratorio, el auditor usa el tiempo total de bloqueo (TBT) como aproximación, y así lo indica el propio informe.</w:t>
      </w:r>
    </w:p>
    <w:p>
      <w:pPr>
        <w:pStyle w:val="ListParagraph"/>
        <w:numPr>
          <w:ilvl w:val="0"/>
          <w:numId w:val="2"/>
        </w:numPr>
        <w:spacing w:after="60" w:line="264"/>
      </w:pPr>
      <w:r>
        <w:rPr>
          <w:b/>
          <w:bCs/>
        </w:rPr>
        <w:t xml:space="preserve">SUS (System Usability Scale)</w:t>
      </w:r>
      <w:r>
        <w:t xml:space="preserve">, de John Brooke (1996). Cuestionario de 10 ítems que produce una puntuación de 0 a 100. Según los datos de referencia de Sauro y Lewis (2016), la media se sitúa en torno a 68; una puntuación de 80,8 o más corresponde aproximadamente al 10 % superior (grado A) y una inferior a 51,7, al 15 % inferior (grado F). En el IUX, el SUS alimenta la dimensión D7 y aporta la validación con usuarios que las pruebas automáticas no pueden sustituir.</w:t>
      </w:r>
    </w:p>
    <w:p>
      <w:pPr>
        <w:pStyle w:val="ListParagraph"/>
        <w:numPr>
          <w:ilvl w:val="0"/>
          <w:numId w:val="2"/>
        </w:numPr>
        <w:spacing w:after="60" w:line="264"/>
      </w:pPr>
      <w:r>
        <w:rPr>
          <w:b/>
          <w:bCs/>
        </w:rPr>
        <w:t xml:space="preserve">UEQ (User Experience Questionnaire)</w:t>
      </w:r>
      <w:r>
        <w:t xml:space="preserve"> (Laugwitz, Held y Schrepp, 2008). Mide atractivo, claridad, eficiencia, fiabilidad, estimulación y novedad, y complementa el SUS en los aspectos hedónicos de la experiencia.</w:t>
      </w:r>
    </w:p>
    <w:p>
      <w:pPr>
        <w:pStyle w:val="ListParagraph"/>
        <w:numPr>
          <w:ilvl w:val="0"/>
          <w:numId w:val="2"/>
        </w:numPr>
        <w:spacing w:after="60" w:line="264"/>
      </w:pPr>
      <w:r>
        <w:rPr>
          <w:b/>
          <w:bCs/>
        </w:rPr>
        <w:t xml:space="preserve">Marco HEART</w:t>
      </w:r>
      <w:r>
        <w:t xml:space="preserve"> de Google (Rodden, Hutchinson y Fu, 2010). Organiza las métricas de producto en felicidad, implicación, adopción, retención y éxito en la tarea, con el proceso objetivos → señales → métricas. Es la referencia para completar en el futuro el IUX con datos de uso real, algo que queda fuera del alcance actual del auditor.</w:t>
      </w:r>
    </w:p>
    <w:p>
      <w:pPr>
        <w:pStyle w:val="ListParagraph"/>
        <w:numPr>
          <w:ilvl w:val="0"/>
          <w:numId w:val="2"/>
        </w:numPr>
        <w:spacing w:after="60" w:line="264"/>
      </w:pPr>
      <w:r>
        <w:rPr>
          <w:b/>
          <w:bCs/>
        </w:rPr>
        <w:t xml:space="preserve">Modelo Sustainable Web Design (versión 4).</w:t>
      </w:r>
      <w:r>
        <w:t xml:space="preserve"> Estima las emisiones de cada visita a partir de los datos transferidos (0,30 kWh/GB y 494 g CO2e/kWh de media mundial) y las califica de A+ a F. Las Web Sustainability Guidelines del W3C, todavía en fase de borrador de grupo comunitario, recogen el mismo enfoque. El auditor lo aplica en la regla ETI-CARBONO (D8).</w:t>
      </w:r>
    </w:p>
    <w:p>
      <w:pPr>
        <w:pBdr>
          <w:left w:val="single" w:color="4F46E5" w:sz="18" w:space="8"/>
        </w:pBdr>
        <w:shd w:fill="EEF2FF" w:color="auto" w:val="clear"/>
        <w:spacing w:after="160" w:before="80" w:line="264"/>
        <w:ind w:left="160"/>
      </w:pPr>
      <w:r>
        <w:rPr>
          <w:b/>
          <w:bCs/>
        </w:rPr>
        <w:t xml:space="preserve">Síntesis del apartado 01:</w:t>
      </w:r>
      <w:r>
        <w:t xml:space="preserve"> las normas ISO y las recomendaciones del W3C definen qué es una buena experiencia de usuario y qué nivel de accesibilidad se exige. La legislación europea y española convierte parte de esos requisitos en obligaciones y añade la dimensión ética. Las heurísticas de Nielsen, los principios de Norman, Shneiderman y Krug, la investigación aplicada de Baymard y GOV.UK, las leyes de la UX y las guías de plataforma indican cómo conseguirla e inspeccionarla. Los instrumentos de medida permiten cuantificarla. El IUX combina estas capas, y el UX-Auditor las aplica de forma automática donde es posible y mediante revisión experta donde no lo es.</w:t>
      </w:r>
    </w:p>
    <w:p>
      <w:pPr>
        <w:pStyle w:val="Heading1"/>
        <w:pageBreakBefore/>
      </w:pPr>
      <w:bookmarkStart w:id="1011" w:name="_Toc900011"/>
      <w:r>
        <w:t xml:space="preserve">02- SOTA (Estado del arte)</w:t>
      </w:r>
      <w:bookmarkEnd w:id="1011"/>
    </w:p>
    <w:p>
      <w:pPr>
        <w:spacing w:after="120" w:line="276"/>
      </w:pPr>
      <w:r>
        <w:t xml:space="preserve">Este apartado resume cómo se trabaja la UX en 2026: qué herramientas existen, qué tendencias dominan y qué huecos quedan sin cubrir, que son los que justifican nuestro auditor.</w:t>
      </w:r>
    </w:p>
    <w:p>
      <w:pPr>
        <w:pStyle w:val="Heading2"/>
      </w:pPr>
      <w:bookmarkStart w:id="1012" w:name="_Toc900012"/>
      <w:r>
        <w:t xml:space="preserve">2.1 Tendencias actuales</w:t>
      </w:r>
      <w:bookmarkEnd w:id="1012"/>
    </w:p>
    <w:p>
      <w:pPr>
        <w:pStyle w:val="Heading3"/>
      </w:pPr>
      <w:r>
        <w:t xml:space="preserve">1. La IA dentro del proceso de diseño</w:t>
      </w:r>
    </w:p>
    <w:p>
      <w:pPr>
        <w:spacing w:after="120" w:line="276"/>
      </w:pPr>
      <w:r>
        <w:t xml:space="preserve">Los asistentes de IA ya participan en todas las fases: síntesis de entrevistas, generación de prototipos y de código de interfaz a partir de una descripción, y revisión de diseños. La investigación sobre </w:t>
      </w:r>
      <w:r>
        <w:rPr>
          <w:b/>
          <w:bCs/>
        </w:rPr>
        <w:t xml:space="preserve">evaluación heurística asistida por modelos de lenguaje</w:t>
      </w:r>
      <w:r>
        <w:t xml:space="preserve"> muestra que estos detectan una parte de los problemas reales, pero también generan falsos positivos, por lo que la revisión humana sigue siendo necesaria. Un fenómeno nuevo son las </w:t>
      </w:r>
      <w:r>
        <w:rPr>
          <w:b/>
          <w:bCs/>
        </w:rPr>
        <w:t xml:space="preserve">skills o bases de conocimiento de diseño para agentes de programación</w:t>
      </w:r>
      <w:r>
        <w:t xml:space="preserve">, como </w:t>
      </w:r>
      <w:r>
        <w:rPr>
          <w:b/>
          <w:bCs/>
        </w:rPr>
        <w:t xml:space="preserve">UI UX Pro Max</w:t>
      </w:r>
      <w:r>
        <w:t xml:space="preserve"> (ver apartado 05), que codifican estilos, paletas, tipografías y cientos de reglas UX para que la IA genere interfaces correctas desde el principio.</w:t>
      </w:r>
    </w:p>
    <w:p>
      <w:pPr>
        <w:pStyle w:val="Heading3"/>
      </w:pPr>
      <w:r>
        <w:t xml:space="preserve">2. Diseñar la experiencia de productos con IA</w:t>
      </w:r>
    </w:p>
    <w:p>
      <w:pPr>
        <w:spacing w:after="120" w:line="276"/>
      </w:pPr>
      <w:r>
        <w:t xml:space="preserve">Las interfaces conversacionales y los agentes plantean retos propios: transparencia sobre lo que hace el sistema, control del usuario, gestión de errores e incertidumbre. Los referentes son las </w:t>
      </w:r>
      <w:r>
        <w:rPr>
          <w:b/>
          <w:bCs/>
        </w:rPr>
        <w:t xml:space="preserve">18 Guidelines for Human-AI Interaction</w:t>
      </w:r>
      <w:r>
        <w:t xml:space="preserve"> de Microsoft (Amershi et al., 2019) y la </w:t>
      </w:r>
      <w:r>
        <w:rPr>
          <w:b/>
          <w:bCs/>
        </w:rPr>
        <w:t xml:space="preserve">People + AI Guidebook</w:t>
      </w:r>
      <w:r>
        <w:t xml:space="preserve"> de Google PAIR.</w:t>
      </w:r>
    </w:p>
    <w:p>
      <w:pPr>
        <w:pStyle w:val="Heading3"/>
      </w:pPr>
      <w:r>
        <w:t xml:space="preserve">3. La accesibilidad pasa de recomendación a obligación</w:t>
      </w:r>
    </w:p>
    <w:p>
      <w:pPr>
        <w:spacing w:after="120" w:line="276"/>
      </w:pPr>
      <w:r>
        <w:t xml:space="preserve">Con el </w:t>
      </w:r>
      <w:r>
        <w:rPr>
          <w:b/>
          <w:bCs/>
        </w:rPr>
        <w:t xml:space="preserve">Acta Europea de Accesibilidad</w:t>
      </w:r>
      <w:r>
        <w:t xml:space="preserve"> aplicable desde junio de 2025, la accesibilidad es un requisito legal para muchos servicios privados. En octubre de 2025, </w:t>
      </w:r>
      <w:r>
        <w:rPr>
          <w:b/>
          <w:bCs/>
        </w:rPr>
        <w:t xml:space="preserve">WCAG 2.2 fue aprobada como norma ISO/IEC 40500:2025</w:t>
      </w:r>
      <w:r>
        <w:t xml:space="preserve">. En paralelo, el W3C desarrolla </w:t>
      </w:r>
      <w:r>
        <w:rPr>
          <w:b/>
          <w:bCs/>
        </w:rPr>
        <w:t xml:space="preserve">WCAG 3.0</w:t>
      </w:r>
      <w:r>
        <w:t xml:space="preserve"> (todavía borrador de trabajo; la versión más reciente es de marzo de 2026), que propone pasar de criterios de «cumple / no cumple» a una </w:t>
      </w:r>
      <w:r>
        <w:rPr>
          <w:b/>
          <w:bCs/>
        </w:rPr>
        <w:t xml:space="preserve">evaluación por resultados con niveles graduados (bronce, plata, oro)</w:t>
      </w:r>
      <w:r>
        <w:t xml:space="preserve">: una idea muy cercana a nuestra métrica de 0 a 10.</w:t>
      </w:r>
    </w:p>
    <w:p>
      <w:pPr>
        <w:pStyle w:val="Heading3"/>
      </w:pPr>
      <w:r>
        <w:t xml:space="preserve">4. Automatización de auditorías</w:t>
      </w:r>
    </w:p>
    <w:p>
      <w:pPr>
        <w:spacing w:after="120" w:line="276"/>
      </w:pPr>
      <w:r>
        <w:t xml:space="preserve">Herramientas como </w:t>
      </w:r>
      <w:r>
        <w:rPr>
          <w:b/>
          <w:bCs/>
        </w:rPr>
        <w:t xml:space="preserve">axe-core</w:t>
      </w:r>
      <w:r>
        <w:t xml:space="preserve">, </w:t>
      </w:r>
      <w:r>
        <w:rPr>
          <w:b/>
          <w:bCs/>
        </w:rPr>
        <w:t xml:space="preserve">Lighthouse</w:t>
      </w:r>
      <w:r>
        <w:t xml:space="preserve">, </w:t>
      </w:r>
      <w:r>
        <w:rPr>
          <w:b/>
          <w:bCs/>
        </w:rPr>
        <w:t xml:space="preserve">Pa11y</w:t>
      </w:r>
      <w:r>
        <w:t xml:space="preserve">, </w:t>
      </w:r>
      <w:r>
        <w:rPr>
          <w:b/>
          <w:bCs/>
        </w:rPr>
        <w:t xml:space="preserve">WAVE</w:t>
      </w:r>
      <w:r>
        <w:t xml:space="preserve"> o </w:t>
      </w:r>
      <w:r>
        <w:rPr>
          <w:b/>
          <w:bCs/>
        </w:rPr>
        <w:t xml:space="preserve">Accessibility Insights</w:t>
      </w:r>
      <w:r>
        <w:t xml:space="preserve"> detectan automáticamente errores de contraste, etiquetas ausentes o problemas de estructura, y se integran en pipelines de CI. Su límite es conocido: </w:t>
      </w:r>
      <w:r>
        <w:rPr>
          <w:b/>
          <w:bCs/>
        </w:rPr>
        <w:t xml:space="preserve">solo detectan una parte de los problemas</w:t>
      </w:r>
      <w:r>
        <w:t xml:space="preserve">; cuestiones como si un texto alternativo es útil o si un flujo es comprensible exigen revisión experta.</w:t>
      </w:r>
    </w:p>
    <w:p>
      <w:pPr>
        <w:pStyle w:val="Heading3"/>
      </w:pPr>
      <w:r>
        <w:t xml:space="preserve">5. Sistemas de diseño y design tokens</w:t>
      </w:r>
    </w:p>
    <w:p>
      <w:pPr>
        <w:spacing w:after="120" w:line="276"/>
      </w:pPr>
      <w:r>
        <w:t xml:space="preserve">Los equipos trabajan con sistemas de diseño basados en </w:t>
      </w:r>
      <w:r>
        <w:rPr>
          <w:b/>
          <w:bCs/>
        </w:rPr>
        <w:t xml:space="preserve">tokens</w:t>
      </w:r>
      <w:r>
        <w:t xml:space="preserve"> (colores, tipografía, espaciados como variables con nombre semántico). En octubre de 2025 la especificación del </w:t>
      </w:r>
      <w:r>
        <w:rPr>
          <w:b/>
          <w:bCs/>
        </w:rPr>
        <w:t xml:space="preserve">W3C Design Tokens Community Group alcanzó su primera versión estable (2025.10)</w:t>
      </w:r>
      <w:r>
        <w:t xml:space="preserve">, lo que permite intercambiar tokens entre Figma, código y plataformas.</w:t>
      </w:r>
    </w:p>
    <w:p>
      <w:pPr>
        <w:pStyle w:val="Heading3"/>
      </w:pPr>
      <w:r>
        <w:t xml:space="preserve">6. Rendimiento percibido como parte de la UX</w:t>
      </w:r>
    </w:p>
    <w:p>
      <w:pPr>
        <w:spacing w:after="120" w:line="276"/>
      </w:pPr>
      <w:r>
        <w:t xml:space="preserve">La velocidad se considera parte de la experiencia. La métrica </w:t>
      </w:r>
      <w:r>
        <w:rPr>
          <w:b/>
          <w:bCs/>
        </w:rPr>
        <w:t xml:space="preserve">INP</w:t>
      </w:r>
      <w:r>
        <w:t xml:space="preserve"> sustituyó a FID para medir la respuesta real a cada interacción, y las plataformas penalizan los saltos de diseño (CLS).</w:t>
      </w:r>
    </w:p>
    <w:p>
      <w:pPr>
        <w:pStyle w:val="Heading3"/>
      </w:pPr>
      <w:r>
        <w:t xml:space="preserve">7. Movimiento expresivo, interfaces espaciales y diseño ético</w:t>
      </w:r>
    </w:p>
    <w:p>
      <w:pPr>
        <w:pStyle w:val="ListParagraph"/>
        <w:numPr>
          <w:ilvl w:val="0"/>
          <w:numId w:val="2"/>
        </w:numPr>
        <w:spacing w:after="60" w:line="264"/>
      </w:pPr>
      <w:r>
        <w:rPr>
          <w:b/>
          <w:bCs/>
        </w:rPr>
        <w:t xml:space="preserve">Diseño expresivo</w:t>
      </w:r>
      <w:r>
        <w:t xml:space="preserve">: Material 3 Expressive y el lenguaje visual Liquid Glass de Apple (2025) devuelven protagonismo a la forma, el color y la animación, lo que obliga a respetar «reducir movimiento» (prefers-reduced-motion).</w:t>
      </w:r>
    </w:p>
    <w:p>
      <w:pPr>
        <w:pStyle w:val="ListParagraph"/>
        <w:numPr>
          <w:ilvl w:val="0"/>
          <w:numId w:val="2"/>
        </w:numPr>
        <w:spacing w:after="60" w:line="264"/>
      </w:pPr>
      <w:r>
        <w:rPr>
          <w:b/>
          <w:bCs/>
        </w:rPr>
        <w:t xml:space="preserve">Interfaces espaciales</w:t>
      </w:r>
      <w:r>
        <w:t xml:space="preserve"> (visionOS, XR): nuevas reglas de distancia, profundidad y mirada.</w:t>
      </w:r>
    </w:p>
    <w:p>
      <w:pPr>
        <w:pStyle w:val="ListParagraph"/>
        <w:numPr>
          <w:ilvl w:val="0"/>
          <w:numId w:val="2"/>
        </w:numPr>
        <w:spacing w:after="60" w:line="264"/>
      </w:pPr>
      <w:r>
        <w:rPr>
          <w:b/>
          <w:bCs/>
        </w:rPr>
        <w:t xml:space="preserve">Sostenibilidad digital</w:t>
      </w:r>
      <w:r>
        <w:t xml:space="preserve">: las Web Sustainability Guidelines del W3C proponen interfaces más ligeras y eficientes.</w:t>
      </w:r>
    </w:p>
    <w:p>
      <w:pPr>
        <w:pStyle w:val="ListParagraph"/>
        <w:numPr>
          <w:ilvl w:val="0"/>
          <w:numId w:val="2"/>
        </w:numPr>
        <w:spacing w:after="60" w:line="264"/>
      </w:pPr>
      <w:r>
        <w:rPr>
          <w:b/>
          <w:bCs/>
        </w:rPr>
        <w:t xml:space="preserve">Patrones oscuros (dark patterns)</w:t>
      </w:r>
      <w:r>
        <w:t xml:space="preserve">: el Reglamento de Servicios Digitales de la UE (DSA, art. 25) prohíbe a las plataformas en línea diseños que engañen o manipulen al usuario.</w:t>
      </w:r>
    </w:p>
    <w:p>
      <w:pPr>
        <w:pStyle w:val="Heading2"/>
      </w:pPr>
      <w:bookmarkStart w:id="1013" w:name="_Toc900013"/>
      <w:r>
        <w:t xml:space="preserve">2.2 Comparativa de herramientas existentes</w:t>
      </w:r>
      <w:bookmarkEnd w:id="10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100"/>
        <w:gridCol w:w="1500"/>
        <w:gridCol w:w="2426"/>
      </w:tblGrid>
      <w:tr>
        <w:trPr>
          <w:tblHeader/>
        </w:trPr>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Herramienta</w:t>
            </w:r>
          </w:p>
        </w:tc>
        <w:tc>
          <w:tcPr>
            <w:tcW w:type="dxa" w:w="1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Tipo</w:t>
            </w:r>
          </w:p>
        </w:tc>
        <w:tc>
          <w:tcPr>
            <w:tcW w:type="dxa" w:w="21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Qué mide</w:t>
            </w:r>
          </w:p>
        </w:tc>
        <w:tc>
          <w:tcPr>
            <w:tcW w:type="dxa" w:w="1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Puntuación</w:t>
            </w:r>
          </w:p>
        </w:tc>
        <w:tc>
          <w:tcPr>
            <w:tcW w:type="dxa" w:w="24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Limitación</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Lighthouse</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Automática</w:t>
            </w:r>
          </w:p>
        </w:tc>
        <w:tc>
          <w:tcPr>
            <w:tcW w:type="dxa" w:w="2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Rendimiento, accesibilidad, buenas prácticas, SEO</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0–100 por categoría</w:t>
            </w:r>
          </w:p>
        </w:tc>
        <w:tc>
          <w:tcPr>
            <w:tcW w:type="dxa" w:w="2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 evalúa usabilidad ni diseño visual; no da un índice UX global.</w:t>
            </w:r>
          </w:p>
        </w:tc>
      </w:tr>
      <w:tr>
        <w:trPr>
          <w:cantSplit/>
        </w:trPr>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axe-core / axe DevTools</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Automática</w:t>
            </w:r>
          </w:p>
        </w:tc>
        <w:tc>
          <w:tcPr>
            <w:tcW w:type="dxa" w:w="21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Accesibilidad WCAG</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Lista de incidencias por impacto</w:t>
            </w:r>
          </w:p>
        </w:tc>
        <w:tc>
          <w:tcPr>
            <w:tcW w:type="dxa" w:w="2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Solo accesibilidad; no puntúa.</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WAVE / Pa11y</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Automática</w:t>
            </w:r>
          </w:p>
        </w:tc>
        <w:tc>
          <w:tcPr>
            <w:tcW w:type="dxa" w:w="2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Accesibilidad</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Errores y alertas</w:t>
            </w:r>
          </w:p>
        </w:tc>
        <w:tc>
          <w:tcPr>
            <w:tcW w:type="dxa" w:w="2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Igual que la anterior.</w:t>
            </w:r>
          </w:p>
        </w:tc>
      </w:tr>
      <w:tr>
        <w:trPr>
          <w:cantSplit/>
        </w:trPr>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Evaluación heurística (Nielsen)</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Experta</w:t>
            </w:r>
          </w:p>
        </w:tc>
        <w:tc>
          <w:tcPr>
            <w:tcW w:type="dxa" w:w="21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Usabilidad</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Severidad 0–4 por problema</w:t>
            </w:r>
          </w:p>
        </w:tc>
        <w:tc>
          <w:tcPr>
            <w:tcW w:type="dxa" w:w="2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Subjetiva y lenta; depende del evaluador.</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SUS / UEQ</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Con usuarios</w:t>
            </w:r>
          </w:p>
        </w:tc>
        <w:tc>
          <w:tcPr>
            <w:tcW w:type="dxa" w:w="2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Satisfacción percibida</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SUS 0–100</w:t>
            </w:r>
          </w:p>
        </w:tc>
        <w:tc>
          <w:tcPr>
            <w:tcW w:type="dxa" w:w="2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Requiere usuarios reales; no dice qué arreglar.</w:t>
            </w:r>
          </w:p>
        </w:tc>
      </w:tr>
      <w:tr>
        <w:trPr>
          <w:cantSplit/>
        </w:trPr>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Maze, Hotjar, UserTesting</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Analítica / test</w:t>
            </w:r>
          </w:p>
        </w:tc>
        <w:tc>
          <w:tcPr>
            <w:tcW w:type="dxa" w:w="21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Comportamiento real</w:t>
            </w:r>
          </w:p>
        </w:tc>
        <w:tc>
          <w:tcPr>
            <w:tcW w:type="dxa" w:w="1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Métricas de tarea</w:t>
            </w:r>
          </w:p>
        </w:tc>
        <w:tc>
          <w:tcPr>
            <w:tcW w:type="dxa" w:w="2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De pago; necesitan producto en producción.</w:t>
            </w:r>
          </w:p>
        </w:tc>
      </w:tr>
      <w:tr>
        <w:trPr>
          <w:cantSplit/>
        </w:trPr>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UI UX Pro Max (skill)</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Base de conocimiento para IA</w:t>
            </w:r>
          </w:p>
        </w:tc>
        <w:tc>
          <w:tcPr>
            <w:tcW w:type="dxa" w:w="21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Recomienda estilo, color, tipografía y reglas UX</w:t>
            </w:r>
          </w:p>
        </w:tc>
        <w:tc>
          <w:tcPr>
            <w:tcW w:type="dxa" w:w="1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 puntúa</w:t>
            </w:r>
          </w:p>
        </w:tc>
        <w:tc>
          <w:tcPr>
            <w:tcW w:type="dxa" w:w="2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Orientada a generar, no a auditar.</w:t>
            </w:r>
          </w:p>
        </w:tc>
      </w:tr>
    </w:tbl>
    <w:p>
      <w:pPr>
        <w:spacing w:after="200" w:before="60"/>
        <w:jc w:val="center"/>
      </w:pPr>
      <w:r>
        <w:rPr>
          <w:i/>
          <w:iCs/>
          <w:color w:val="475569"/>
          <w:sz w:val="18"/>
          <w:szCs w:val="18"/>
        </w:rPr>
        <w:t xml:space="preserve">Tabla 4. Herramientas del estado del arte.</w:t>
      </w:r>
    </w:p>
    <w:p>
      <w:pPr>
        <w:pStyle w:val="Heading2"/>
      </w:pPr>
      <w:bookmarkStart w:id="1014" w:name="_Toc900014"/>
      <w:r>
        <w:t xml:space="preserve">2.3 Huecos del estado del arte (análisis de carencias)</w:t>
      </w:r>
      <w:bookmarkEnd w:id="1014"/>
    </w:p>
    <w:p>
      <w:pPr>
        <w:spacing w:after="120" w:line="276"/>
      </w:pPr>
      <w:r>
        <w:t xml:space="preserve">Hemos analizado qué </w:t>
      </w:r>
      <w:r>
        <w:rPr>
          <w:b/>
          <w:bCs/>
        </w:rPr>
        <w:t xml:space="preserve">no</w:t>
      </w:r>
      <w:r>
        <w:t xml:space="preserve"> comprueban hoy las herramientas automáticas más usadas (Lighthouse, axe-core, WAVE, Pa11y). Tres datos lo resumen:</w:t>
      </w:r>
    </w:p>
    <w:p>
      <w:pPr>
        <w:pStyle w:val="ListParagraph"/>
        <w:numPr>
          <w:ilvl w:val="0"/>
          <w:numId w:val="2"/>
        </w:numPr>
        <w:spacing w:after="60" w:line="264"/>
      </w:pPr>
      <w:r>
        <w:t xml:space="preserve">Según el estudio de Deque sobre más de 13.000 páginas y casi 300.000 incidencias, las pruebas automáticas encuentran de media el </w:t>
      </w:r>
      <w:r>
        <w:rPr>
          <w:b/>
          <w:bCs/>
        </w:rPr>
        <w:t xml:space="preserve">57 %</w:t>
      </w:r>
      <w:r>
        <w:t xml:space="preserve"> de los problemas de accesibilidad, medidos por volumen. El resto exige pruebas de interacción o revisión humana.</w:t>
      </w:r>
    </w:p>
    <w:p>
      <w:pPr>
        <w:pStyle w:val="ListParagraph"/>
        <w:numPr>
          <w:ilvl w:val="0"/>
          <w:numId w:val="2"/>
        </w:numPr>
        <w:spacing w:after="60" w:line="264"/>
      </w:pPr>
      <w:r>
        <w:t xml:space="preserve">En el barrido de la Comisión Europea de 2023, </w:t>
      </w:r>
      <w:r>
        <w:rPr>
          <w:b/>
          <w:bCs/>
        </w:rPr>
        <w:t xml:space="preserve">148 de 399 tiendas online (≈ 40 %) usaban patrones oscuros</w:t>
      </w:r>
      <w:r>
        <w:t xml:space="preserve">: 42 con temporizadores falsos, 54 que dirigían al usuario hacia ciertas opciones y 70 que ocultaban información. Ninguna de las herramientas de la tabla 4 los detecta.</w:t>
      </w:r>
    </w:p>
    <w:p>
      <w:pPr>
        <w:pStyle w:val="ListParagraph"/>
        <w:numPr>
          <w:ilvl w:val="0"/>
          <w:numId w:val="2"/>
        </w:numPr>
        <w:spacing w:after="60" w:line="264"/>
      </w:pPr>
      <w:r>
        <w:t xml:space="preserve">La </w:t>
      </w:r>
      <w:r>
        <w:rPr>
          <w:b/>
          <w:bCs/>
        </w:rPr>
        <w:t xml:space="preserve">Guía de cookies de la AEPD</w:t>
      </w:r>
      <w:r>
        <w:t xml:space="preserve"> exige desde enero de 2024 que «Rechazar» esté al mismo nivel que «Aceptar». Ninguna herramienta de auditoría UX lo comprueba.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2900"/>
        <w:gridCol w:w="3976"/>
      </w:tblGrid>
      <w:tr>
        <w:trPr>
          <w:tblHeader/>
        </w:trPr>
        <w:tc>
          <w:tcPr>
            <w:tcW w:type="dxa" w:w="45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w:t>
            </w:r>
          </w:p>
        </w:tc>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Hueco</w:t>
            </w:r>
          </w:p>
        </w:tc>
        <w:tc>
          <w:tcPr>
            <w:tcW w:type="dxa" w:w="2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Qué hacen hoy las herramientas</w:t>
            </w:r>
          </w:p>
        </w:tc>
        <w:tc>
          <w:tcPr>
            <w:tcW w:type="dxa" w:w="397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Cómo lo cubre nuestro auditor (regla)</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Patrones oscuros</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Nada: no forman parte de Lighthouse, axe ni WAVE.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Detecta banners de cookies sin «Rechazar» o con «Rechazar» menos visible, casillas premarcadas, textos que culpabilizan (confirmshaming) y cuentas atrás o escasez artificial (ETI-COOKIES-RECHAZO, ETI-PRESELECCION, ETI-CONFIRMSHAMING, ETI-URGENCIA).</w:t>
            </w:r>
          </w:p>
        </w:tc>
      </w:tr>
      <w:tr>
        <w:trPr>
          <w:cantSplit/>
        </w:trPr>
        <w:tc>
          <w:tcPr>
            <w:tcW w:type="dxa" w:w="45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2</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Rastreo antes del consentimiento</w:t>
            </w:r>
          </w:p>
        </w:tc>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Lighthouse informa de las cookies de terceros, pero no de si se cargan antes de consentir.</w:t>
            </w:r>
          </w:p>
        </w:tc>
        <w:tc>
          <w:tcPr>
            <w:tcW w:type="dxa" w:w="397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Registra las peticiones a 40 dominios de analítica y publicidad y las cookies de seguimiento (_ga, _fbp…) que aparecen al cargar la página (ETI-RASTREO-PREVIO).</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3</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Calidad, no solo presencia</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axe comprueba que exista un alt o un nombre, no que sirvan. Su regla de «nombre en la etiqueta» (2.5.3) es experimental y viene desactivada.</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Detecta alt con nombre de fichero, genérico o redundante, y nombres accesibles que no contienen el texto visible (A11Y-CALIDAD-ALT, A11Y-NOMBRE-EN-ETIQUETA).</w:t>
            </w:r>
          </w:p>
        </w:tc>
      </w:tr>
      <w:tr>
        <w:trPr>
          <w:cantSplit/>
        </w:trPr>
        <w:tc>
          <w:tcPr>
            <w:tcW w:type="dxa" w:w="45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4</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Adaptación a las preferencias del usuario</w:t>
            </w:r>
          </w:p>
        </w:tc>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Analizan la página tal como se ve por defecto.</w:t>
            </w:r>
          </w:p>
        </w:tc>
        <w:tc>
          <w:tcPr>
            <w:tcW w:type="dxa" w:w="397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Aplica el espaciado de texto de WCAG 1.4.12, sube la letra del navegador al 200 % y emula el alto contraste de Windows y el modo oscuro; después vuelve a medir (A11Y-ESPACIADO-TEXTO, A11Y-TAMANO-USUARIO, A11Y-ALTO-CONTRASTE, A11Y-MODO-OSCURO).</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5</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Interacción real con teclado</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Análisis estático del DOM.</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Pulsa Tab de verdad: detecta foco invisible, foco tapado, trampas, controles inalcanzables y saltos de orden (A11Y-ORDEN-FOCO y otras).</w:t>
            </w:r>
          </w:p>
        </w:tc>
      </w:tr>
      <w:tr>
        <w:trPr>
          <w:cantSplit/>
        </w:trPr>
        <w:tc>
          <w:tcPr>
            <w:tcW w:type="dxa" w:w="45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6</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Tamaños intermedios y orientación</w:t>
            </w:r>
          </w:p>
        </w:tc>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Uno o dos tamaños de pantalla.</w:t>
            </w:r>
          </w:p>
        </w:tc>
        <w:tc>
          <w:tcPr>
            <w:tcW w:type="dxa" w:w="397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Prueba 320, 600, 768, 1024 y 1280 px y el móvil en horizontal (VIS-RESPONSIVE-INTERMEDIO, A11Y-ORIENTACION).</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7</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Accesibilidad cognitiva y lenguaje claro</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 se mide.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Calcula el índice Fernández-Huerta (español) o Flesch (inglés) y detecta texto justificado, bloques en mayúsculas y cursiva larga (VIS-LEGIBILIDAD, VIS-TEXTO-COGNITIVO).</w:t>
            </w:r>
          </w:p>
        </w:tc>
      </w:tr>
      <w:tr>
        <w:trPr>
          <w:cantSplit/>
        </w:trPr>
        <w:tc>
          <w:tcPr>
            <w:tcW w:type="dxa" w:w="45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8</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Consistencia entre páginas</w:t>
            </w:r>
          </w:p>
        </w:tc>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Se audita cada página por separado.</w:t>
            </w:r>
          </w:p>
        </w:tc>
        <w:tc>
          <w:tcPr>
            <w:tcW w:type="dxa" w:w="397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Compara el menú y el enlace de ayuda entre las páginas del mismo sitio, según WCAG 3.2.3, 3.2.4 y 3.2.6 (NAV-CONSISTENCIA).</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9</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Jerarquía visual y sobrecarga de decisiones</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 se mide.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Cuenta las llamadas a la acción con el mismo peso visual en la primera pantalla (INT-CTA-COMPITEN).</w:t>
            </w:r>
          </w:p>
        </w:tc>
      </w:tr>
      <w:tr>
        <w:trPr>
          <w:cantSplit/>
        </w:trPr>
        <w:tc>
          <w:tcPr>
            <w:tcW w:type="dxa" w:w="45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10</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Sostenibilidad</w:t>
            </w:r>
          </w:p>
        </w:tc>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Lighthouse da el peso de la página, no su impacto.</w:t>
            </w:r>
          </w:p>
        </w:tc>
        <w:tc>
          <w:tcPr>
            <w:tcW w:type="dxa" w:w="397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Calcula los gramos de CO2e por visita con el modelo Sustainable Web Design v4 (calificación A+–F) (ETI-CARBONO).</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11</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Multimedia y formularios</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axe deja los subtítulos como «revisar manualmente».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Detecta reproducción automática con sonido, vídeos sin controles o sin subtítulos y campos obligatorios sin indicar (A11Y-MULTIMEDIA, FORM-OBLIGATORIOS).</w:t>
            </w:r>
          </w:p>
        </w:tc>
      </w:tr>
      <w:tr>
        <w:trPr>
          <w:cantSplit/>
        </w:trPr>
        <w:tc>
          <w:tcPr>
            <w:tcW w:type="dxa" w:w="45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12</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Lo que no se puede automatizar</w:t>
            </w:r>
          </w:p>
        </w:tc>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Se ignora o se deja fuera.</w:t>
            </w:r>
          </w:p>
        </w:tc>
        <w:tc>
          <w:tcPr>
            <w:tcW w:type="dxa" w:w="397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Cuestionario experto de 21 preguntas: heurísticas de Nielsen, principios de Krug, gestión del foco en modales, contenido al pasar el ratón, costes ocultos, bajas y transparencia de IA. El informe muestra la cobertura alcanzada.</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13</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Notas complacientes</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Lighthouse puede dar 100/100 a una web con problemas graves.</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Modo estricto</w:t>
            </w:r>
            <w:r>
              <w:rPr>
                <w:b w:val="false"/>
                <w:bCs w:val="false"/>
                <w:sz w:val="18"/>
                <w:szCs w:val="18"/>
              </w:rPr>
              <w:t xml:space="preserve"> (apartado 03): techos de nota por fallos críticos o altos, y «Excelente» solo con la auditoría completa.</w:t>
            </w:r>
          </w:p>
        </w:tc>
      </w:tr>
      <w:tr>
        <w:trPr>
          <w:cantSplit/>
        </w:trPr>
        <w:tc>
          <w:tcPr>
            <w:tcW w:type="dxa" w:w="45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14</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Puntuaciones aisladas</w:t>
            </w:r>
          </w:p>
        </w:tc>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Cada herramienta usa su propia escala.</w:t>
            </w:r>
          </w:p>
        </w:tc>
        <w:tc>
          <w:tcPr>
            <w:tcW w:type="dxa" w:w="397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Índice IUX único de 0 a 10 en 8 dimensiones, con la norma incumplida y la corrección de cada fallo.</w:t>
            </w:r>
          </w:p>
        </w:tc>
      </w:tr>
      <w:tr>
        <w:trPr>
          <w:cantSplit/>
        </w:trPr>
        <w:tc>
          <w:tcPr>
            <w:tcW w:type="dxa" w:w="45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15</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Los principios clásicos de usabilidad (Krug) no se automatizan</w:t>
            </w:r>
          </w:p>
        </w:tc>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La prueba del tronco, castigar formatos, el texto de relleno o los enlaces que no parecen enlaces se revisan siempre a mano.</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Automatiza la prueba del tronco (NAV-PRUEBA-TRONCO), los formatos rígidos (FORM-FORMATO-LIBRE), las palabras innecesarias (VIS-PALABRAS-INNECESARIAS) y los enlaces indistinguibles (INT-ENLACES-DISTINGUIBLES); el resto, en el cuestionario.</w:t>
            </w:r>
          </w:p>
        </w:tc>
      </w:tr>
    </w:tbl>
    <w:p>
      <w:pPr>
        <w:spacing w:after="200" w:before="60"/>
        <w:jc w:val="center"/>
      </w:pPr>
      <w:r>
        <w:rPr>
          <w:i/>
          <w:iCs/>
          <w:color w:val="475569"/>
          <w:sz w:val="18"/>
          <w:szCs w:val="18"/>
        </w:rPr>
        <w:t xml:space="preserve">Tabla 5. Huecos del estado del arte y cómo los cubre el UX-Auditor.</w:t>
      </w:r>
    </w:p>
    <w:p>
      <w:pPr>
        <w:pBdr>
          <w:left w:val="single" w:color="4F46E5" w:sz="18" w:space="8"/>
        </w:pBdr>
        <w:shd w:fill="EEF2FF" w:color="auto" w:val="clear"/>
        <w:spacing w:after="160" w:before="80" w:line="264"/>
        <w:ind w:left="160"/>
      </w:pPr>
      <w:r>
        <w:rPr>
          <w:b/>
          <w:bCs/>
        </w:rPr>
        <w:t xml:space="preserve">Conclusión:</w:t>
      </w:r>
      <w:r>
        <w:t xml:space="preserve"> las herramientas actuales son buenas, pero están </w:t>
      </w:r>
      <w:r>
        <w:rPr>
          <w:b/>
          <w:bCs/>
        </w:rPr>
        <w:t xml:space="preserve">aisladas</w:t>
      </w:r>
      <w:r>
        <w:t xml:space="preserve">, solo miran la página en su estado inicial y </w:t>
      </w:r>
      <w:r>
        <w:rPr>
          <w:b/>
          <w:bCs/>
        </w:rPr>
        <w:t xml:space="preserve">no evalúan ética, privacidad, adaptación al usuario ni lenguaje</w:t>
      </w:r>
      <w:r>
        <w:t xml:space="preserve">. Nuestra métrica (03) y nuestro auditor (04) cubren estos 15 huecos con 23 comprobaciones automáticas nuevas, una dimensión nueva (D8 Ética, privacidad y sostenibilidad) y un modo de puntuación estricto.</w:t>
      </w:r>
    </w:p>
    <w:p>
      <w:pPr>
        <w:pStyle w:val="Heading1"/>
        <w:pageBreakBefore/>
      </w:pPr>
      <w:bookmarkStart w:id="1015" w:name="_Toc900015"/>
      <w:r>
        <w:t xml:space="preserve">03- Sistema de métrica</w:t>
      </w:r>
      <w:bookmarkEnd w:id="1015"/>
    </w:p>
    <w:p>
      <w:pPr>
        <w:spacing w:after="120" w:line="276"/>
      </w:pPr>
      <w:r>
        <w:t xml:space="preserve">Hemos diseñado el </w:t>
      </w:r>
      <w:r>
        <w:rPr>
          <w:b/>
          <w:bCs/>
        </w:rPr>
        <w:t xml:space="preserve">Índice de Experiencia de Usuario (IUX)</w:t>
      </w:r>
      <w:r>
        <w:t xml:space="preserve">, una puntuación de </w:t>
      </w:r>
      <w:r>
        <w:rPr>
          <w:b/>
          <w:bCs/>
        </w:rPr>
        <w:t xml:space="preserve">0 a 10</w:t>
      </w:r>
      <w:r>
        <w:t xml:space="preserve"> que resume la calidad UX de una web o aplicación. Se construye a partir de los estándares del apartado 01 y de las prácticas del apartado 02, y está pensado para que el auditor (04) la calcule de forma repetible.</w:t>
      </w:r>
    </w:p>
    <w:p>
      <w:pPr>
        <w:pStyle w:val="Heading2"/>
      </w:pPr>
      <w:bookmarkStart w:id="1016" w:name="_Toc900016"/>
      <w:r>
        <w:t xml:space="preserve">3.1 Dimensiones y pesos</w:t>
      </w:r>
      <w:bookmarkEnd w:id="1016"/>
    </w:p>
    <w:p>
      <w:pPr>
        <w:spacing w:after="120" w:line="276"/>
      </w:pPr>
      <w:r>
        <w:t xml:space="preserve">El orden y los pesos siguen la prioridad de impacto de la skill UI UX Pro Max (la accesibilidad y la interacción son «críticas») y el carácter obligatorio de WCAG 2.2 AA. La versión 2 añade la dimensión </w:t>
      </w:r>
      <w:r>
        <w:rPr>
          <w:b/>
          <w:bCs/>
        </w:rPr>
        <w:t xml:space="preserve">D8 Ética, privacidad y sostenibilidad</w:t>
      </w:r>
      <w:r>
        <w:t xml:space="preserve">, para cubrir los huecos del apartado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00"/>
        <w:gridCol w:w="2200"/>
        <w:gridCol w:w="3926"/>
      </w:tblGrid>
      <w:tr>
        <w:trPr>
          <w:tblHeader/>
        </w:trPr>
        <w:tc>
          <w:tcPr>
            <w:tcW w:type="dxa" w:w="5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w:t>
            </w:r>
          </w:p>
        </w:tc>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Dimensión</w:t>
            </w:r>
          </w:p>
        </w:tc>
        <w:tc>
          <w:tcPr>
            <w:tcW w:type="dxa" w:w="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Peso</w:t>
            </w:r>
          </w:p>
        </w:tc>
        <w:tc>
          <w:tcPr>
            <w:tcW w:type="dxa" w:w="2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Fundamento (01/02)</w:t>
            </w:r>
          </w:p>
        </w:tc>
        <w:tc>
          <w:tcPr>
            <w:tcW w:type="dxa" w:w="39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Qué se comprueba (ejemplos)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D1</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Accesibilidad</w:t>
            </w:r>
          </w:p>
        </w:tc>
        <w:tc>
          <w:tcPr>
            <w:tcW w:type="dxa" w:w="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25 %</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WCAG 2.2 AA, EN 301 549, EAA</w:t>
            </w:r>
          </w:p>
        </w:tc>
        <w:tc>
          <w:tcPr>
            <w:tcW w:type="dxa" w:w="39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Contraste, texto alternativo útil, teclado real (orden, trampas, foco visible y no tapado), reflujo, espaciado de texto, letra del usuario al 200 %, alto contraste, modo oscuro, orientación, multimedia.</w:t>
            </w:r>
          </w:p>
        </w:tc>
      </w:tr>
      <w:tr>
        <w:trPr>
          <w:cantSplit/>
        </w:trPr>
        <w:tc>
          <w:tcPr>
            <w:tcW w:type="dxa" w:w="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D2</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Usabilidad e interacción</w:t>
            </w:r>
          </w:p>
        </w:tc>
        <w:tc>
          <w:tcPr>
            <w:tcW w:type="dxa" w:w="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15 %</w:t>
            </w:r>
          </w:p>
        </w:tc>
        <w:tc>
          <w:tcPr>
            <w:tcW w:type="dxa" w:w="2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ISO 9241-110, Nielsen, Krug, leyes de Fitts y Hick</w:t>
            </w:r>
          </w:p>
        </w:tc>
        <w:tc>
          <w:tcPr>
            <w:tcW w:type="dxa" w:w="39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Objetivos táctiles ≥ 44 px, que lo clicable se vea clicable, una llamada a la acción principal, «No me hagas pensar», reserva de buena voluntad.</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D3</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Rendimiento percibido</w:t>
            </w:r>
          </w:p>
        </w:tc>
        <w:tc>
          <w:tcPr>
            <w:tcW w:type="dxa" w:w="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15 %</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Core Web Vitals, umbral de Doherty</w:t>
            </w:r>
          </w:p>
        </w:tc>
        <w:tc>
          <w:tcPr>
            <w:tcW w:type="dxa" w:w="39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LCP, CLS, TBT (aproximación de INP en laboratorio), peso, imágenes y fuentes.</w:t>
            </w:r>
          </w:p>
        </w:tc>
      </w:tr>
      <w:tr>
        <w:trPr>
          <w:cantSplit/>
        </w:trPr>
        <w:tc>
          <w:tcPr>
            <w:tcW w:type="dxa" w:w="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D4</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Diseño visual y contenido</w:t>
            </w:r>
          </w:p>
        </w:tc>
        <w:tc>
          <w:tcPr>
            <w:tcW w:type="dxa" w:w="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10 %</w:t>
            </w:r>
          </w:p>
        </w:tc>
        <w:tc>
          <w:tcPr>
            <w:tcW w:type="dxa" w:w="2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Gestalt, Krug, ISO 24495-1, COGA</w:t>
            </w:r>
          </w:p>
        </w:tc>
        <w:tc>
          <w:tcPr>
            <w:tcW w:type="dxa" w:w="39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Tamaño de texto e interlineado, tamaños intermedios sin roturas, legibilidad, sin palabras innecesarias, sin texto justificado ni en mayúsculas.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D5</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Formularios y feedback</w:t>
            </w:r>
          </w:p>
        </w:tc>
        <w:tc>
          <w:tcPr>
            <w:tcW w:type="dxa" w:w="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10 %</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Heurísticas 1, 5 y 9 de Nielsen; GOV.UK</w:t>
            </w:r>
          </w:p>
        </w:tc>
        <w:tc>
          <w:tcPr>
            <w:tcW w:type="dxa" w:w="39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Etiquetas visibles, campos obligatorios indicados, autocompletado, permitir pegar contraseñas, resumen de errores.</w:t>
            </w:r>
          </w:p>
        </w:tc>
      </w:tr>
      <w:tr>
        <w:trPr>
          <w:cantSplit/>
        </w:trPr>
        <w:tc>
          <w:tcPr>
            <w:tcW w:type="dxa" w:w="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D6</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Navegación y arquitectura de la información</w:t>
            </w:r>
          </w:p>
        </w:tc>
        <w:tc>
          <w:tcPr>
            <w:tcW w:type="dxa" w:w="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10 %</w:t>
            </w:r>
          </w:p>
        </w:tc>
        <w:tc>
          <w:tcPr>
            <w:tcW w:type="dxa" w:w="2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Ley de Jakob, Krug (prueba del tronco), WCAG 3.2.3</w:t>
            </w:r>
          </w:p>
        </w:tc>
        <w:tc>
          <w:tcPr>
            <w:tcW w:type="dxa" w:w="39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Prueba del tronco, título, regiones, «saltar al contenido», texto de enlaces, menús ≤ 7, consistencia entre páginas.</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D7</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Satisfacción percibida (opcional)</w:t>
            </w:r>
          </w:p>
        </w:tc>
        <w:tc>
          <w:tcPr>
            <w:tcW w:type="dxa" w:w="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5 %</w:t>
            </w:r>
          </w:p>
        </w:tc>
        <w:tc>
          <w:tcPr>
            <w:tcW w:type="dxa" w:w="2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SUS, ISO 9241-11</w:t>
            </w:r>
          </w:p>
        </w:tc>
        <w:tc>
          <w:tcPr>
            <w:tcW w:type="dxa" w:w="39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Puntuación SUS de una prueba con al menos 5 usuarios.</w:t>
            </w:r>
          </w:p>
        </w:tc>
      </w:tr>
      <w:tr>
        <w:trPr>
          <w:cantSplit/>
        </w:trPr>
        <w:tc>
          <w:tcPr>
            <w:tcW w:type="dxa" w:w="5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D8</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Ética, privacidad y sostenibilidad</w:t>
            </w:r>
          </w:p>
        </w:tc>
        <w:tc>
          <w:tcPr>
            <w:tcW w:type="dxa" w:w="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10 %</w:t>
            </w:r>
          </w:p>
        </w:tc>
        <w:tc>
          <w:tcPr>
            <w:tcW w:type="dxa" w:w="2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RGPD, Guía de cookies AEPD, DSA art. 25, Reglamento de IA, W3C WSG</w:t>
            </w:r>
          </w:p>
        </w:tc>
        <w:tc>
          <w:tcPr>
            <w:tcW w:type="dxa" w:w="39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Rechazar cookies tan fácil como aceptarlas, sin rastreo previo, sin casillas premarcadas, sin confirmshaming ni urgencia falsa, costes visibles, baja fácil, CO2 por visita.</w:t>
            </w:r>
          </w:p>
        </w:tc>
      </w:tr>
    </w:tbl>
    <w:p>
      <w:pPr>
        <w:spacing w:after="200" w:before="60"/>
        <w:jc w:val="center"/>
      </w:pPr>
      <w:r>
        <w:rPr>
          <w:i/>
          <w:iCs/>
          <w:color w:val="475569"/>
          <w:sz w:val="18"/>
          <w:szCs w:val="18"/>
        </w:rPr>
        <w:t xml:space="preserve">Tabla 6. Dimensiones del Índice IUX (versión 2).</w:t>
      </w:r>
    </w:p>
    <w:p>
      <w:pPr>
        <w:pStyle w:val="Heading2"/>
      </w:pPr>
      <w:bookmarkStart w:id="1017" w:name="_Toc900017"/>
      <w:r>
        <w:t xml:space="preserve">3.2 Cálculo de cada dimensión</w:t>
      </w:r>
      <w:bookmarkEnd w:id="1017"/>
    </w:p>
    <w:p>
      <w:pPr>
        <w:spacing w:after="120" w:line="276"/>
      </w:pPr>
      <w:r>
        <w:t xml:space="preserve">Cada dimensión contiene una lista de </w:t>
      </w:r>
      <w:r>
        <w:rPr>
          <w:b/>
          <w:bCs/>
        </w:rPr>
        <w:t xml:space="preserve">comprobaciones</w:t>
      </w:r>
      <w:r>
        <w:t xml:space="preserve"> (reglas). Cada regla tiene una </w:t>
      </w:r>
      <w:r>
        <w:rPr>
          <w:b/>
          <w:bCs/>
        </w:rPr>
        <w:t xml:space="preserve">severidad</w:t>
      </w:r>
      <w:r>
        <w:t xml:space="preserve"> que fija su peso, tomada de la clasificación de la base de datos de UI UX Pro Max: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W w:type="dxa" w:w="18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Severidad</w:t>
            </w:r>
          </w:p>
        </w:tc>
        <w:tc>
          <w:tcPr>
            <w:tcW w:type="dxa" w:w="1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Peso w</w:t>
            </w:r>
          </w:p>
        </w:tc>
        <w:tc>
          <w:tcPr>
            <w:tcW w:type="dxa" w:w="60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Significado</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Crítica</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4</w:t>
            </w:r>
          </w:p>
        </w:tc>
        <w:tc>
          <w:tcPr>
            <w:tcW w:type="dxa" w:w="6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Impide completar una tarea o excluye a un grupo de usuarios.</w:t>
            </w:r>
          </w:p>
        </w:tc>
      </w:tr>
      <w:tr>
        <w:trPr>
          <w:cantSplit/>
        </w:trPr>
        <w:tc>
          <w:tcPr>
            <w:tcW w:type="dxa" w:w="18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Alta</w:t>
            </w:r>
          </w:p>
        </w:tc>
        <w:tc>
          <w:tcPr>
            <w:tcW w:type="dxa" w:w="1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3</w:t>
            </w:r>
          </w:p>
        </w:tc>
        <w:tc>
          <w:tcPr>
            <w:tcW w:type="dxa" w:w="60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Dificulta seriamente la tarea o incumple WCAG AA.</w:t>
            </w:r>
          </w:p>
        </w:tc>
      </w:tr>
      <w:tr>
        <w:trPr>
          <w:cantSplit/>
        </w:trPr>
        <w:tc>
          <w:tcPr>
            <w:tcW w:type="dxa" w:w="1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Media</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2</w:t>
            </w:r>
          </w:p>
        </w:tc>
        <w:tc>
          <w:tcPr>
            <w:tcW w:type="dxa" w:w="60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Molestia evidente, el usuario la supera con esfuerzo.</w:t>
            </w:r>
          </w:p>
        </w:tc>
      </w:tr>
      <w:tr>
        <w:trPr>
          <w:cantSplit/>
        </w:trPr>
        <w:tc>
          <w:tcPr>
            <w:tcW w:type="dxa" w:w="18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Baja</w:t>
            </w:r>
          </w:p>
        </w:tc>
        <w:tc>
          <w:tcPr>
            <w:tcW w:type="dxa" w:w="1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w:t>
            </w:r>
          </w:p>
        </w:tc>
        <w:tc>
          <w:tcPr>
            <w:tcW w:type="dxa" w:w="60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Detalle de calidad o de pulido.</w:t>
            </w:r>
          </w:p>
        </w:tc>
      </w:tr>
    </w:tbl>
    <w:p>
      <w:pPr>
        <w:spacing w:after="120"/>
      </w:pPr>
    </w:p>
    <w:p>
      <w:pPr>
        <w:spacing w:after="120" w:line="276"/>
      </w:pPr>
      <w:r>
        <w:t xml:space="preserve">Cada regla se evalúa como </w:t>
      </w:r>
      <w:r>
        <w:rPr>
          <w:b/>
          <w:bCs/>
        </w:rPr>
        <w:t xml:space="preserve">Cumple (1)</w:t>
      </w:r>
      <w:r>
        <w:t xml:space="preserve">, </w:t>
      </w:r>
      <w:r>
        <w:rPr>
          <w:b/>
          <w:bCs/>
        </w:rPr>
        <w:t xml:space="preserve">Cumple parcialmente (0,5)</w:t>
      </w:r>
      <w:r>
        <w:t xml:space="preserve">, </w:t>
      </w:r>
      <w:r>
        <w:rPr>
          <w:b/>
          <w:bCs/>
        </w:rPr>
        <w:t xml:space="preserve">No cumple (0)</w:t>
      </w:r>
      <w:r>
        <w:t xml:space="preserve"> o </w:t>
      </w:r>
      <w:r>
        <w:rPr>
          <w:b/>
          <w:bCs/>
        </w:rPr>
        <w:t xml:space="preserve">No aplica</w:t>
      </w:r>
      <w:r>
        <w:t xml:space="preserve"> (se excluye del cálculo). En las reglas que cuentan elementos, «parcial» exige que al menos el </w:t>
      </w:r>
      <w:r>
        <w:rPr>
          <w:b/>
          <w:bCs/>
        </w:rPr>
        <w:t xml:space="preserve">90 %</w:t>
      </w:r>
      <w:r>
        <w:t xml:space="preserve"> de los elementos sean correctos (el </w:t>
      </w:r>
      <w:r>
        <w:rPr>
          <w:b/>
          <w:bCs/>
        </w:rPr>
        <w:t xml:space="preserve">95 %</w:t>
      </w:r>
      <w:r>
        <w:t xml:space="preserve"> en modo estricto). La nota de la dimensión es:</w:t>
      </w:r>
    </w:p>
    <w:p>
      <w:pPr>
        <w:shd w:fill="F1F5F9" w:color="auto" w:val="clear"/>
        <w:spacing w:after="160" w:line="240"/>
        <w:ind w:left="200" w:right="200"/>
      </w:pPr>
      <w:r>
        <w:rPr>
          <w:rFonts w:ascii="Consolas" w:cs="Consolas" w:eastAsia="Consolas" w:hAnsi="Consolas"/>
          <w:color w:val="0F172A"/>
          <w:sz w:val="17"/>
          <w:szCs w:val="17"/>
        </w:rPr>
        <w:t xml:space="preserve">Nota(Dk) = 10 × Σ (wᵢ × resultadoᵢ) / Σ wᵢ        (solo reglas aplicables)</w:t>
      </w:r>
    </w:p>
    <w:p>
      <w:pPr>
        <w:spacing w:after="120" w:line="276"/>
      </w:pPr>
      <w:r>
        <w:rPr>
          <w:b/>
          <w:bCs/>
        </w:rPr>
        <w:t xml:space="preserve">Reglas de métrica:</w:t>
      </w:r>
      <w:r>
        <w:t xml:space="preserve"> se puntúan con una escala continua por tramos (interpolación lineal entre 10, 5 y 0 puntos). El modo estricto exige más. Por ejemplo, el «bueno» de Google solo da 5 puntos: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tblHeader/>
        </w:trPr>
        <w:tc>
          <w:tcPr>
            <w:tcW w:type="dxa" w:w="2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Métrica</w:t>
            </w:r>
          </w:p>
        </w:tc>
        <w:tc>
          <w:tcPr>
            <w:tcW w:type="dxa" w:w="3063"/>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Estándar: 10 · 5 · 0 puntos</w:t>
            </w:r>
          </w:p>
        </w:tc>
        <w:tc>
          <w:tcPr>
            <w:tcW w:type="dxa" w:w="3063"/>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Estricto: 10 · 5 · 0 puntos</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LCP (carga)</w:t>
            </w:r>
          </w:p>
        </w:tc>
        <w:tc>
          <w:tcPr>
            <w:tcW w:type="dxa" w:w="306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2,5 s · 4,0 s · 6,0 s</w:t>
            </w:r>
          </w:p>
        </w:tc>
        <w:tc>
          <w:tcPr>
            <w:tcW w:type="dxa" w:w="306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1,8 s · 2,5 s · 4,0 s</w:t>
            </w:r>
          </w:p>
        </w:tc>
      </w:tr>
      <w:tr>
        <w:trPr>
          <w:cantSplit/>
        </w:trPr>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CLS (estabilidad)</w:t>
            </w:r>
          </w:p>
        </w:tc>
        <w:tc>
          <w:tcPr>
            <w:tcW w:type="dxa" w:w="3063"/>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0,10 · 0,25 · 0,40</w:t>
            </w:r>
          </w:p>
        </w:tc>
        <w:tc>
          <w:tcPr>
            <w:tcW w:type="dxa" w:w="3063"/>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0,05 · 0,10 · 0,25</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TBT (≈ INP)</w:t>
            </w:r>
          </w:p>
        </w:tc>
        <w:tc>
          <w:tcPr>
            <w:tcW w:type="dxa" w:w="306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200 · 600 · 1000 ms</w:t>
            </w:r>
          </w:p>
        </w:tc>
        <w:tc>
          <w:tcPr>
            <w:tcW w:type="dxa" w:w="306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100 · 200 · 600 ms</w:t>
            </w:r>
          </w:p>
        </w:tc>
      </w:tr>
      <w:tr>
        <w:trPr>
          <w:cantSplit/>
        </w:trPr>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Peso de la página</w:t>
            </w:r>
          </w:p>
        </w:tc>
        <w:tc>
          <w:tcPr>
            <w:tcW w:type="dxa" w:w="3063"/>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1,6 · 3,0 · 5,0 MB</w:t>
            </w:r>
          </w:p>
        </w:tc>
        <w:tc>
          <w:tcPr>
            <w:tcW w:type="dxa" w:w="3063"/>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1,0 · 1,6 · 3,0 MB</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CO2e por visita (SWD v4)</w:t>
            </w:r>
          </w:p>
        </w:tc>
        <w:tc>
          <w:tcPr>
            <w:tcW w:type="dxa" w:w="306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0,079 · 0,209 · 0,359 g (A · C · E)</w:t>
            </w:r>
          </w:p>
        </w:tc>
        <w:tc>
          <w:tcPr>
            <w:tcW w:type="dxa" w:w="306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0,040 · 0,145 · 0,278 g (A+ · B · D)</w:t>
            </w:r>
          </w:p>
        </w:tc>
      </w:tr>
      <w:tr>
        <w:trPr>
          <w:cantSplit/>
        </w:trPr>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Legibilidad Fernández-Huerta (español, más alto = mejor)</w:t>
            </w:r>
          </w:p>
        </w:tc>
        <w:tc>
          <w:tcPr>
            <w:tcW w:type="dxa" w:w="3063"/>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70 · 60 · 50</w:t>
            </w:r>
          </w:p>
        </w:tc>
        <w:tc>
          <w:tcPr>
            <w:tcW w:type="dxa" w:w="3063"/>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75 · 65 · 55</w:t>
            </w:r>
          </w:p>
        </w:tc>
      </w:tr>
    </w:tbl>
    <w:p>
      <w:pPr>
        <w:spacing w:after="120"/>
      </w:pPr>
    </w:p>
    <w:p>
      <w:pPr>
        <w:spacing w:after="120" w:line="276"/>
      </w:pPr>
      <w:r>
        <w:rPr>
          <w:b/>
          <w:bCs/>
        </w:rPr>
        <w:t xml:space="preserve">Caso especial de D7 (satisfacción):</w:t>
      </w:r>
      <w:r>
        <w:t xml:space="preserve"> Nota(D7) = SUS / 10. Si no se hace prueba con usuarios, D7 se omite y los pesos restantes se </w:t>
      </w:r>
      <w:r>
        <w:rPr>
          <w:b/>
          <w:bCs/>
        </w:rPr>
        <w:t xml:space="preserve">reescalan</w:t>
      </w:r>
      <w:r>
        <w:t xml:space="preserve"> para sumar el 100 %.</w:t>
      </w:r>
    </w:p>
    <w:p>
      <w:pPr>
        <w:pStyle w:val="Heading2"/>
      </w:pPr>
      <w:bookmarkStart w:id="1018" w:name="_Toc900018"/>
      <w:r>
        <w:t xml:space="preserve">3.3 Índice global, techos y modo estricto</w:t>
      </w:r>
      <w:bookmarkEnd w:id="1018"/>
    </w:p>
    <w:p>
      <w:pPr>
        <w:shd w:fill="F1F5F9" w:color="auto" w:val="clear"/>
        <w:spacing w:after="0" w:line="240"/>
        <w:ind w:left="200" w:right="200"/>
      </w:pPr>
      <w:r>
        <w:rPr>
          <w:rFonts w:ascii="Consolas" w:cs="Consolas" w:eastAsia="Consolas" w:hAnsi="Consolas"/>
          <w:color w:val="0F172A"/>
          <w:sz w:val="17"/>
          <w:szCs w:val="17"/>
        </w:rPr>
        <w:t xml:space="preserve">IUX = Σ (Pesoₖ × Nota(Dk)) / Σ Pesoₖ          (solo dimensiones con datos)</w:t>
      </w:r>
    </w:p>
    <w:p>
      <w:pPr>
        <w:shd w:fill="F1F5F9" w:color="auto" w:val="clear"/>
        <w:spacing w:after="160" w:line="240"/>
        <w:ind w:left="200" w:right="200"/>
      </w:pPr>
      <w:r>
        <w:rPr>
          <w:rFonts w:ascii="Consolas" w:cs="Consolas" w:eastAsia="Consolas" w:hAnsi="Consolas"/>
          <w:color w:val="0F172A"/>
          <w:sz w:val="17"/>
          <w:szCs w:val="17"/>
        </w:rPr>
        <w:t xml:space="preserve">IUX_final = mín(IUX, techos aplicables)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Techo</w:t>
            </w:r>
          </w:p>
        </w:tc>
        <w:tc>
          <w:tcPr>
            <w:tcW w:type="dxa" w:w="24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Modo estándar</w:t>
            </w:r>
          </w:p>
        </w:tc>
        <w:tc>
          <w:tcPr>
            <w:tcW w:type="dxa" w:w="38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Modo estricto (por defecto)</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Fallo de severidad </w:t>
            </w:r>
            <w:r>
              <w:rPr>
                <w:b/>
                <w:bCs/>
                <w:sz w:val="18"/>
                <w:szCs w:val="18"/>
              </w:rPr>
              <w:t xml:space="preserve">crítica</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Solo en D1 → máx. 4,9</w:t>
            </w:r>
          </w:p>
        </w:tc>
        <w:tc>
          <w:tcPr>
            <w:tcW w:type="dxa" w:w="3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En </w:t>
            </w:r>
            <w:r>
              <w:rPr>
                <w:b/>
                <w:bCs/>
                <w:sz w:val="18"/>
                <w:szCs w:val="18"/>
              </w:rPr>
              <w:t xml:space="preserve">cualquier</w:t>
            </w:r>
            <w:r>
              <w:rPr>
                <w:b w:val="false"/>
                <w:bCs w:val="false"/>
                <w:sz w:val="18"/>
                <w:szCs w:val="18"/>
              </w:rPr>
              <w:t xml:space="preserve"> dimensión → máx. 4,9</w:t>
            </w:r>
          </w:p>
        </w:tc>
      </w:tr>
      <w:tr>
        <w:trPr>
          <w:cantSplit/>
        </w:trPr>
        <w:tc>
          <w:tcPr>
            <w:tcW w:type="dxa" w:w="28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Fallo de severidad </w:t>
            </w:r>
            <w:r>
              <w:rPr>
                <w:b/>
                <w:bCs/>
                <w:sz w:val="18"/>
                <w:szCs w:val="18"/>
              </w:rPr>
              <w:t xml:space="preserve">alta</w:t>
            </w:r>
            <w:r>
              <w:rPr>
                <w:b w:val="false"/>
                <w:bCs w:val="false"/>
                <w:sz w:val="18"/>
                <w:szCs w:val="18"/>
              </w:rPr>
              <w:t xml:space="preserve"> en accesibilidad (D1)</w:t>
            </w:r>
          </w:p>
        </w:tc>
        <w:tc>
          <w:tcPr>
            <w:tcW w:type="dxa" w:w="24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w:t>
            </w:r>
          </w:p>
        </w:tc>
        <w:tc>
          <w:tcPr>
            <w:tcW w:type="dxa" w:w="3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Máx. 6,9 (no cumple WCAG AA)</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Nivel </w:t>
            </w:r>
            <w:r>
              <w:rPr>
                <w:b/>
                <w:bCs/>
                <w:sz w:val="18"/>
                <w:szCs w:val="18"/>
              </w:rPr>
              <w:t xml:space="preserve">Excelente</w:t>
            </w:r>
            <w:r>
              <w:rPr>
                <w:b w:val="false"/>
                <w:bCs w:val="false"/>
                <w:sz w:val="18"/>
                <w:szCs w:val="18"/>
              </w:rPr>
              <w:t xml:space="preserve"> (≥ 9)</w:t>
            </w:r>
          </w:p>
        </w:tc>
        <w:tc>
          <w:tcPr>
            <w:tcW w:type="dxa" w:w="24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Sin condiciones</w:t>
            </w:r>
          </w:p>
        </w:tc>
        <w:tc>
          <w:tcPr>
            <w:tcW w:type="dxa" w:w="3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Exige cobertura ≥ 90 %, el cuestionario experto completo y ninguna regla alta o crítica incumplida, ni parcialmente. Si no se cumple, máx. 8,9.</w:t>
            </w:r>
          </w:p>
        </w:tc>
      </w:tr>
    </w:tbl>
    <w:p>
      <w:pPr>
        <w:spacing w:after="120" w:line="276"/>
      </w:pPr>
      <w:r>
        <w:t xml:space="preserve">Los techos evitan que una web bonita y rápida saque buena nota si, por ejemplo, no se puede usar con teclado o instala rastreadores sin permiso. El modo estricto es el predeterminado porque refleja obligaciones legales (EAA, RGPD, DSA) y porque las pruebas automáticas solo ven parte de los problemas: no se puede dar un «Excelente» sin la revisión experta. El informe explica siempre qué techo se ha aplicado y por qué.</w:t>
      </w:r>
    </w:p>
    <w:p>
      <w:pPr>
        <w:pStyle w:val="Heading2"/>
      </w:pPr>
      <w:bookmarkStart w:id="1019" w:name="_Toc900019"/>
      <w:r>
        <w:t xml:space="preserve">3.4 Escala de interpretación</w:t>
      </w:r>
      <w:bookmarkEnd w:id="10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IUX</w:t>
            </w:r>
          </w:p>
        </w:tc>
        <w:tc>
          <w:tcPr>
            <w:tcW w:type="dxa" w:w="1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Nivel</w:t>
            </w:r>
          </w:p>
        </w:tc>
        <w:tc>
          <w:tcPr>
            <w:tcW w:type="dxa" w:w="58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Interpretación</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9,0 – 10</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Excelente</w:t>
            </w:r>
          </w:p>
        </w:tc>
        <w:tc>
          <w:tcPr>
            <w:tcW w:type="dxa" w:w="5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Referente de buena práctica; cumple WCAG 2.2 AA.</w:t>
            </w:r>
          </w:p>
        </w:tc>
      </w:tr>
      <w:tr>
        <w:trPr>
          <w:cantSplit/>
        </w:trPr>
        <w:tc>
          <w:tcPr>
            <w:tcW w:type="dxa" w:w="1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7,0 – 8,9</w:t>
            </w:r>
          </w:p>
        </w:tc>
        <w:tc>
          <w:tcPr>
            <w:tcW w:type="dxa" w:w="1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Buena</w:t>
            </w:r>
          </w:p>
        </w:tc>
        <w:tc>
          <w:tcPr>
            <w:tcW w:type="dxa" w:w="5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Experiencia sólida con mejoras menores.</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5,0 – 6,9</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Aceptable</w:t>
            </w:r>
          </w:p>
        </w:tc>
        <w:tc>
          <w:tcPr>
            <w:tcW w:type="dxa" w:w="5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Usable, pero con problemas que afectan a parte de los usuarios.</w:t>
            </w:r>
          </w:p>
        </w:tc>
      </w:tr>
      <w:tr>
        <w:trPr>
          <w:cantSplit/>
        </w:trPr>
        <w:tc>
          <w:tcPr>
            <w:tcW w:type="dxa" w:w="1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3,0 – 4,9</w:t>
            </w:r>
          </w:p>
        </w:tc>
        <w:tc>
          <w:tcPr>
            <w:tcW w:type="dxa" w:w="1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Deficiente</w:t>
            </w:r>
          </w:p>
        </w:tc>
        <w:tc>
          <w:tcPr>
            <w:tcW w:type="dxa" w:w="5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Problemas graves o fallo crítico de accesibilidad.</w:t>
            </w:r>
          </w:p>
        </w:tc>
      </w:tr>
      <w:tr>
        <w:trPr>
          <w:cantSplit/>
        </w:trPr>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0 – 2,9</w:t>
            </w:r>
          </w:p>
        </w:tc>
        <w:tc>
          <w:tcPr>
            <w:tcW w:type="dxa" w:w="1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Crítica</w:t>
            </w:r>
          </w:p>
        </w:tc>
        <w:tc>
          <w:tcPr>
            <w:tcW w:type="dxa" w:w="5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La experiencia impide usar el producto con normalidad.</w:t>
            </w:r>
          </w:p>
        </w:tc>
      </w:tr>
    </w:tbl>
    <w:p>
      <w:pPr>
        <w:pStyle w:val="Heading2"/>
      </w:pPr>
      <w:bookmarkStart w:id="1020" w:name="_Toc900020"/>
      <w:r>
        <w:t xml:space="preserve">3.5 Ejemplo de cálculo</w:t>
      </w:r>
      <w:bookmarkEnd w:id="1020"/>
    </w:p>
    <w:p>
      <w:pPr>
        <w:spacing w:after="120" w:line="276"/>
      </w:pPr>
      <w:r>
        <w:t xml:space="preserve">Auditoría de una web de reservas de un restaurante (sin prueba SUS, así que D7 se omite y los pesos se reescalan al 95 %):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1200"/>
        <w:gridCol w:w="1826"/>
      </w:tblGrid>
      <w:tr>
        <w:trPr>
          <w:tblHeader/>
        </w:trPr>
        <w:tc>
          <w:tcPr>
            <w:tcW w:type="dxa" w:w="50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Dimensión</w:t>
            </w:r>
          </w:p>
        </w:tc>
        <w:tc>
          <w:tcPr>
            <w:tcW w:type="dxa" w:w="10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Peso</w:t>
            </w:r>
          </w:p>
        </w:tc>
        <w:tc>
          <w:tcPr>
            <w:tcW w:type="dxa" w:w="12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Nota</w:t>
            </w:r>
          </w:p>
        </w:tc>
        <w:tc>
          <w:tcPr>
            <w:tcW w:type="dxa" w:w="18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Peso × Nota</w:t>
            </w:r>
          </w:p>
        </w:tc>
      </w:tr>
      <w:tr>
        <w:trPr>
          <w:cantSplit/>
        </w:trPr>
        <w:tc>
          <w:tcPr>
            <w:tcW w:type="dxa" w:w="5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D1 Accesibilidad (falla el contraste del pie, regla de severidad alta)</w:t>
            </w:r>
          </w:p>
        </w:tc>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25</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7,5</w:t>
            </w:r>
          </w:p>
        </w:tc>
        <w:tc>
          <w:tcPr>
            <w:tcW w:type="dxa" w:w="1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187,5</w:t>
            </w:r>
          </w:p>
        </w:tc>
      </w:tr>
      <w:tr>
        <w:trPr>
          <w:cantSplit/>
        </w:trPr>
        <w:tc>
          <w:tcPr>
            <w:tcW w:type="dxa" w:w="5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D2 Usabilidad e interacción</w:t>
            </w:r>
          </w:p>
        </w:tc>
        <w:tc>
          <w:tcPr>
            <w:tcW w:type="dxa" w:w="1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15</w:t>
            </w:r>
          </w:p>
        </w:tc>
        <w:tc>
          <w:tcPr>
            <w:tcW w:type="dxa" w:w="1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8,0</w:t>
            </w:r>
          </w:p>
        </w:tc>
        <w:tc>
          <w:tcPr>
            <w:tcW w:type="dxa" w:w="1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120,0</w:t>
            </w:r>
          </w:p>
        </w:tc>
      </w:tr>
      <w:tr>
        <w:trPr>
          <w:cantSplit/>
        </w:trPr>
        <w:tc>
          <w:tcPr>
            <w:tcW w:type="dxa" w:w="5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D3 Rendimiento</w:t>
            </w:r>
          </w:p>
        </w:tc>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15</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9,3</w:t>
            </w:r>
          </w:p>
        </w:tc>
        <w:tc>
          <w:tcPr>
            <w:tcW w:type="dxa" w:w="1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139,5</w:t>
            </w:r>
          </w:p>
        </w:tc>
      </w:tr>
      <w:tr>
        <w:trPr>
          <w:cantSplit/>
        </w:trPr>
        <w:tc>
          <w:tcPr>
            <w:tcW w:type="dxa" w:w="5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D4 Diseño visual y contenido</w:t>
            </w:r>
          </w:p>
        </w:tc>
        <w:tc>
          <w:tcPr>
            <w:tcW w:type="dxa" w:w="1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10</w:t>
            </w:r>
          </w:p>
        </w:tc>
        <w:tc>
          <w:tcPr>
            <w:tcW w:type="dxa" w:w="1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8,5</w:t>
            </w:r>
          </w:p>
        </w:tc>
        <w:tc>
          <w:tcPr>
            <w:tcW w:type="dxa" w:w="1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85,0</w:t>
            </w:r>
          </w:p>
        </w:tc>
      </w:tr>
      <w:tr>
        <w:trPr>
          <w:cantSplit/>
        </w:trPr>
        <w:tc>
          <w:tcPr>
            <w:tcW w:type="dxa" w:w="5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D5 Formularios (campos obligatorios sin indicar)</w:t>
            </w:r>
          </w:p>
        </w:tc>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10</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6,0</w:t>
            </w:r>
          </w:p>
        </w:tc>
        <w:tc>
          <w:tcPr>
            <w:tcW w:type="dxa" w:w="1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60,0</w:t>
            </w:r>
          </w:p>
        </w:tc>
      </w:tr>
      <w:tr>
        <w:trPr>
          <w:cantSplit/>
        </w:trPr>
        <w:tc>
          <w:tcPr>
            <w:tcW w:type="dxa" w:w="5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D6 Navegación</w:t>
            </w:r>
          </w:p>
        </w:tc>
        <w:tc>
          <w:tcPr>
            <w:tcW w:type="dxa" w:w="1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10</w:t>
            </w:r>
          </w:p>
        </w:tc>
        <w:tc>
          <w:tcPr>
            <w:tcW w:type="dxa" w:w="1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9,0</w:t>
            </w:r>
          </w:p>
        </w:tc>
        <w:tc>
          <w:tcPr>
            <w:tcW w:type="dxa" w:w="1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90,0</w:t>
            </w:r>
          </w:p>
        </w:tc>
      </w:tr>
      <w:tr>
        <w:trPr>
          <w:cantSplit/>
        </w:trPr>
        <w:tc>
          <w:tcPr>
            <w:tcW w:type="dxa" w:w="5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D8 Ética (en el banner de cookies, «Rechazar» es un enlace pequeño)</w:t>
            </w:r>
          </w:p>
        </w:tc>
        <w:tc>
          <w:tcPr>
            <w:tcW w:type="dxa" w:w="1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10</w:t>
            </w:r>
          </w:p>
        </w:tc>
        <w:tc>
          <w:tcPr>
            <w:tcW w:type="dxa" w:w="12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6,5</w:t>
            </w:r>
          </w:p>
        </w:tc>
        <w:tc>
          <w:tcPr>
            <w:tcW w:type="dxa" w:w="1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65,0</w:t>
            </w:r>
          </w:p>
        </w:tc>
      </w:tr>
      <w:tr>
        <w:trPr>
          <w:cantSplit/>
        </w:trPr>
        <w:tc>
          <w:tcPr>
            <w:tcW w:type="dxa" w:w="5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Total</w:t>
            </w:r>
          </w:p>
        </w:tc>
        <w:tc>
          <w:tcPr>
            <w:tcW w:type="dxa" w:w="1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95</w:t>
            </w:r>
          </w:p>
        </w:tc>
        <w:tc>
          <w:tcPr>
            <w:tcW w:type="dxa" w:w="12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p>
        </w:tc>
        <w:tc>
          <w:tcPr>
            <w:tcW w:type="dxa" w:w="1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747,0</w:t>
            </w:r>
          </w:p>
        </w:tc>
      </w:tr>
    </w:tbl>
    <w:p>
      <w:pPr>
        <w:spacing w:after="120"/>
      </w:pPr>
    </w:p>
    <w:p>
      <w:pPr>
        <w:spacing w:after="120" w:line="276"/>
      </w:pPr>
      <w:r>
        <w:rPr>
          <w:b/>
          <w:bCs/>
        </w:rPr>
        <w:t xml:space="preserve">IUX = 747,0 / 95 = 7,86.</w:t>
      </w:r>
      <w:r>
        <w:t xml:space="preserve"> En modo estándar sería «Buena». En </w:t>
      </w:r>
      <w:r>
        <w:rPr>
          <w:b/>
          <w:bCs/>
        </w:rPr>
        <w:t xml:space="preserve">modo estricto</w:t>
      </w:r>
      <w:r>
        <w:t xml:space="preserve">, el fallo de contraste (alta, D1) aplica el techo de 6,9, así que la nota final es </w:t>
      </w:r>
      <w:r>
        <w:rPr>
          <w:b/>
          <w:bCs/>
        </w:rPr>
        <w:t xml:space="preserve">6,9 → «Aceptable»</w:t>
      </w:r>
      <w:r>
        <w:t xml:space="preserve">. Si además el formulario no pudiera enviarse con teclado (fallo crítico), la nota bajaría a </w:t>
      </w:r>
      <w:r>
        <w:rPr>
          <w:b/>
          <w:bCs/>
        </w:rPr>
        <w:t xml:space="preserve">4,9 → «Deficiente»</w:t>
      </w:r>
      <w:r>
        <w:t xml:space="preserve">.</w:t>
      </w:r>
    </w:p>
    <w:p>
      <w:pPr>
        <w:pBdr>
          <w:left w:val="single" w:color="4F46E5" w:sz="18" w:space="8"/>
        </w:pBdr>
        <w:shd w:fill="EEF2FF" w:color="auto" w:val="clear"/>
        <w:spacing w:after="160" w:before="80" w:line="264"/>
        <w:ind w:left="160"/>
      </w:pPr>
      <w:r>
        <w:rPr>
          <w:b/>
          <w:bCs/>
        </w:rPr>
        <w:t xml:space="preserve">Por qué esta métrica es válida:</w:t>
      </w:r>
      <w:r>
        <w:t xml:space="preserve"> es </w:t>
      </w:r>
      <w:r>
        <w:rPr>
          <w:b/>
          <w:bCs/>
        </w:rPr>
        <w:t xml:space="preserve">trazable</w:t>
      </w:r>
      <w:r>
        <w:t xml:space="preserve"> (cada punto perdido corresponde a una regla concreta con su norma), </w:t>
      </w:r>
      <w:r>
        <w:rPr>
          <w:b/>
          <w:bCs/>
        </w:rPr>
        <w:t xml:space="preserve">reproducible</w:t>
      </w:r>
      <w:r>
        <w:t xml:space="preserve"> (mismas reglas → misma nota), </w:t>
      </w:r>
      <w:r>
        <w:rPr>
          <w:b/>
          <w:bCs/>
        </w:rPr>
        <w:t xml:space="preserve">ponderada por impacto</w:t>
      </w:r>
      <w:r>
        <w:t xml:space="preserve"> (severidades) y </w:t>
      </w:r>
      <w:r>
        <w:rPr>
          <w:b/>
          <w:bCs/>
        </w:rPr>
        <w:t xml:space="preserve">comparable</w:t>
      </w:r>
      <w:r>
        <w:t xml:space="preserve"> entre versiones de un mismo producto.</w:t>
      </w:r>
    </w:p>
    <w:p>
      <w:pPr>
        <w:pStyle w:val="Heading1"/>
        <w:pageBreakBefore/>
      </w:pPr>
      <w:bookmarkStart w:id="1021" w:name="_Toc900021"/>
      <w:r>
        <w:t xml:space="preserve">04- Auditor Reutilizable</w:t>
      </w:r>
      <w:bookmarkEnd w:id="1021"/>
    </w:p>
    <w:p>
      <w:pPr>
        <w:spacing w:after="120" w:line="276"/>
      </w:pPr>
      <w:r>
        <w:t xml:space="preserve">El </w:t>
      </w:r>
      <w:r>
        <w:rPr>
          <w:b/>
          <w:bCs/>
        </w:rPr>
        <w:t xml:space="preserve">UX-Auditor</w:t>
      </w:r>
      <w:r>
        <w:t xml:space="preserve"> es una herramienta que analiza una web o aplicación, aplica las reglas de la métrica IUX y genera un informe con la nota de 0 a 10, los fallos detectados y cómo corregirlos. Es </w:t>
      </w:r>
      <w:r>
        <w:rPr>
          <w:b/>
          <w:bCs/>
        </w:rPr>
        <w:t xml:space="preserve">reutilizable</w:t>
      </w:r>
      <w:r>
        <w:t xml:space="preserve"> porque las reglas, los pesos y la plataforma se definen en ficheros de configuración, no en el código, y porque puede usarse en cualquier proyecto (por terminal, como librería o dentro de un pipeline de CI).</w:t>
      </w:r>
    </w:p>
    <w:p>
      <w:pPr>
        <w:pStyle w:val="Heading2"/>
      </w:pPr>
      <w:bookmarkStart w:id="1022" w:name="_Toc900022"/>
      <w:r>
        <w:t xml:space="preserve">4.1 Requisitos / Análisis</w:t>
      </w:r>
      <w:bookmarkEnd w:id="1022"/>
    </w:p>
    <w:p>
      <w:pPr>
        <w:pStyle w:val="Heading3"/>
      </w:pPr>
      <w:r>
        <w:t xml:space="preserve">Actores y casos de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Actor</w:t>
            </w:r>
          </w:p>
        </w:tc>
        <w:tc>
          <w:tcPr>
            <w:tcW w:type="dxa" w:w="64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Caso de uso principal</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Desarrollador/a</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Lanza una auditoría sobre su web local antes de subir cambios y corrige los fallos indicados.</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Diseñador/a UX</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Completa la parte experta (heurísticas) mediante un formulario guiado y revisa el informe.</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Pipeline de CI (GitHub Actions)</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Ejecuta el auditor en cada pull request y la bloquea si el IUX baja de un umbral.</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Profesor/a o cliente</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Consulta el informe HTML y la evolución de la puntuación.</w:t>
            </w:r>
          </w:p>
        </w:tc>
      </w:tr>
    </w:tbl>
    <w:p>
      <w:pPr>
        <w:pStyle w:val="Heading3"/>
      </w:pPr>
      <w:r>
        <w:t xml:space="preserve">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826"/>
        <w:gridCol w:w="1300"/>
      </w:tblGrid>
      <w:tr>
        <w:trPr>
          <w:tblHeader/>
        </w:trPr>
        <w:tc>
          <w:tcPr>
            <w:tcW w:type="dxa" w:w="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ID</w:t>
            </w:r>
          </w:p>
        </w:tc>
        <w:tc>
          <w:tcPr>
            <w:tcW w:type="dxa" w:w="68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Requisito</w:t>
            </w:r>
          </w:p>
        </w:tc>
        <w:tc>
          <w:tcPr>
            <w:tcW w:type="dxa" w:w="13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Prioridad</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RF-01</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Auditar una URL pública o local, o un conjunto de ficheros HTML.</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RF-02</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Ejecutar comprobaciones automáticas de accesibilidad (axe-core) y rendimiento (Core Web Vitals: LCP, CLS y TBT como aproximación de INP).</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RF-03</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Ejecutar comprobaciones propias sobre el DOM: tamaño de objetivos táctiles, tamaño de fuente, etiquetas de formulario, jerarquía de encabezados, uso de emojis como iconos, etc.</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RF-04</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Mostrar un formulario guiado para las reglas manuales (heurísticas) y guardar las respuestas.</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Media</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RF-05</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Importar una puntuación SUS opcional.</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Baja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RF-06</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Calcular la nota de cada dimensión y el índice IUX según el apartado 03, incluida la regla de bloqueo.</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RF-07</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Para cada fallo, adjuntar la recomendación de corrección (qué hacer / qué evitar / ejemplo de código) obtenida de la base de conocimiento de UI UX Pro Max.</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RF-08</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Generar informes en HTML, JSON y Markdown.</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RF-09</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Devolver un código de salida ≠ 0 si el IUX es inferior al umbral configurado (integración CI).</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Media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RF-10</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Guardar el histórico de auditorías y mostrar la evolución.</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Baja</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RF-11</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Detectar patrones oscuros y rastreo previo al consentimiento (huecos 1 y 2).</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RF-12</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Repetir las mediciones emulando las preferencias del usuario: espaciado de texto, letra al 200 %, alto contraste, modo oscuro, tamaños intermedios y orientación (huecos 4 y 6).</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RF-13</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Evaluar la calidad del contenido: textos alternativos, nombres accesibles, legibilidad y presentación cognitiva (huecos 3 y 7).</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RF-14</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Comparar la navegación entre las páginas auditadas del mismo sitio (hueco 8).</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Media</w:t>
            </w:r>
          </w:p>
        </w:tc>
      </w:tr>
      <w:tr>
        <w:trPr>
          <w:cantSplit/>
        </w:trPr>
        <w:tc>
          <w:tcPr>
            <w:tcW w:type="dxa" w:w="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RF-15</w:t>
            </w:r>
          </w:p>
        </w:tc>
        <w:tc>
          <w:tcPr>
            <w:tcW w:type="dxa" w:w="68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Ofrecer un modo estricto (por defecto) y uno estándar, e informar de los techos aplicados (hueco 13).</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Alta</w:t>
            </w:r>
          </w:p>
        </w:tc>
      </w:tr>
      <w:tr>
        <w:trPr>
          <w:cantSplit/>
        </w:trPr>
        <w:tc>
          <w:tcPr>
            <w:tcW w:type="dxa" w:w="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RF-16</w:t>
            </w:r>
          </w:p>
        </w:tc>
        <w:tc>
          <w:tcPr>
            <w:tcW w:type="dxa" w:w="68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Aplicar los principios de Steve Krug: prueba del tronco, formatos libres, palabras innecesarias, enlaces evidentes y 4 preguntas expertas (hueco 15).</w:t>
            </w:r>
          </w:p>
        </w:tc>
        <w:tc>
          <w:tcPr>
            <w:tcW w:type="dxa" w:w="13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Media</w:t>
            </w:r>
          </w:p>
        </w:tc>
      </w:tr>
    </w:tbl>
    <w:p>
      <w:pPr>
        <w:pStyle w:val="Heading3"/>
      </w:pPr>
      <w:r>
        <w:t xml:space="preserve">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ID</w:t>
            </w:r>
          </w:p>
        </w:tc>
        <w:tc>
          <w:tcPr>
            <w:tcW w:type="dxa" w:w="64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Requisito</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RNF-01 Reutilización</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Reglas, pesos, umbral y plataforma (web, móvil) definidos en ficheros YAML/CSV; añadir una regla no requiere modificar código.</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RNF-02 Extensibilidad</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Arquitectura de plugins: cada analizador implementa la misma interfaz </w:t>
            </w:r>
            <w:r>
              <w:rPr>
                <w:rFonts w:ascii="Consolas" w:cs="Consolas" w:eastAsia="Consolas" w:hAnsi="Consolas"/>
                <w:b w:val="false"/>
                <w:bCs w:val="false"/>
                <w:color w:val="3730A3"/>
                <w:sz w:val="16"/>
                <w:szCs w:val="16"/>
              </w:rPr>
              <w:t xml:space="preserve">Analizador.analizar(objetivo) → [Hallazgo]</w:t>
            </w:r>
            <w:r>
              <w:rPr>
                <w:b w:val="false"/>
                <w:bCs w:val="false"/>
                <w:sz w:val="18"/>
                <w:szCs w:val="18"/>
              </w:rPr>
              <w:t xml:space="preserve">.</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RNF-03 Trazabilidad</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Cada hallazgo indica la regla, la norma de referencia (p. ej. WCAG 2.2 – 1.4.3), la evidencia (selector CSS, captura) y la severidad.</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RNF-04 Reproducibilidad</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Misma entrada y misma configuración → misma puntuación (versión de reglas incluida en el informe).</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RNF-05 Rendimiento</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Auditoría automática de una página en menos de 60 segundos.</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RNF-06 Portabilidad</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Python 3 multiplataforma (Windows, Linux, macOS), igual que los scripts de la skill.</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RNF-07 Accesibilidad del propio informe</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El informe HTML cumple WCAG 2.2 AA (predicar con el ejemplo).</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RNF-08 Privacidad</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No envía datos del proyecto a servicios externos; todo se ejecuta en local.</w:t>
            </w:r>
          </w:p>
        </w:tc>
      </w:tr>
    </w:tbl>
    <w:p>
      <w:pPr>
        <w:pStyle w:val="Heading3"/>
      </w:pPr>
      <w:r>
        <w:t xml:space="preserve">Análisis de entradas y salidas</w:t>
      </w:r>
    </w:p>
    <w:p>
      <w:pPr>
        <w:pStyle w:val="ListParagraph"/>
        <w:numPr>
          <w:ilvl w:val="0"/>
          <w:numId w:val="2"/>
        </w:numPr>
        <w:spacing w:after="60" w:line="264"/>
      </w:pPr>
      <w:r>
        <w:rPr>
          <w:b/>
          <w:bCs/>
        </w:rPr>
        <w:t xml:space="preserve">Entradas:</w:t>
      </w:r>
      <w:r>
        <w:t xml:space="preserve"> URL o ruta, fichero de configuración del proyecto (</w:t>
      </w:r>
      <w:r>
        <w:rPr>
          <w:rFonts w:ascii="Consolas" w:cs="Consolas" w:eastAsia="Consolas" w:hAnsi="Consolas"/>
          <w:color w:val="3730A3"/>
          <w:sz w:val="20"/>
          <w:szCs w:val="20"/>
        </w:rPr>
        <w:t xml:space="preserve">uxaudit.yaml</w:t>
      </w:r>
      <w:r>
        <w:t xml:space="preserve">), respuestas del formulario experto (opcional) y puntuación SUS (opcional).</w:t>
      </w:r>
    </w:p>
    <w:p>
      <w:pPr>
        <w:pStyle w:val="ListParagraph"/>
        <w:numPr>
          <w:ilvl w:val="0"/>
          <w:numId w:val="2"/>
        </w:numPr>
        <w:spacing w:after="60" w:line="264"/>
      </w:pPr>
      <w:r>
        <w:rPr>
          <w:b/>
          <w:bCs/>
        </w:rPr>
        <w:t xml:space="preserve">Salidas:</w:t>
      </w:r>
      <w:r>
        <w:t xml:space="preserve"> informe con IUX global, nota por dimensión, lista de hallazgos ordenada por severidad con su corrección, y código de salida para CI.</w:t>
      </w:r>
    </w:p>
    <w:p>
      <w:pPr>
        <w:pStyle w:val="Heading2"/>
      </w:pPr>
      <w:bookmarkStart w:id="1023" w:name="_Toc900023"/>
      <w:r>
        <w:t xml:space="preserve">4.2 Diseño</w:t>
      </w:r>
      <w:bookmarkEnd w:id="1023"/>
    </w:p>
    <w:p>
      <w:pPr>
        <w:pStyle w:val="Heading3"/>
      </w:pPr>
      <w:r>
        <w:t xml:space="preserve">Arquitectura</w:t>
      </w:r>
    </w:p>
    <w:p>
      <w:pPr>
        <w:spacing w:after="120" w:line="276"/>
      </w:pPr>
      <w:r>
        <w:t xml:space="preserve">Arquitectura en cuatro etapas (tubería o pipeline) con una base de conocimiento compartida:</w:t>
      </w:r>
    </w:p>
    <w:p>
      <w:pPr>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200" w:before="60"/>
        <w:jc w:val="center"/>
      </w:pPr>
      <w:r>
        <w:rPr>
          <w:i/>
          <w:iCs/>
          <w:color w:val="475569"/>
          <w:sz w:val="18"/>
          <w:szCs w:val="18"/>
        </w:rPr>
        <w:t xml:space="preserve">Figura 1. Arquitectura del UX-Auditor.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Componente</w:t>
            </w:r>
          </w:p>
        </w:tc>
        <w:tc>
          <w:tcPr>
            <w:tcW w:type="dxa" w:w="64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Responsabilidad</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Adaptadores de entrada</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Abren el objetivo con un navegador headless (Playwright) en varios tamaños de pantalla (móvil 375 px, escritorio 1440 px).</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Analizadores</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axe-core 4.11 (accesibilidad); prueba real de teclado; observador de Core Web Vitals y red (LCP, CLS, TBT, peso, rastreadores, CO2); comprobaciones DOM propias; pruebas de huecos (patrones oscuros, calidad del contenido, adaptación al usuario) y cuestionario experto. Todo el JavaScript se ejecuta en un mundo aislado del navegador, para que la página no pueda falsear las mediciones.</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Motor de reglas</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Carga las reglas activas del perfil, las asigna a cada dimensión y fusiona hallazgos duplicados de distintos analizadores.</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Motor de puntuación</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Aplica las fórmulas del apartado 03, los techos y el modo estricto o estándar.</w:t>
            </w:r>
          </w:p>
        </w:tc>
      </w:tr>
      <w:tr>
        <w:trPr>
          <w:cantSplit/>
        </w:trPr>
        <w:tc>
          <w:tcPr>
            <w:tcW w:type="dxa" w:w="26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Base de conocimiento</w:t>
            </w:r>
          </w:p>
        </w:tc>
        <w:tc>
          <w:tcPr>
            <w:tcW w:type="dxa" w:w="64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rules.yaml</w:t>
            </w:r>
            <w:r>
              <w:rPr>
                <w:b w:val="false"/>
                <w:bCs w:val="false"/>
                <w:sz w:val="18"/>
                <w:szCs w:val="18"/>
              </w:rPr>
              <w:t xml:space="preserve"> (100 reglas) + </w:t>
            </w:r>
            <w:r>
              <w:rPr>
                <w:rFonts w:ascii="Consolas" w:cs="Consolas" w:eastAsia="Consolas" w:hAnsi="Consolas"/>
                <w:b w:val="false"/>
                <w:bCs w:val="false"/>
                <w:color w:val="3730A3"/>
                <w:sz w:val="16"/>
                <w:szCs w:val="16"/>
              </w:rPr>
              <w:t xml:space="preserve">ux-guidelines.csv</w:t>
            </w:r>
            <w:r>
              <w:rPr>
                <w:b w:val="false"/>
                <w:bCs w:val="false"/>
                <w:sz w:val="18"/>
                <w:szCs w:val="18"/>
              </w:rPr>
              <w:t xml:space="preserve"> de UI UX Pro Max, leído y buscado con BM25 por el propio auditor, sin ejecutar código de terceros. Cada fallo lleva su corrección.</w:t>
            </w:r>
          </w:p>
        </w:tc>
      </w:tr>
      <w:tr>
        <w:trPr>
          <w:cantSplit/>
        </w:trPr>
        <w:tc>
          <w:tcPr>
            <w:tcW w:type="dxa" w:w="26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bCs/>
                <w:sz w:val="18"/>
                <w:szCs w:val="18"/>
              </w:rPr>
              <w:t xml:space="preserve">Generadores de informes</w:t>
            </w:r>
          </w:p>
        </w:tc>
        <w:tc>
          <w:tcPr>
            <w:tcW w:type="dxa" w:w="64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HTML, JSON, Markdown e histórico.</w:t>
            </w:r>
          </w:p>
        </w:tc>
      </w:tr>
    </w:tbl>
    <w:p>
      <w:pPr>
        <w:pStyle w:val="Heading3"/>
      </w:pPr>
      <w:r>
        <w:t xml:space="preserve">Modelo de datos</w:t>
      </w:r>
    </w:p>
    <w:p>
      <w:pPr>
        <w:shd w:fill="F1F5F9" w:color="auto" w:val="clear"/>
        <w:spacing w:after="0" w:line="240"/>
        <w:ind w:left="200" w:right="200"/>
      </w:pPr>
      <w:r>
        <w:rPr>
          <w:rFonts w:ascii="Consolas" w:cs="Consolas" w:eastAsia="Consolas" w:hAnsi="Consolas"/>
          <w:color w:val="0F172A"/>
          <w:sz w:val="17"/>
          <w:szCs w:val="17"/>
        </w:rPr>
        <w:t xml:space="preserve">Regla      { id, dimension (D1..D8), titulo, severidad (critica|alta|media|baja),</w:t>
      </w:r>
    </w:p>
    <w:p>
      <w:pPr>
        <w:shd w:fill="F1F5F9" w:color="auto" w:val="clear"/>
        <w:spacing w:after="0" w:line="240"/>
        <w:ind w:left="200" w:right="200"/>
      </w:pPr>
      <w:r>
        <w:rPr>
          <w:rFonts w:ascii="Consolas" w:cs="Consolas" w:eastAsia="Consolas" w:hAnsi="Consolas"/>
          <w:color w:val="0F172A"/>
          <w:sz w:val="17"/>
          <w:szCs w:val="17"/>
        </w:rPr>
        <w:t xml:space="preserve">             tipo (auto|metrica|manual), viewports (movil|escritorio|todas),</w:t>
      </w:r>
    </w:p>
    <w:p>
      <w:pPr>
        <w:shd w:fill="F1F5F9" w:color="auto" w:val="clear"/>
        <w:spacing w:after="0" w:line="240"/>
        <w:ind w:left="200" w:right="200"/>
      </w:pPr>
      <w:r>
        <w:rPr>
          <w:rFonts w:ascii="Consolas" w:cs="Consolas" w:eastAsia="Consolas" w:hAnsi="Consolas"/>
          <w:color w:val="0F172A"/>
          <w:sz w:val="17"/>
          <w:szCs w:val="17"/>
        </w:rPr>
        <w:t xml:space="preserve">             norma (ej. 'WCAG 2.2 - 2.5.8'), consulta_kb (ej. 'touch target size') }</w:t>
      </w:r>
    </w:p>
    <w:p>
      <w:pPr>
        <w:shd w:fill="F1F5F9" w:color="auto" w:val="clear"/>
        <w:spacing w:after="0" w:line="240"/>
        <w:ind w:left="200" w:right="200"/>
      </w:pPr>
      <w:r>
        <w:rPr>
          <w:rFonts w:ascii="Consolas" w:cs="Consolas" w:eastAsia="Consolas" w:hAnsi="Consolas"/>
          <w:color w:val="0F172A"/>
          <w:sz w:val="17"/>
          <w:szCs w:val="17"/>
        </w:rPr>
        <w:t xml:space="preserve">Hallazgo   { regla_id, resultado (cumple|parcial|no_cumple|no_aplica),</w:t>
      </w:r>
    </w:p>
    <w:p>
      <w:pPr>
        <w:shd w:fill="F1F5F9" w:color="auto" w:val="clear"/>
        <w:spacing w:after="0" w:line="240"/>
        <w:ind w:left="200" w:right="200"/>
      </w:pPr>
      <w:r>
        <w:rPr>
          <w:rFonts w:ascii="Consolas" w:cs="Consolas" w:eastAsia="Consolas" w:hAnsi="Consolas"/>
          <w:color w:val="0F172A"/>
          <w:sz w:val="17"/>
          <w:szCs w:val="17"/>
        </w:rPr>
        <w:t xml:space="preserve">             evidencia { selector, valor_medido, captura }, correccion { hacer, evitar, codigo } }</w:t>
      </w:r>
    </w:p>
    <w:p>
      <w:pPr>
        <w:shd w:fill="F1F5F9" w:color="auto" w:val="clear"/>
        <w:spacing w:after="0" w:line="240"/>
        <w:ind w:left="200" w:right="200"/>
      </w:pPr>
      <w:r>
        <w:rPr>
          <w:rFonts w:ascii="Consolas" w:cs="Consolas" w:eastAsia="Consolas" w:hAnsi="Consolas"/>
          <w:color w:val="0F172A"/>
          <w:sz w:val="17"/>
          <w:szCs w:val="17"/>
        </w:rPr>
        <w:t xml:space="preserve">Informe    { proyecto, fecha, version_reglas, modo, notas_dimension{}, iux, iux_sin_techos,</w:t>
      </w:r>
    </w:p>
    <w:p>
      <w:pPr>
        <w:shd w:fill="F1F5F9" w:color="auto" w:val="clear"/>
        <w:spacing w:after="160" w:line="240"/>
        <w:ind w:left="200" w:right="200"/>
      </w:pPr>
      <w:r>
        <w:rPr>
          <w:rFonts w:ascii="Consolas" w:cs="Consolas" w:eastAsia="Consolas" w:hAnsi="Consolas"/>
          <w:color w:val="0F172A"/>
          <w:sz w:val="17"/>
          <w:szCs w:val="17"/>
        </w:rPr>
        <w:t xml:space="preserve">             nivel, techos[], cobertura, hallazgos[] }</w:t>
      </w:r>
    </w:p>
    <w:p>
      <w:pPr>
        <w:pStyle w:val="Heading3"/>
      </w:pPr>
      <w:r>
        <w:t xml:space="preserve">Ejemplo de regla y de configuración</w:t>
      </w:r>
    </w:p>
    <w:p>
      <w:pPr>
        <w:shd w:fill="F1F5F9" w:color="auto" w:val="clear"/>
        <w:spacing w:after="0" w:line="240"/>
        <w:ind w:left="200" w:right="200"/>
      </w:pPr>
      <w:r>
        <w:rPr>
          <w:rFonts w:ascii="Consolas" w:cs="Consolas" w:eastAsia="Consolas" w:hAnsi="Consolas"/>
          <w:color w:val="0F172A"/>
          <w:sz w:val="17"/>
          <w:szCs w:val="17"/>
        </w:rPr>
        <w:t xml:space="preserve"># reglas.yaml (extracto)</w:t>
      </w:r>
    </w:p>
    <w:p>
      <w:pPr>
        <w:shd w:fill="F1F5F9" w:color="auto" w:val="clear"/>
        <w:spacing w:after="0" w:line="240"/>
        <w:ind w:left="200" w:right="200"/>
      </w:pPr>
      <w:r>
        <w:rPr>
          <w:rFonts w:ascii="Consolas" w:cs="Consolas" w:eastAsia="Consolas" w:hAnsi="Consolas"/>
          <w:color w:val="0F172A"/>
          <w:sz w:val="17"/>
          <w:szCs w:val="17"/>
        </w:rPr>
        <w:t xml:space="preserve">- id: A11Y-CONTRASTE</w:t>
      </w:r>
    </w:p>
    <w:p>
      <w:pPr>
        <w:shd w:fill="F1F5F9" w:color="auto" w:val="clear"/>
        <w:spacing w:after="0" w:line="240"/>
        <w:ind w:left="200" w:right="200"/>
      </w:pPr>
      <w:r>
        <w:rPr>
          <w:rFonts w:ascii="Consolas" w:cs="Consolas" w:eastAsia="Consolas" w:hAnsi="Consolas"/>
          <w:color w:val="0F172A"/>
          <w:sz w:val="17"/>
          <w:szCs w:val="17"/>
        </w:rPr>
        <w:t xml:space="preserve">  dimension: D1</w:t>
      </w:r>
    </w:p>
    <w:p>
      <w:pPr>
        <w:shd w:fill="F1F5F9" w:color="auto" w:val="clear"/>
        <w:spacing w:after="0" w:line="240"/>
        <w:ind w:left="200" w:right="200"/>
      </w:pPr>
      <w:r>
        <w:rPr>
          <w:rFonts w:ascii="Consolas" w:cs="Consolas" w:eastAsia="Consolas" w:hAnsi="Consolas"/>
          <w:color w:val="0F172A"/>
          <w:sz w:val="17"/>
          <w:szCs w:val="17"/>
        </w:rPr>
        <w:t xml:space="preserve">  titulo: Contraste de color del texto</w:t>
      </w:r>
    </w:p>
    <w:p>
      <w:pPr>
        <w:shd w:fill="F1F5F9" w:color="auto" w:val="clear"/>
        <w:spacing w:after="0" w:line="240"/>
        <w:ind w:left="200" w:right="200"/>
      </w:pPr>
      <w:r>
        <w:rPr>
          <w:rFonts w:ascii="Consolas" w:cs="Consolas" w:eastAsia="Consolas" w:hAnsi="Consolas"/>
          <w:color w:val="0F172A"/>
          <w:sz w:val="17"/>
          <w:szCs w:val="17"/>
        </w:rPr>
        <w:t xml:space="preserve">  severidad: alta</w:t>
      </w:r>
    </w:p>
    <w:p>
      <w:pPr>
        <w:shd w:fill="F1F5F9" w:color="auto" w:val="clear"/>
        <w:spacing w:after="0" w:line="240"/>
        <w:ind w:left="200" w:right="200"/>
      </w:pPr>
      <w:r>
        <w:rPr>
          <w:rFonts w:ascii="Consolas" w:cs="Consolas" w:eastAsia="Consolas" w:hAnsi="Consolas"/>
          <w:color w:val="0F172A"/>
          <w:sz w:val="17"/>
          <w:szCs w:val="17"/>
        </w:rPr>
        <w:t xml:space="preserve">  tipo: auto            # lo resuelve axe-core (regla color-contrast)</w:t>
      </w:r>
    </w:p>
    <w:p>
      <w:pPr>
        <w:shd w:fill="F1F5F9" w:color="auto" w:val="clear"/>
        <w:spacing w:after="0" w:line="240"/>
        <w:ind w:left="200" w:right="200"/>
      </w:pPr>
      <w:r>
        <w:rPr>
          <w:rFonts w:ascii="Consolas" w:cs="Consolas" w:eastAsia="Consolas" w:hAnsi="Consolas"/>
          <w:color w:val="0F172A"/>
          <w:sz w:val="17"/>
          <w:szCs w:val="17"/>
        </w:rPr>
        <w:t xml:space="preserve">  norma: WCAG 2.2 · 1.4.3 Contraste (mínimo)</w:t>
      </w:r>
    </w:p>
    <w:p>
      <w:pPr>
        <w:shd w:fill="F1F5F9" w:color="auto" w:val="clear"/>
        <w:spacing w:after="0" w:line="240"/>
        <w:ind w:left="200" w:right="200"/>
      </w:pPr>
      <w:r>
        <w:rPr>
          <w:rFonts w:ascii="Consolas" w:cs="Consolas" w:eastAsia="Consolas" w:hAnsi="Consolas"/>
          <w:color w:val="0F172A"/>
          <w:sz w:val="17"/>
          <w:szCs w:val="17"/>
        </w:rPr>
        <w:t xml:space="preserve">  kb: Color Contrast</w:t>
      </w:r>
    </w:p>
    <w:p>
      <w:pPr>
        <w:shd w:fill="F1F5F9" w:color="auto" w:val="clear"/>
        <w:spacing w:after="0" w:line="240"/>
        <w:ind w:left="200" w:right="200"/>
      </w:pPr>
      <w:r>
        <w:rPr>
          <w:rFonts w:ascii="Consolas" w:cs="Consolas" w:eastAsia="Consolas" w:hAnsi="Consolas"/>
          <w:color w:val="0F172A"/>
          <w:sz w:val="17"/>
          <w:szCs w:val="17"/>
        </w:rPr>
        <w:t xml:space="preserve"> </w:t>
      </w:r>
    </w:p>
    <w:p>
      <w:pPr>
        <w:shd w:fill="F1F5F9" w:color="auto" w:val="clear"/>
        <w:spacing w:after="0" w:line="240"/>
        <w:ind w:left="200" w:right="200"/>
      </w:pPr>
      <w:r>
        <w:rPr>
          <w:rFonts w:ascii="Consolas" w:cs="Consolas" w:eastAsia="Consolas" w:hAnsi="Consolas"/>
          <w:color w:val="0F172A"/>
          <w:sz w:val="17"/>
          <w:szCs w:val="17"/>
        </w:rPr>
        <w:t xml:space="preserve">- id: ETI-COOKIES-RECHAZO</w:t>
      </w:r>
    </w:p>
    <w:p>
      <w:pPr>
        <w:shd w:fill="F1F5F9" w:color="auto" w:val="clear"/>
        <w:spacing w:after="0" w:line="240"/>
        <w:ind w:left="200" w:right="200"/>
      </w:pPr>
      <w:r>
        <w:rPr>
          <w:rFonts w:ascii="Consolas" w:cs="Consolas" w:eastAsia="Consolas" w:hAnsi="Consolas"/>
          <w:color w:val="0F172A"/>
          <w:sz w:val="17"/>
          <w:szCs w:val="17"/>
        </w:rPr>
        <w:t xml:space="preserve">  dimension: D8</w:t>
      </w:r>
    </w:p>
    <w:p>
      <w:pPr>
        <w:shd w:fill="F1F5F9" w:color="auto" w:val="clear"/>
        <w:spacing w:after="0" w:line="240"/>
        <w:ind w:left="200" w:right="200"/>
      </w:pPr>
      <w:r>
        <w:rPr>
          <w:rFonts w:ascii="Consolas" w:cs="Consolas" w:eastAsia="Consolas" w:hAnsi="Consolas"/>
          <w:color w:val="0F172A"/>
          <w:sz w:val="17"/>
          <w:szCs w:val="17"/>
        </w:rPr>
        <w:t xml:space="preserve">  severidad: critica</w:t>
      </w:r>
    </w:p>
    <w:p>
      <w:pPr>
        <w:shd w:fill="F1F5F9" w:color="auto" w:val="clear"/>
        <w:spacing w:after="0" w:line="240"/>
        <w:ind w:left="200" w:right="200"/>
      </w:pPr>
      <w:r>
        <w:rPr>
          <w:rFonts w:ascii="Consolas" w:cs="Consolas" w:eastAsia="Consolas" w:hAnsi="Consolas"/>
          <w:color w:val="0F172A"/>
          <w:sz w:val="17"/>
          <w:szCs w:val="17"/>
        </w:rPr>
        <w:t xml:space="preserve">  tipo: auto            # compara tamaño, letra y relleno de «Aceptar» y «Rechazar»</w:t>
      </w:r>
    </w:p>
    <w:p>
      <w:pPr>
        <w:shd w:fill="F1F5F9" w:color="auto" w:val="clear"/>
        <w:spacing w:after="0" w:line="240"/>
        <w:ind w:left="200" w:right="200"/>
      </w:pPr>
      <w:r>
        <w:rPr>
          <w:rFonts w:ascii="Consolas" w:cs="Consolas" w:eastAsia="Consolas" w:hAnsi="Consolas"/>
          <w:color w:val="0F172A"/>
          <w:sz w:val="17"/>
          <w:szCs w:val="17"/>
        </w:rPr>
        <w:t xml:space="preserve">  norma: AEPD Guía sobre cookies (2023) · RGPD art. 7</w:t>
      </w:r>
    </w:p>
    <w:p>
      <w:pPr>
        <w:shd w:fill="F1F5F9" w:color="auto" w:val="clear"/>
        <w:spacing w:after="0" w:line="240"/>
        <w:ind w:left="200" w:right="200"/>
      </w:pPr>
      <w:r>
        <w:rPr>
          <w:rFonts w:ascii="Consolas" w:cs="Consolas" w:eastAsia="Consolas" w:hAnsi="Consolas"/>
          <w:color w:val="0F172A"/>
          <w:sz w:val="17"/>
          <w:szCs w:val="17"/>
        </w:rPr>
        <w:t xml:space="preserve"> </w:t>
      </w:r>
    </w:p>
    <w:p>
      <w:pPr>
        <w:shd w:fill="F1F5F9" w:color="auto" w:val="clear"/>
        <w:spacing w:after="0" w:line="240"/>
        <w:ind w:left="200" w:right="200"/>
      </w:pPr>
      <w:r>
        <w:rPr>
          <w:rFonts w:ascii="Consolas" w:cs="Consolas" w:eastAsia="Consolas" w:hAnsi="Consolas"/>
          <w:color w:val="0F172A"/>
          <w:sz w:val="17"/>
          <w:szCs w:val="17"/>
        </w:rPr>
        <w:t xml:space="preserve"># uxaudit.yaml (perfil de un proyecto)</w:t>
      </w:r>
    </w:p>
    <w:p>
      <w:pPr>
        <w:shd w:fill="F1F5F9" w:color="auto" w:val="clear"/>
        <w:spacing w:after="0" w:line="240"/>
        <w:ind w:left="200" w:right="200"/>
      </w:pPr>
      <w:r>
        <w:rPr>
          <w:rFonts w:ascii="Consolas" w:cs="Consolas" w:eastAsia="Consolas" w:hAnsi="Consolas"/>
          <w:color w:val="0F172A"/>
          <w:sz w:val="17"/>
          <w:szCs w:val="17"/>
        </w:rPr>
        <w:t xml:space="preserve">proyecto: Web restaurante</w:t>
      </w:r>
    </w:p>
    <w:p>
      <w:pPr>
        <w:shd w:fill="F1F5F9" w:color="auto" w:val="clear"/>
        <w:spacing w:after="0" w:line="240"/>
        <w:ind w:left="200" w:right="200"/>
      </w:pPr>
      <w:r>
        <w:rPr>
          <w:rFonts w:ascii="Consolas" w:cs="Consolas" w:eastAsia="Consolas" w:hAnsi="Consolas"/>
          <w:color w:val="0F172A"/>
          <w:sz w:val="17"/>
          <w:szCs w:val="17"/>
        </w:rPr>
        <w:t xml:space="preserve">perfil: web                 # móvil 375 px + escritorio 1440 px</w:t>
      </w:r>
    </w:p>
    <w:p>
      <w:pPr>
        <w:shd w:fill="F1F5F9" w:color="auto" w:val="clear"/>
        <w:spacing w:after="0" w:line="240"/>
        <w:ind w:left="200" w:right="200"/>
      </w:pPr>
      <w:r>
        <w:rPr>
          <w:rFonts w:ascii="Consolas" w:cs="Consolas" w:eastAsia="Consolas" w:hAnsi="Consolas"/>
          <w:color w:val="0F172A"/>
          <w:sz w:val="17"/>
          <w:szCs w:val="17"/>
        </w:rPr>
        <w:t xml:space="preserve">modo: estricto</w:t>
      </w:r>
    </w:p>
    <w:p>
      <w:pPr>
        <w:shd w:fill="F1F5F9" w:color="auto" w:val="clear"/>
        <w:spacing w:after="0" w:line="240"/>
        <w:ind w:left="200" w:right="200"/>
      </w:pPr>
      <w:r>
        <w:rPr>
          <w:rFonts w:ascii="Consolas" w:cs="Consolas" w:eastAsia="Consolas" w:hAnsi="Consolas"/>
          <w:color w:val="0F172A"/>
          <w:sz w:val="17"/>
          <w:szCs w:val="17"/>
        </w:rPr>
        <w:t xml:space="preserve">pesos: {D1: 25, D2: 15, D3: 15, D4: 10, D5: 10, D6: 10, D7: 5, D8: 10}</w:t>
      </w:r>
    </w:p>
    <w:p>
      <w:pPr>
        <w:shd w:fill="F1F5F9" w:color="auto" w:val="clear"/>
        <w:spacing w:after="0" w:line="240"/>
        <w:ind w:left="200" w:right="200"/>
      </w:pPr>
      <w:r>
        <w:rPr>
          <w:rFonts w:ascii="Consolas" w:cs="Consolas" w:eastAsia="Consolas" w:hAnsi="Consolas"/>
          <w:color w:val="0F172A"/>
          <w:sz w:val="17"/>
          <w:szCs w:val="17"/>
        </w:rPr>
        <w:t xml:space="preserve">umbral_ci: 7.0</w:t>
      </w:r>
    </w:p>
    <w:p>
      <w:pPr>
        <w:shd w:fill="F1F5F9" w:color="auto" w:val="clear"/>
        <w:spacing w:after="160" w:line="240"/>
        <w:ind w:left="200" w:right="200"/>
      </w:pPr>
      <w:r>
        <w:rPr>
          <w:rFonts w:ascii="Consolas" w:cs="Consolas" w:eastAsia="Consolas" w:hAnsi="Consolas"/>
          <w:color w:val="0F172A"/>
          <w:sz w:val="17"/>
          <w:szCs w:val="17"/>
        </w:rPr>
        <w:t xml:space="preserve">reglas_desactivadas: [NAV-BARRA-INFERIOR]</w:t>
      </w:r>
    </w:p>
    <w:p>
      <w:pPr>
        <w:pStyle w:val="Heading3"/>
      </w:pPr>
      <w:r>
        <w:t xml:space="preserve">Flujo de ejecución</w:t>
      </w:r>
    </w:p>
    <w:p>
      <w:pPr>
        <w:pStyle w:val="ListParagraph"/>
        <w:numPr>
          <w:ilvl w:val="0"/>
          <w:numId w:val="3"/>
        </w:numPr>
        <w:spacing w:after="60" w:line="264"/>
      </w:pPr>
      <w:r>
        <w:t xml:space="preserve">Leer </w:t>
      </w:r>
      <w:r>
        <w:rPr>
          <w:rFonts w:ascii="Consolas" w:cs="Consolas" w:eastAsia="Consolas" w:hAnsi="Consolas"/>
          <w:color w:val="3730A3"/>
          <w:sz w:val="20"/>
          <w:szCs w:val="20"/>
        </w:rPr>
        <w:t xml:space="preserve">uxaudit.yaml</w:t>
      </w:r>
      <w:r>
        <w:t xml:space="preserve"> y cargar las reglas activas del perfil.</w:t>
      </w:r>
    </w:p>
    <w:p>
      <w:pPr>
        <w:pStyle w:val="ListParagraph"/>
        <w:numPr>
          <w:ilvl w:val="0"/>
          <w:numId w:val="3"/>
        </w:numPr>
        <w:spacing w:after="60" w:line="264"/>
      </w:pPr>
      <w:r>
        <w:t xml:space="preserve">Abrir el objetivo en cada viewport configurado.</w:t>
      </w:r>
    </w:p>
    <w:p>
      <w:pPr>
        <w:pStyle w:val="ListParagraph"/>
        <w:numPr>
          <w:ilvl w:val="0"/>
          <w:numId w:val="3"/>
        </w:numPr>
        <w:spacing w:after="60" w:line="264"/>
      </w:pPr>
      <w:r>
        <w:t xml:space="preserve">Medir el rendimiento (móvil con 4G lento), ejecutar axe-core, las comprobaciones DOM y la prueba de teclado.</w:t>
      </w:r>
    </w:p>
    <w:p>
      <w:pPr>
        <w:pStyle w:val="ListParagraph"/>
        <w:numPr>
          <w:ilvl w:val="0"/>
          <w:numId w:val="3"/>
        </w:numPr>
        <w:spacing w:after="60" w:line="264"/>
      </w:pPr>
      <w:r>
        <w:t xml:space="preserve">Repetir las mediciones emulando al usuario: espaciado de texto, letra al 200 %, alto contraste, modo oscuro, tamaños intermedios y móvil en horizontal. Buscar patrones oscuros y rastreo.</w:t>
      </w:r>
    </w:p>
    <w:p>
      <w:pPr>
        <w:pStyle w:val="ListParagraph"/>
        <w:numPr>
          <w:ilvl w:val="0"/>
          <w:numId w:val="3"/>
        </w:numPr>
        <w:spacing w:after="60" w:line="264"/>
      </w:pPr>
      <w:r>
        <w:t xml:space="preserve">Si hay reglas manuales, pedir al evaluador el formulario guiado (o leer respuestas guardadas).</w:t>
      </w:r>
    </w:p>
    <w:p>
      <w:pPr>
        <w:pStyle w:val="ListParagraph"/>
        <w:numPr>
          <w:ilvl w:val="0"/>
          <w:numId w:val="3"/>
        </w:numPr>
        <w:spacing w:after="60" w:line="264"/>
      </w:pPr>
      <w:r>
        <w:t xml:space="preserve">Fusionar hallazgos, comparar la navegación entre páginas y calcular notas, IUX y techos.</w:t>
      </w:r>
    </w:p>
    <w:p>
      <w:pPr>
        <w:pStyle w:val="ListParagraph"/>
        <w:numPr>
          <w:ilvl w:val="0"/>
          <w:numId w:val="3"/>
        </w:numPr>
        <w:spacing w:after="60" w:line="264"/>
      </w:pPr>
      <w:r>
        <w:t xml:space="preserve">Enriquecer cada fallo con la corrección de la base de conocimiento de UI UX Pro Max.</w:t>
      </w:r>
    </w:p>
    <w:p>
      <w:pPr>
        <w:pStyle w:val="ListParagraph"/>
        <w:numPr>
          <w:ilvl w:val="0"/>
          <w:numId w:val="3"/>
        </w:numPr>
        <w:spacing w:after="60" w:line="264"/>
      </w:pPr>
      <w:r>
        <w:t xml:space="preserve">Generar informes, guardar histórico y devolver el código de salida.</w:t>
      </w:r>
    </w:p>
    <w:p>
      <w:pPr>
        <w:pStyle w:val="Heading3"/>
      </w:pPr>
      <w:r>
        <w:t xml:space="preserve">Interfaz de uso</w:t>
      </w:r>
    </w:p>
    <w:p>
      <w:pPr>
        <w:shd w:fill="F1F5F9" w:color="auto" w:val="clear"/>
        <w:spacing w:after="0" w:line="240"/>
        <w:ind w:left="200" w:right="200"/>
      </w:pPr>
      <w:r>
        <w:rPr>
          <w:rFonts w:ascii="Consolas" w:cs="Consolas" w:eastAsia="Consolas" w:hAnsi="Consolas"/>
          <w:color w:val="0F172A"/>
          <w:sz w:val="17"/>
          <w:szCs w:val="17"/>
        </w:rPr>
        <w:t xml:space="preserve">$ uxaudit run https://mi-web.com --config uxaudit.yaml -f html,json</w:t>
      </w:r>
    </w:p>
    <w:p>
      <w:pPr>
        <w:shd w:fill="F1F5F9" w:color="auto" w:val="clear"/>
        <w:spacing w:after="0" w:line="240"/>
        <w:ind w:left="200" w:right="200"/>
      </w:pPr>
      <w:r>
        <w:rPr>
          <w:rFonts w:ascii="Consolas" w:cs="Consolas" w:eastAsia="Consolas" w:hAnsi="Consolas"/>
          <w:color w:val="0F172A"/>
          <w:sz w:val="17"/>
          <w:szCs w:val="17"/>
        </w:rPr>
        <w:t xml:space="preserve"> </w:t>
      </w:r>
    </w:p>
    <w:p>
      <w:pPr>
        <w:shd w:fill="F1F5F9" w:color="auto" w:val="clear"/>
        <w:spacing w:after="0" w:line="240"/>
        <w:ind w:left="200" w:right="200"/>
      </w:pPr>
      <w:r>
        <w:rPr>
          <w:rFonts w:ascii="Consolas" w:cs="Consolas" w:eastAsia="Consolas" w:hAnsi="Consolas"/>
          <w:color w:val="0F172A"/>
          <w:sz w:val="17"/>
          <w:szCs w:val="17"/>
        </w:rPr>
        <w:t xml:space="preserve">  D1 Accesibilidad ............ 7.5   (2 fallos: 1 Alta, 1 Media)</w:t>
      </w:r>
    </w:p>
    <w:p>
      <w:pPr>
        <w:shd w:fill="F1F5F9" w:color="auto" w:val="clear"/>
        <w:spacing w:after="0" w:line="240"/>
        <w:ind w:left="200" w:right="200"/>
      </w:pPr>
      <w:r>
        <w:rPr>
          <w:rFonts w:ascii="Consolas" w:cs="Consolas" w:eastAsia="Consolas" w:hAnsi="Consolas"/>
          <w:color w:val="0F172A"/>
          <w:sz w:val="17"/>
          <w:szCs w:val="17"/>
        </w:rPr>
        <w:t xml:space="preserve">  D2 Usabilidad/interacción ... 8.0</w:t>
      </w:r>
    </w:p>
    <w:p>
      <w:pPr>
        <w:shd w:fill="F1F5F9" w:color="auto" w:val="clear"/>
        <w:spacing w:after="0" w:line="240"/>
        <w:ind w:left="200" w:right="200"/>
      </w:pPr>
      <w:r>
        <w:rPr>
          <w:rFonts w:ascii="Consolas" w:cs="Consolas" w:eastAsia="Consolas" w:hAnsi="Consolas"/>
          <w:color w:val="0F172A"/>
          <w:sz w:val="17"/>
          <w:szCs w:val="17"/>
        </w:rPr>
        <w:t xml:space="preserve">  D3 Rendimiento .............. 9.3   LCP 1.9s · TBT 90ms · CLS 0.02</w:t>
      </w:r>
    </w:p>
    <w:p>
      <w:pPr>
        <w:shd w:fill="F1F5F9" w:color="auto" w:val="clear"/>
        <w:spacing w:after="0" w:line="240"/>
        <w:ind w:left="200" w:right="200"/>
      </w:pPr>
      <w:r>
        <w:rPr>
          <w:rFonts w:ascii="Consolas" w:cs="Consolas" w:eastAsia="Consolas" w:hAnsi="Consolas"/>
          <w:color w:val="0F172A"/>
          <w:sz w:val="17"/>
          <w:szCs w:val="17"/>
        </w:rPr>
        <w:t xml:space="preserve">  ...</w:t>
      </w:r>
    </w:p>
    <w:p>
      <w:pPr>
        <w:shd w:fill="F1F5F9" w:color="auto" w:val="clear"/>
        <w:spacing w:after="0" w:line="240"/>
        <w:ind w:left="200" w:right="200"/>
      </w:pPr>
      <w:r>
        <w:rPr>
          <w:rFonts w:ascii="Consolas" w:cs="Consolas" w:eastAsia="Consolas" w:hAnsi="Consolas"/>
          <w:color w:val="0F172A"/>
          <w:sz w:val="17"/>
          <w:szCs w:val="17"/>
        </w:rPr>
        <w:t xml:space="preserve">  IUX = 6.90 / 10  →  ACEPTABLE  [modo estricto]</w:t>
      </w:r>
    </w:p>
    <w:p>
      <w:pPr>
        <w:shd w:fill="F1F5F9" w:color="auto" w:val="clear"/>
        <w:spacing w:after="160" w:line="240"/>
        <w:ind w:left="200" w:right="200"/>
      </w:pPr>
      <w:r>
        <w:rPr>
          <w:rFonts w:ascii="Consolas" w:cs="Consolas" w:eastAsia="Consolas" w:hAnsi="Consolas"/>
          <w:color w:val="0F172A"/>
          <w:sz w:val="17"/>
          <w:szCs w:val="17"/>
        </w:rPr>
        <w:t xml:space="preserve">  ⛔ Incumplimiento de accesibilidad de severidad alta (A11Y-CONTRASTE): nota máxima 6,9</w:t>
      </w:r>
    </w:p>
    <w:p>
      <w:pPr>
        <w:pStyle w:val="Heading3"/>
      </w:pPr>
      <w:r>
        <w:t xml:space="preserve">Estructura del proyecto</w:t>
      </w:r>
    </w:p>
    <w:p>
      <w:pPr>
        <w:shd w:fill="F1F5F9" w:color="auto" w:val="clear"/>
        <w:spacing w:after="0" w:line="240"/>
        <w:ind w:left="200" w:right="200"/>
      </w:pPr>
      <w:r>
        <w:rPr>
          <w:rFonts w:ascii="Consolas" w:cs="Consolas" w:eastAsia="Consolas" w:hAnsi="Consolas"/>
          <w:color w:val="0F172A"/>
          <w:sz w:val="17"/>
          <w:szCs w:val="17"/>
        </w:rPr>
        <w:t xml:space="preserve">ux-auditor/</w:t>
      </w:r>
    </w:p>
    <w:p>
      <w:pPr>
        <w:shd w:fill="F1F5F9" w:color="auto" w:val="clear"/>
        <w:spacing w:after="0" w:line="240"/>
        <w:ind w:left="200" w:right="200"/>
      </w:pPr>
      <w:r>
        <w:rPr>
          <w:rFonts w:ascii="Consolas" w:cs="Consolas" w:eastAsia="Consolas" w:hAnsi="Consolas"/>
          <w:color w:val="0F172A"/>
          <w:sz w:val="17"/>
          <w:szCs w:val="17"/>
        </w:rPr>
        <w:t xml:space="preserve">├── uxaudit/</w:t>
      </w:r>
    </w:p>
    <w:p>
      <w:pPr>
        <w:shd w:fill="F1F5F9" w:color="auto" w:val="clear"/>
        <w:spacing w:after="0" w:line="240"/>
        <w:ind w:left="200" w:right="200"/>
      </w:pPr>
      <w:r>
        <w:rPr>
          <w:rFonts w:ascii="Consolas" w:cs="Consolas" w:eastAsia="Consolas" w:hAnsi="Consolas"/>
          <w:color w:val="0F172A"/>
          <w:sz w:val="17"/>
          <w:szCs w:val="17"/>
        </w:rPr>
        <w:t xml:space="preserve">│   ├── cli.py                # run, init, manual, reglas, historial, kb</w:t>
      </w:r>
    </w:p>
    <w:p>
      <w:pPr>
        <w:shd w:fill="F1F5F9" w:color="auto" w:val="clear"/>
        <w:spacing w:after="0" w:line="240"/>
        <w:ind w:left="200" w:right="200"/>
      </w:pPr>
      <w:r>
        <w:rPr>
          <w:rFonts w:ascii="Consolas" w:cs="Consolas" w:eastAsia="Consolas" w:hAnsi="Consolas"/>
          <w:color w:val="0F172A"/>
          <w:sz w:val="17"/>
          <w:szCs w:val="17"/>
        </w:rPr>
        <w:t xml:space="preserve">│   ├── engine.py             # orquestación en proceso aislado</w:t>
      </w:r>
    </w:p>
    <w:p>
      <w:pPr>
        <w:shd w:fill="F1F5F9" w:color="auto" w:val="clear"/>
        <w:spacing w:after="0" w:line="240"/>
        <w:ind w:left="200" w:right="200"/>
      </w:pPr>
      <w:r>
        <w:rPr>
          <w:rFonts w:ascii="Consolas" w:cs="Consolas" w:eastAsia="Consolas" w:hAnsi="Consolas"/>
          <w:color w:val="0F172A"/>
          <w:sz w:val="17"/>
          <w:szCs w:val="17"/>
        </w:rPr>
        <w:t xml:space="preserve">│   ├── scoring.py            # Índice IUX, techos, modo estricto</w:t>
      </w:r>
    </w:p>
    <w:p>
      <w:pPr>
        <w:shd w:fill="F1F5F9" w:color="auto" w:val="clear"/>
        <w:spacing w:after="0" w:line="240"/>
        <w:ind w:left="200" w:right="200"/>
      </w:pPr>
      <w:r>
        <w:rPr>
          <w:rFonts w:ascii="Consolas" w:cs="Consolas" w:eastAsia="Consolas" w:hAnsi="Consolas"/>
          <w:color w:val="0F172A"/>
          <w:sz w:val="17"/>
          <w:szCs w:val="17"/>
        </w:rPr>
        <w:t xml:space="preserve">│   ├── readability.py        # Fernández-Huerta / Flesch</w:t>
      </w:r>
    </w:p>
    <w:p>
      <w:pPr>
        <w:shd w:fill="F1F5F9" w:color="auto" w:val="clear"/>
        <w:spacing w:after="0" w:line="240"/>
        <w:ind w:left="200" w:right="200"/>
      </w:pPr>
      <w:r>
        <w:rPr>
          <w:rFonts w:ascii="Consolas" w:cs="Consolas" w:eastAsia="Consolas" w:hAnsi="Consolas"/>
          <w:color w:val="0F172A"/>
          <w:sz w:val="17"/>
          <w:szCs w:val="17"/>
        </w:rPr>
        <w:t xml:space="preserve">│   ├── privacy.py            # rastreadores, cookies, CO2 (SWD v4)</w:t>
      </w:r>
    </w:p>
    <w:p>
      <w:pPr>
        <w:shd w:fill="F1F5F9" w:color="auto" w:val="clear"/>
        <w:spacing w:after="0" w:line="240"/>
        <w:ind w:left="200" w:right="200"/>
      </w:pPr>
      <w:r>
        <w:rPr>
          <w:rFonts w:ascii="Consolas" w:cs="Consolas" w:eastAsia="Consolas" w:hAnsi="Consolas"/>
          <w:color w:val="0F172A"/>
          <w:sz w:val="17"/>
          <w:szCs w:val="17"/>
        </w:rPr>
        <w:t xml:space="preserve">│   ├── security.py           # validación, anti-SSRF, escritura segura</w:t>
      </w:r>
    </w:p>
    <w:p>
      <w:pPr>
        <w:shd w:fill="F1F5F9" w:color="auto" w:val="clear"/>
        <w:spacing w:after="0" w:line="240"/>
        <w:ind w:left="200" w:right="200"/>
      </w:pPr>
      <w:r>
        <w:rPr>
          <w:rFonts w:ascii="Consolas" w:cs="Consolas" w:eastAsia="Consolas" w:hAnsi="Consolas"/>
          <w:color w:val="0F172A"/>
          <w:sz w:val="17"/>
          <w:szCs w:val="17"/>
        </w:rPr>
        <w:t xml:space="preserve">│   ├── analyzers/            # navegador + dom_checks.js + gap_checks.js</w:t>
      </w:r>
    </w:p>
    <w:p>
      <w:pPr>
        <w:shd w:fill="F1F5F9" w:color="auto" w:val="clear"/>
        <w:spacing w:after="0" w:line="240"/>
        <w:ind w:left="200" w:right="200"/>
      </w:pPr>
      <w:r>
        <w:rPr>
          <w:rFonts w:ascii="Consolas" w:cs="Consolas" w:eastAsia="Consolas" w:hAnsi="Consolas"/>
          <w:color w:val="0F172A"/>
          <w:sz w:val="17"/>
          <w:szCs w:val="17"/>
        </w:rPr>
        <w:t xml:space="preserve">│   ├── reports/              # HTML, JSON, Markdown</w:t>
      </w:r>
    </w:p>
    <w:p>
      <w:pPr>
        <w:shd w:fill="F1F5F9" w:color="auto" w:val="clear"/>
        <w:spacing w:after="0" w:line="240"/>
        <w:ind w:left="200" w:right="200"/>
      </w:pPr>
      <w:r>
        <w:rPr>
          <w:rFonts w:ascii="Consolas" w:cs="Consolas" w:eastAsia="Consolas" w:hAnsi="Consolas"/>
          <w:color w:val="0F172A"/>
          <w:sz w:val="17"/>
          <w:szCs w:val="17"/>
        </w:rPr>
        <w:t xml:space="preserve">│   └── data/                 # rules.yaml (100 reglas) + ux-guidelines.csv</w:t>
      </w:r>
    </w:p>
    <w:p>
      <w:pPr>
        <w:shd w:fill="F1F5F9" w:color="auto" w:val="clear"/>
        <w:spacing w:after="0" w:line="240"/>
        <w:ind w:left="200" w:right="200"/>
      </w:pPr>
      <w:r>
        <w:rPr>
          <w:rFonts w:ascii="Consolas" w:cs="Consolas" w:eastAsia="Consolas" w:hAnsi="Consolas"/>
          <w:color w:val="0F172A"/>
          <w:sz w:val="17"/>
          <w:szCs w:val="17"/>
        </w:rPr>
        <w:t xml:space="preserve">├── tests/                    # 64 pruebas + páginas trampa</w:t>
      </w:r>
    </w:p>
    <w:p>
      <w:pPr>
        <w:shd w:fill="F1F5F9" w:color="auto" w:val="clear"/>
        <w:spacing w:after="160" w:line="240"/>
        <w:ind w:left="200" w:right="200"/>
      </w:pPr>
      <w:r>
        <w:rPr>
          <w:rFonts w:ascii="Consolas" w:cs="Consolas" w:eastAsia="Consolas" w:hAnsi="Consolas"/>
          <w:color w:val="0F172A"/>
          <w:sz w:val="17"/>
          <w:szCs w:val="17"/>
        </w:rPr>
        <w:t xml:space="preserve">└── .github/workflows/uxaudit.yml</w:t>
      </w:r>
    </w:p>
    <w:p>
      <w:pPr>
        <w:pStyle w:val="Heading3"/>
      </w:pPr>
      <w:r>
        <w:t xml:space="preserve">Por qué es reutilizable</w:t>
      </w:r>
    </w:p>
    <w:p>
      <w:pPr>
        <w:pStyle w:val="ListParagraph"/>
        <w:numPr>
          <w:ilvl w:val="0"/>
          <w:numId w:val="2"/>
        </w:numPr>
        <w:spacing w:after="60" w:line="264"/>
      </w:pPr>
      <w:r>
        <w:rPr>
          <w:b/>
          <w:bCs/>
        </w:rPr>
        <w:t xml:space="preserve">Configuración en lugar de código:</w:t>
      </w:r>
      <w:r>
        <w:t xml:space="preserve"> otro proyecto solo cambia </w:t>
      </w:r>
      <w:r>
        <w:rPr>
          <w:rFonts w:ascii="Consolas" w:cs="Consolas" w:eastAsia="Consolas" w:hAnsi="Consolas"/>
          <w:color w:val="3730A3"/>
          <w:sz w:val="20"/>
          <w:szCs w:val="20"/>
        </w:rPr>
        <w:t xml:space="preserve">uxaudit.yaml</w:t>
      </w:r>
      <w:r>
        <w:t xml:space="preserve"> (pesos, umbral, plataforma).</w:t>
      </w:r>
    </w:p>
    <w:p>
      <w:pPr>
        <w:pStyle w:val="ListParagraph"/>
        <w:numPr>
          <w:ilvl w:val="0"/>
          <w:numId w:val="2"/>
        </w:numPr>
        <w:spacing w:after="60" w:line="264"/>
      </w:pPr>
      <w:r>
        <w:rPr>
          <w:b/>
          <w:bCs/>
        </w:rPr>
        <w:t xml:space="preserve">Reglas como datos:</w:t>
      </w:r>
      <w:r>
        <w:t xml:space="preserve"> las 100 reglas están en </w:t>
      </w:r>
      <w:r>
        <w:rPr>
          <w:rFonts w:ascii="Consolas" w:cs="Consolas" w:eastAsia="Consolas" w:hAnsi="Consolas"/>
          <w:color w:val="3730A3"/>
          <w:sz w:val="20"/>
          <w:szCs w:val="20"/>
        </w:rPr>
        <w:t xml:space="preserve">rules.yaml</w:t>
      </w:r>
      <w:r>
        <w:t xml:space="preserve">, y un equipo puede añadir las suyas (</w:t>
      </w:r>
      <w:r>
        <w:rPr>
          <w:rFonts w:ascii="Consolas" w:cs="Consolas" w:eastAsia="Consolas" w:hAnsi="Consolas"/>
          <w:color w:val="3730A3"/>
          <w:sz w:val="20"/>
          <w:szCs w:val="20"/>
        </w:rPr>
        <w:t xml:space="preserve">reglas_extra</w:t>
      </w:r>
      <w:r>
        <w:t xml:space="preserve">) sin tocar el código.</w:t>
      </w:r>
    </w:p>
    <w:p>
      <w:pPr>
        <w:pStyle w:val="ListParagraph"/>
        <w:numPr>
          <w:ilvl w:val="0"/>
          <w:numId w:val="2"/>
        </w:numPr>
        <w:spacing w:after="60" w:line="264"/>
      </w:pPr>
      <w:r>
        <w:rPr>
          <w:b/>
          <w:bCs/>
        </w:rPr>
        <w:t xml:space="preserve">Dos modos:</w:t>
      </w:r>
      <w:r>
        <w:t xml:space="preserve"> estricto para la entrega final o la integración continua; estándar para iteraciones tempranas.</w:t>
      </w:r>
    </w:p>
    <w:p>
      <w:pPr>
        <w:pStyle w:val="ListParagraph"/>
        <w:numPr>
          <w:ilvl w:val="0"/>
          <w:numId w:val="2"/>
        </w:numPr>
        <w:spacing w:after="60" w:line="264"/>
      </w:pPr>
      <w:r>
        <w:rPr>
          <w:b/>
          <w:bCs/>
        </w:rPr>
        <w:t xml:space="preserve">Plugins:</w:t>
      </w:r>
      <w:r>
        <w:t xml:space="preserve"> un nuevo analizador (p. ej. para apps Flutter) solo implementa la interfaz común.</w:t>
      </w:r>
    </w:p>
    <w:p>
      <w:pPr>
        <w:pStyle w:val="ListParagraph"/>
        <w:numPr>
          <w:ilvl w:val="0"/>
          <w:numId w:val="2"/>
        </w:numPr>
        <w:spacing w:after="60" w:line="264"/>
      </w:pPr>
      <w:r>
        <w:rPr>
          <w:b/>
          <w:bCs/>
        </w:rPr>
        <w:t xml:space="preserve">Tres formas de uso:</w:t>
      </w:r>
      <w:r>
        <w:t xml:space="preserve"> terminal, librería Python e integración continua.</w:t>
      </w:r>
    </w:p>
    <w:p>
      <w:pPr>
        <w:pStyle w:val="Heading3"/>
      </w:pPr>
      <w:r>
        <w:t xml:space="preserve">Validación del auditor</w:t>
      </w:r>
    </w:p>
    <w:p>
      <w:pPr>
        <w:spacing w:after="120" w:line="276"/>
      </w:pPr>
      <w:r>
        <w:t xml:space="preserve">El auditor está implementado y validado con </w:t>
      </w:r>
      <w:r>
        <w:rPr>
          <w:b/>
          <w:bCs/>
        </w:rPr>
        <w:t xml:space="preserve">64 pruebas automáticas</w:t>
      </w:r>
      <w:r>
        <w:t xml:space="preserve"> sobre cinco páginas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Página de prueba</w:t>
            </w:r>
          </w:p>
        </w:tc>
        <w:tc>
          <w:tcPr>
            <w:tcW w:type="dxa" w:w="38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Qué contiene</w:t>
            </w:r>
          </w:p>
        </w:tc>
        <w:tc>
          <w:tcPr>
            <w:tcW w:type="dxa" w:w="32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Resultado</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buena.html</w:t>
            </w:r>
          </w:p>
        </w:tc>
        <w:tc>
          <w:tcPr>
            <w:tcW w:type="dxa" w:w="3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Web de reservas accesible</w:t>
            </w:r>
          </w:p>
        </w:tc>
        <w:tc>
          <w:tcPr>
            <w:tcW w:type="dxa" w:w="32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9,5 o más con la evaluación experta completa; sin ella, techo de 8,9 («Excelente» no es posible).</w:t>
            </w:r>
          </w:p>
        </w:tc>
      </w:tr>
      <w:tr>
        <w:trPr>
          <w:cantSplit/>
        </w:trPr>
        <w:tc>
          <w:tcPr>
            <w:tcW w:type="dxa" w:w="2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mala.html</w:t>
            </w:r>
          </w:p>
        </w:tc>
        <w:tc>
          <w:tcPr>
            <w:tcW w:type="dxa" w:w="38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32 fallos sembrados</w:t>
            </w:r>
          </w:p>
        </w:tc>
        <w:tc>
          <w:tcPr>
            <w:tcW w:type="dxa" w:w="32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Todos detectados; IUX ≈ 4</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trampas.html</w:t>
            </w:r>
          </w:p>
        </w:tc>
        <w:tc>
          <w:tcPr>
            <w:tcW w:type="dxa" w:w="3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Patrones oscuros, rastreo, alt y nombres de mala calidad, vídeo automático, fallos de Krug (prueba del tronco, formato rígido, texto de relleno, enlace invisible)</w:t>
            </w:r>
          </w:p>
        </w:tc>
        <w:tc>
          <w:tcPr>
            <w:tcW w:type="dxa" w:w="32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Los 16 tipos de fallo detectados; nota limitada a 4,9</w:t>
            </w:r>
          </w:p>
        </w:tc>
      </w:tr>
      <w:tr>
        <w:trPr>
          <w:cantSplit/>
        </w:trPr>
        <w:tc>
          <w:tcPr>
            <w:tcW w:type="dxa" w:w="20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maliciosa.html</w:t>
            </w:r>
          </w:p>
        </w:tc>
        <w:tc>
          <w:tcPr>
            <w:tcW w:type="dxa" w:w="38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XSS, SSRF, intentos de falsear las mediciones, trampa de foco</w:t>
            </w:r>
          </w:p>
        </w:tc>
        <w:tc>
          <w:tcPr>
            <w:tcW w:type="dxa" w:w="32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No consigue engañar al auditor; peticiones bloqueadas</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bucle.html</w:t>
            </w:r>
          </w:p>
        </w:tc>
        <w:tc>
          <w:tcPr>
            <w:tcW w:type="dxa" w:w="38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Bucle infinito</w:t>
            </w:r>
          </w:p>
        </w:tc>
        <w:tc>
          <w:tcPr>
            <w:tcW w:type="dxa" w:w="32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Se corta por tiempo sin afectar al resto</w:t>
            </w:r>
          </w:p>
        </w:tc>
      </w:tr>
    </w:tbl>
    <w:p>
      <w:pPr>
        <w:spacing w:after="120" w:line="276"/>
      </w:pPr>
      <w:r>
        <w:t xml:space="preserve">Además se comprueba que dos ejecuciones seguidas dan la misma nota, que el modo estándar es menos exigente que el estricto y que se reproduce exactamente el ejemplo del apartado 3.5.</w:t>
      </w:r>
    </w:p>
    <w:p>
      <w:pPr>
        <w:pStyle w:val="Heading1"/>
        <w:pageBreakBefore/>
      </w:pPr>
      <w:bookmarkStart w:id="1024" w:name="_Toc900024"/>
      <w:r>
        <w:t xml:space="preserve">05- Resumen de GitHub</w:t>
      </w:r>
      <w:bookmarkEnd w:id="1024"/>
    </w:p>
    <w:p>
      <w:pPr>
        <w:spacing w:after="120" w:line="276"/>
      </w:pPr>
      <w:r>
        <w:t xml:space="preserve">Repositorio utilizado: </w:t>
      </w:r>
      <w:r>
        <w:rPr>
          <w:b/>
          <w:bCs/>
        </w:rPr>
        <w:t xml:space="preserve">github.com/alejandrodomingo05-debug/ui-ux-pro-max-skill</w:t>
      </w:r>
      <w:r>
        <w:t xml:space="preserve">, copia (fork) del proyecto de código abierto </w:t>
      </w:r>
      <w:r>
        <w:rPr>
          <w:b/>
          <w:bCs/>
        </w:rPr>
        <w:t xml:space="preserve">UI UX Pro Max</w:t>
      </w:r>
      <w:r>
        <w:t xml:space="preserve"> de NextLevelBuilder (versión 2.15.0, licencia MIT). Es una </w:t>
      </w:r>
      <w:r>
        <w:rPr>
          <w:b/>
          <w:bCs/>
        </w:rPr>
        <w:t xml:space="preserve">skill</w:t>
      </w:r>
      <w:r>
        <w:t xml:space="preserve">: un paquete de instrucciones, datos y scripts que se instala en asistentes de programación con IA (Claude Code, Cursor, Windsurf, GitHub Copilot, Gemini CLI, Codex y otros) para darles «inteligencia de diseño» al crear interfaces.</w:t>
      </w:r>
    </w:p>
    <w:p>
      <w:pPr>
        <w:pStyle w:val="Heading2"/>
      </w:pPr>
      <w:bookmarkStart w:id="1025" w:name="_Toc900025"/>
      <w:r>
        <w:t xml:space="preserve">5.1 Qué contiene</w:t>
      </w:r>
      <w:bookmarkEnd w:id="10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Carpeta / fichero</w:t>
            </w:r>
          </w:p>
        </w:tc>
        <w:tc>
          <w:tcPr>
            <w:tcW w:type="dxa" w:w="61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Contenido</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src/ui-ux-pro-max/data/</w:t>
            </w:r>
          </w:p>
        </w:tc>
        <w:tc>
          <w:tcPr>
            <w:tcW w:type="dxa" w:w="6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Base de conocimiento en CSV (ver tabla 8).</w:t>
            </w:r>
          </w:p>
        </w:tc>
      </w:tr>
      <w:tr>
        <w:trPr>
          <w:cantSplit/>
        </w:trPr>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src/ui-ux-pro-max/scripts/</w:t>
            </w:r>
          </w:p>
        </w:tc>
        <w:tc>
          <w:tcPr>
            <w:tcW w:type="dxa" w:w="61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search.py</w:t>
            </w:r>
            <w:r>
              <w:rPr>
                <w:b w:val="false"/>
                <w:bCs w:val="false"/>
                <w:sz w:val="18"/>
                <w:szCs w:val="18"/>
              </w:rPr>
              <w:t xml:space="preserve"> (buscador), </w:t>
            </w:r>
            <w:r>
              <w:rPr>
                <w:rFonts w:ascii="Consolas" w:cs="Consolas" w:eastAsia="Consolas" w:hAnsi="Consolas"/>
                <w:b w:val="false"/>
                <w:bCs w:val="false"/>
                <w:color w:val="3730A3"/>
                <w:sz w:val="16"/>
                <w:szCs w:val="16"/>
              </w:rPr>
              <w:t xml:space="preserve">core.py</w:t>
            </w:r>
            <w:r>
              <w:rPr>
                <w:b w:val="false"/>
                <w:bCs w:val="false"/>
                <w:sz w:val="18"/>
                <w:szCs w:val="18"/>
              </w:rPr>
              <w:t xml:space="preserve"> (motor de búsqueda </w:t>
            </w:r>
            <w:r>
              <w:rPr>
                <w:b/>
                <w:bCs/>
                <w:sz w:val="18"/>
                <w:szCs w:val="18"/>
              </w:rPr>
              <w:t xml:space="preserve">BM25</w:t>
            </w:r>
            <w:r>
              <w:rPr>
                <w:b w:val="false"/>
                <w:bCs w:val="false"/>
                <w:sz w:val="18"/>
                <w:szCs w:val="18"/>
              </w:rPr>
              <w:t xml:space="preserve">), </w:t>
            </w:r>
            <w:r>
              <w:rPr>
                <w:rFonts w:ascii="Consolas" w:cs="Consolas" w:eastAsia="Consolas" w:hAnsi="Consolas"/>
                <w:b w:val="false"/>
                <w:bCs w:val="false"/>
                <w:color w:val="3730A3"/>
                <w:sz w:val="16"/>
                <w:szCs w:val="16"/>
              </w:rPr>
              <w:t xml:space="preserve">design_system.py</w:t>
            </w:r>
            <w:r>
              <w:rPr>
                <w:b w:val="false"/>
                <w:bCs w:val="false"/>
                <w:sz w:val="18"/>
                <w:szCs w:val="18"/>
              </w:rPr>
              <w:t xml:space="preserve"> (generador de sistemas de diseño), validación de datos y tests.</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src/ui-ux-pro-max/templates/</w:t>
            </w:r>
          </w:p>
        </w:tc>
        <w:tc>
          <w:tcPr>
            <w:tcW w:type="dxa" w:w="6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Plantilla del texto de la skill y adaptadores para 23 plataformas de IA.</w:t>
            </w:r>
          </w:p>
        </w:tc>
      </w:tr>
      <w:tr>
        <w:trPr>
          <w:cantSplit/>
        </w:trPr>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.claude/skills/</w:t>
            </w:r>
          </w:p>
        </w:tc>
        <w:tc>
          <w:tcPr>
            <w:tcW w:type="dxa" w:w="61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La skill ya instalada para Claude, más skills complementarias: brand, design, design-system, ui-styling, banner-design y slides.</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cli/</w:t>
            </w:r>
          </w:p>
        </w:tc>
        <w:tc>
          <w:tcPr>
            <w:tcW w:type="dxa" w:w="6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Instalador en npm (</w:t>
            </w:r>
            <w:r>
              <w:rPr>
                <w:rFonts w:ascii="Consolas" w:cs="Consolas" w:eastAsia="Consolas" w:hAnsi="Consolas"/>
                <w:b w:val="false"/>
                <w:bCs w:val="false"/>
                <w:color w:val="3730A3"/>
                <w:sz w:val="16"/>
                <w:szCs w:val="16"/>
              </w:rPr>
              <w:t xml:space="preserve">ui-ux-pro-max-cli</w:t>
            </w:r>
            <w:r>
              <w:rPr>
                <w:b w:val="false"/>
                <w:bCs w:val="false"/>
                <w:sz w:val="18"/>
                <w:szCs w:val="18"/>
              </w:rPr>
              <w:t xml:space="preserve">, comando </w:t>
            </w:r>
            <w:r>
              <w:rPr>
                <w:rFonts w:ascii="Consolas" w:cs="Consolas" w:eastAsia="Consolas" w:hAnsi="Consolas"/>
                <w:b w:val="false"/>
                <w:bCs w:val="false"/>
                <w:color w:val="3730A3"/>
                <w:sz w:val="16"/>
                <w:szCs w:val="16"/>
              </w:rPr>
              <w:t xml:space="preserve">uipro</w:t>
            </w:r>
            <w:r>
              <w:rPr>
                <w:b w:val="false"/>
                <w:bCs w:val="false"/>
                <w:sz w:val="18"/>
                <w:szCs w:val="18"/>
              </w:rPr>
              <w:t xml:space="preserve">).</w:t>
            </w:r>
          </w:p>
        </w:tc>
      </w:tr>
      <w:tr>
        <w:trPr>
          <w:cantSplit/>
        </w:trPr>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projects/</w:t>
            </w:r>
          </w:p>
        </w:tc>
        <w:tc>
          <w:tcPr>
            <w:tcW w:type="dxa" w:w="61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Tres ejemplos generados con la skill: landing SaaS, panel sanitario y portfolio oscuro.</w:t>
            </w:r>
          </w:p>
        </w:tc>
      </w:tr>
      <w:tr>
        <w:trPr>
          <w:cantSplit/>
        </w:trPr>
        <w:tc>
          <w:tcPr>
            <w:tcW w:type="dxa" w:w="29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gallery/</w:t>
            </w:r>
            <w:r>
              <w:rPr>
                <w:b w:val="false"/>
                <w:bCs w:val="false"/>
                <w:sz w:val="18"/>
                <w:szCs w:val="18"/>
              </w:rPr>
              <w:t xml:space="preserve">, </w:t>
            </w:r>
            <w:r>
              <w:rPr>
                <w:rFonts w:ascii="Consolas" w:cs="Consolas" w:eastAsia="Consolas" w:hAnsi="Consolas"/>
                <w:b w:val="false"/>
                <w:bCs w:val="false"/>
                <w:color w:val="3730A3"/>
                <w:sz w:val="16"/>
                <w:szCs w:val="16"/>
              </w:rPr>
              <w:t xml:space="preserve">preview/</w:t>
            </w:r>
          </w:p>
        </w:tc>
        <w:tc>
          <w:tcPr>
            <w:tcW w:type="dxa" w:w="6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Galería web (Next.js + Tailwind) para explorar estilos.</w:t>
            </w:r>
          </w:p>
        </w:tc>
      </w:tr>
      <w:tr>
        <w:trPr>
          <w:cantSplit/>
        </w:trPr>
        <w:tc>
          <w:tcPr>
            <w:tcW w:type="dxa" w:w="29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rFonts w:ascii="Consolas" w:cs="Consolas" w:eastAsia="Consolas" w:hAnsi="Consolas"/>
                <w:b w:val="false"/>
                <w:bCs w:val="false"/>
                <w:color w:val="3730A3"/>
                <w:sz w:val="16"/>
                <w:szCs w:val="16"/>
              </w:rPr>
              <w:t xml:space="preserve">scripts/</w:t>
            </w:r>
          </w:p>
        </w:tc>
        <w:tc>
          <w:tcPr>
            <w:tcW w:type="dxa" w:w="61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Utilidades de mantenimiento: actualizar catálogo de fuentes e iconos, evaluar la relevancia de las búsquedas.</w:t>
            </w:r>
          </w:p>
        </w:tc>
      </w:tr>
    </w:tbl>
    <w:p>
      <w:pPr>
        <w:spacing w:after="200" w:before="60"/>
        <w:jc w:val="center"/>
      </w:pPr>
      <w:r>
        <w:rPr>
          <w:i/>
          <w:iCs/>
          <w:color w:val="475569"/>
          <w:sz w:val="18"/>
          <w:szCs w:val="18"/>
        </w:rPr>
        <w:t xml:space="preserve">Tabla 7. Estructura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Fichero de datos</w:t>
            </w:r>
          </w:p>
        </w:tc>
        <w:tc>
          <w:tcPr>
            <w:tcW w:type="dxa" w:w="1700"/>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Registros</w:t>
            </w:r>
          </w:p>
        </w:tc>
        <w:tc>
          <w:tcPr>
            <w:tcW w:type="dxa" w:w="4626"/>
            <w:tcBorders>
              <w:top w:val="single" w:color="CBD5E1" w:sz="4"/>
              <w:left w:val="single" w:color="CBD5E1" w:sz="4"/>
              <w:bottom w:val="single" w:color="CBD5E1" w:sz="4"/>
              <w:right w:val="single" w:color="CBD5E1" w:sz="4"/>
            </w:tcBorders>
            <w:shd w:fill="E0E7FF" w:color="auto" w:val="clear"/>
            <w:tcMar>
              <w:top w:type="dxa" w:w="60"/>
              <w:left w:type="dxa" w:w="100"/>
              <w:bottom w:type="dxa" w:w="60"/>
              <w:right w:type="dxa" w:w="100"/>
            </w:tcMar>
          </w:tcPr>
          <w:p>
            <w:pPr>
              <w:spacing w:after="0" w:line="252"/>
            </w:pPr>
            <w:r>
              <w:rPr>
                <w:b/>
                <w:bCs/>
                <w:color w:val="1E1B4B"/>
                <w:sz w:val="18"/>
                <w:szCs w:val="18"/>
              </w:rPr>
              <w:t xml:space="preserve">Para qué sirve</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styles.csv</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 79 estilos</w:t>
            </w:r>
          </w:p>
        </w:tc>
        <w:tc>
          <w:tcPr>
            <w:tcW w:type="dxa" w:w="46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Estilos de interfaz (glassmorphism, minimalismo, claymorphism…) con usos, accesibilidad y rendimiento.</w:t>
            </w:r>
          </w:p>
        </w:tc>
      </w:tr>
      <w:tr>
        <w:trPr>
          <w:cantSplit/>
        </w:trPr>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colors.csv</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192 paletas</w:t>
            </w:r>
          </w:p>
        </w:tc>
        <w:tc>
          <w:tcPr>
            <w:tcW w:type="dxa" w:w="46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Paletas por tipo de producto con tokens semánticos (primary, on-primary, background…).</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typography.csv / google-fonts.csv</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74 pares / ≈ 1.900 fuentes</w:t>
            </w:r>
          </w:p>
        </w:tc>
        <w:tc>
          <w:tcPr>
            <w:tcW w:type="dxa" w:w="46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Combinaciones tipográficas y catálogo de Google Fonts.</w:t>
            </w:r>
          </w:p>
        </w:tc>
      </w:tr>
      <w:tr>
        <w:trPr>
          <w:cantSplit/>
        </w:trPr>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products.csv / ui-reasoning.csv</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192 tipos</w:t>
            </w:r>
          </w:p>
        </w:tc>
        <w:tc>
          <w:tcPr>
            <w:tcW w:type="dxa" w:w="46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Reglas de razonamiento: qué estilo, color y patrón encaja con cada producto.</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ux-guidelines.csv</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bCs/>
                <w:sz w:val="18"/>
                <w:szCs w:val="18"/>
              </w:rPr>
              <w:t xml:space="preserve">119 directrices</w:t>
            </w:r>
          </w:p>
        </w:tc>
        <w:tc>
          <w:tcPr>
            <w:tcW w:type="dxa" w:w="46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Reglas UX con categoría, plataforma, qué hacer, qué evitar, ejemplo de código y severidad (4 críticas, 44 altas, 62 medias, 9 bajas). </w:t>
            </w:r>
            <w:r>
              <w:rPr>
                <w:b/>
                <w:bCs/>
                <w:sz w:val="18"/>
                <w:szCs w:val="18"/>
              </w:rPr>
              <w:t xml:space="preserve">Base de nuestro auditor.</w:t>
            </w:r>
          </w:p>
        </w:tc>
      </w:tr>
      <w:tr>
        <w:trPr>
          <w:cantSplit/>
        </w:trPr>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app-interface.csv</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32 reglas</w:t>
            </w:r>
          </w:p>
        </w:tc>
        <w:tc>
          <w:tcPr>
            <w:tcW w:type="dxa" w:w="46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Directrices específicas de apps móviles.</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landing.csv, charts.csv, icons.csv, motion.csv</w:t>
            </w:r>
          </w:p>
        </w:tc>
        <w:tc>
          <w:tcPr>
            <w:tcW w:type="dxa" w:w="170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35 / 25 / 105 / 17</w:t>
            </w:r>
          </w:p>
        </w:tc>
        <w:tc>
          <w:tcPr>
            <w:tcW w:type="dxa" w:w="46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line="252"/>
            </w:pPr>
            <w:r>
              <w:rPr>
                <w:b w:val="false"/>
                <w:bCs w:val="false"/>
                <w:sz w:val="18"/>
                <w:szCs w:val="18"/>
              </w:rPr>
              <w:t xml:space="preserve">Patrones de landing, tipos de gráfico, iconos y animaciones.</w:t>
            </w:r>
          </w:p>
        </w:tc>
      </w:tr>
      <w:tr>
        <w:trPr>
          <w:cantSplit/>
        </w:trPr>
        <w:tc>
          <w:tcPr>
            <w:tcW w:type="dxa" w:w="2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stacks/*.csv</w:t>
            </w:r>
          </w:p>
        </w:tc>
        <w:tc>
          <w:tcPr>
            <w:tcW w:type="dxa" w:w="1700"/>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22 tecnologías</w:t>
            </w:r>
          </w:p>
        </w:tc>
        <w:tc>
          <w:tcPr>
            <w:tcW w:type="dxa" w:w="4626"/>
            <w:tcBorders>
              <w:top w:val="single" w:color="CBD5E1" w:sz="4"/>
              <w:left w:val="single" w:color="CBD5E1" w:sz="4"/>
              <w:bottom w:val="single" w:color="CBD5E1" w:sz="4"/>
              <w:right w:val="single" w:color="CBD5E1" w:sz="4"/>
            </w:tcBorders>
            <w:shd w:fill="F5F7FF" w:color="auto" w:val="clear"/>
            <w:tcMar>
              <w:top w:type="dxa" w:w="60"/>
              <w:left w:type="dxa" w:w="100"/>
              <w:bottom w:type="dxa" w:w="60"/>
              <w:right w:type="dxa" w:w="100"/>
            </w:tcMar>
          </w:tcPr>
          <w:p>
            <w:pPr>
              <w:spacing w:after="0" w:line="252"/>
            </w:pPr>
            <w:r>
              <w:rPr>
                <w:b w:val="false"/>
                <w:bCs w:val="false"/>
                <w:sz w:val="18"/>
                <w:szCs w:val="18"/>
              </w:rPr>
              <w:t xml:space="preserve">Buenas prácticas por framework: React, Vue, Flutter, SwiftUI, Jetpack Compose, Tailwind…</w:t>
            </w:r>
          </w:p>
        </w:tc>
      </w:tr>
    </w:tbl>
    <w:p>
      <w:pPr>
        <w:spacing w:after="200" w:before="60"/>
        <w:jc w:val="center"/>
      </w:pPr>
      <w:r>
        <w:rPr>
          <w:i/>
          <w:iCs/>
          <w:color w:val="475569"/>
          <w:sz w:val="18"/>
          <w:szCs w:val="18"/>
        </w:rPr>
        <w:t xml:space="preserve">Tabla 8. Base de conocimiento de la skill.</w:t>
      </w:r>
    </w:p>
    <w:p>
      <w:pPr>
        <w:pStyle w:val="Heading2"/>
      </w:pPr>
      <w:bookmarkStart w:id="1026" w:name="_Toc900026"/>
      <w:r>
        <w:t xml:space="preserve">5.2 Cómo funciona</w:t>
      </w:r>
      <w:bookmarkEnd w:id="1026"/>
    </w:p>
    <w:p>
      <w:pPr>
        <w:spacing w:after="120" w:line="276"/>
      </w:pPr>
      <w:r>
        <w:t xml:space="preserve">Cuando se pide a la IA crear o revisar una interfaz, la skill sigue un flujo de cuatro pasos: (1) analizar los requisitos (tipo de producto, público, plataforma), (2) generar un sistema de diseño completo, (3) buscar directrices concretas por dominio (</w:t>
      </w:r>
      <w:r>
        <w:rPr>
          <w:rFonts w:ascii="Consolas" w:cs="Consolas" w:eastAsia="Consolas" w:hAnsi="Consolas"/>
          <w:color w:val="3730A3"/>
          <w:sz w:val="20"/>
          <w:szCs w:val="20"/>
        </w:rPr>
        <w:t xml:space="preserve">ux</w:t>
      </w:r>
      <w:r>
        <w:t xml:space="preserve">, </w:t>
      </w:r>
      <w:r>
        <w:rPr>
          <w:rFonts w:ascii="Consolas" w:cs="Consolas" w:eastAsia="Consolas" w:hAnsi="Consolas"/>
          <w:color w:val="3730A3"/>
          <w:sz w:val="20"/>
          <w:szCs w:val="20"/>
        </w:rPr>
        <w:t xml:space="preserve">color</w:t>
      </w:r>
      <w:r>
        <w:t xml:space="preserve">, </w:t>
      </w:r>
      <w:r>
        <w:rPr>
          <w:rFonts w:ascii="Consolas" w:cs="Consolas" w:eastAsia="Consolas" w:hAnsi="Consolas"/>
          <w:color w:val="3730A3"/>
          <w:sz w:val="20"/>
          <w:szCs w:val="20"/>
        </w:rPr>
        <w:t xml:space="preserve">typography</w:t>
      </w:r>
      <w:r>
        <w:t xml:space="preserve">, </w:t>
      </w:r>
      <w:r>
        <w:rPr>
          <w:rFonts w:ascii="Consolas" w:cs="Consolas" w:eastAsia="Consolas" w:hAnsi="Consolas"/>
          <w:color w:val="3730A3"/>
          <w:sz w:val="20"/>
          <w:szCs w:val="20"/>
        </w:rPr>
        <w:t xml:space="preserve">chart</w:t>
      </w:r>
      <w:r>
        <w:t xml:space="preserve">…) y (4) aplicar buenas prácticas del framework. Antes de entregar, aplica una lista de comprobación (contraste, foco visible, objetivos táctiles, no usar emojis como iconos, etc.). Las reglas se ordenan en 10 categorías por prioridad: accesibilidad, interacción táctil, rendimiento, estilo, diseño adaptable, tipografía y color, animación, formularios, navegación y gráficos.</w:t>
      </w:r>
    </w:p>
    <w:p>
      <w:pPr>
        <w:pStyle w:val="Heading2"/>
      </w:pPr>
      <w:bookmarkStart w:id="1027" w:name="_Toc900027"/>
      <w:r>
        <w:t xml:space="preserve">5.3 Instalación y uso</w:t>
      </w:r>
      <w:bookmarkEnd w:id="1027"/>
    </w:p>
    <w:p>
      <w:pPr>
        <w:shd w:fill="F1F5F9" w:color="auto" w:val="clear"/>
        <w:spacing w:after="0" w:line="240"/>
        <w:ind w:left="200" w:right="200"/>
      </w:pPr>
      <w:r>
        <w:rPr>
          <w:rFonts w:ascii="Consolas" w:cs="Consolas" w:eastAsia="Consolas" w:hAnsi="Consolas"/>
          <w:color w:val="0F172A"/>
          <w:sz w:val="17"/>
          <w:szCs w:val="17"/>
        </w:rPr>
        <w:t xml:space="preserve"># Instalar en Claude Code como plugin</w:t>
      </w:r>
    </w:p>
    <w:p>
      <w:pPr>
        <w:shd w:fill="F1F5F9" w:color="auto" w:val="clear"/>
        <w:spacing w:after="0" w:line="240"/>
        <w:ind w:left="200" w:right="200"/>
      </w:pPr>
      <w:r>
        <w:rPr>
          <w:rFonts w:ascii="Consolas" w:cs="Consolas" w:eastAsia="Consolas" w:hAnsi="Consolas"/>
          <w:color w:val="0F172A"/>
          <w:sz w:val="17"/>
          <w:szCs w:val="17"/>
        </w:rPr>
        <w:t xml:space="preserve">/plugin marketplace add nextlevelbuilder/ui-ux-pro-max-skill</w:t>
      </w:r>
    </w:p>
    <w:p>
      <w:pPr>
        <w:shd w:fill="F1F5F9" w:color="auto" w:val="clear"/>
        <w:spacing w:after="0" w:line="240"/>
        <w:ind w:left="200" w:right="200"/>
      </w:pPr>
      <w:r>
        <w:rPr>
          <w:rFonts w:ascii="Consolas" w:cs="Consolas" w:eastAsia="Consolas" w:hAnsi="Consolas"/>
          <w:color w:val="0F172A"/>
          <w:sz w:val="17"/>
          <w:szCs w:val="17"/>
        </w:rPr>
        <w:t xml:space="preserve">/plugin install ui-ux-pro-max@ui-ux-pro-max-skill</w:t>
      </w:r>
    </w:p>
    <w:p>
      <w:pPr>
        <w:shd w:fill="F1F5F9" w:color="auto" w:val="clear"/>
        <w:spacing w:after="0" w:line="240"/>
        <w:ind w:left="200" w:right="200"/>
      </w:pPr>
      <w:r>
        <w:rPr>
          <w:rFonts w:ascii="Consolas" w:cs="Consolas" w:eastAsia="Consolas" w:hAnsi="Consolas"/>
          <w:color w:val="0F172A"/>
          <w:sz w:val="17"/>
          <w:szCs w:val="17"/>
        </w:rPr>
        <w:t xml:space="preserve"> </w:t>
      </w:r>
    </w:p>
    <w:p>
      <w:pPr>
        <w:shd w:fill="F1F5F9" w:color="auto" w:val="clear"/>
        <w:spacing w:after="0" w:line="240"/>
        <w:ind w:left="200" w:right="200"/>
      </w:pPr>
      <w:r>
        <w:rPr>
          <w:rFonts w:ascii="Consolas" w:cs="Consolas" w:eastAsia="Consolas" w:hAnsi="Consolas"/>
          <w:color w:val="0F172A"/>
          <w:sz w:val="17"/>
          <w:szCs w:val="17"/>
        </w:rPr>
        <w:t xml:space="preserve"># o con el instalador</w:t>
      </w:r>
    </w:p>
    <w:p>
      <w:pPr>
        <w:shd w:fill="F1F5F9" w:color="auto" w:val="clear"/>
        <w:spacing w:after="0" w:line="240"/>
        <w:ind w:left="200" w:right="200"/>
      </w:pPr>
      <w:r>
        <w:rPr>
          <w:rFonts w:ascii="Consolas" w:cs="Consolas" w:eastAsia="Consolas" w:hAnsi="Consolas"/>
          <w:color w:val="0F172A"/>
          <w:sz w:val="17"/>
          <w:szCs w:val="17"/>
        </w:rPr>
        <w:t xml:space="preserve">npm install -g ui-ux-pro-max-cli</w:t>
      </w:r>
    </w:p>
    <w:p>
      <w:pPr>
        <w:shd w:fill="F1F5F9" w:color="auto" w:val="clear"/>
        <w:spacing w:after="0" w:line="240"/>
        <w:ind w:left="200" w:right="200"/>
      </w:pPr>
      <w:r>
        <w:rPr>
          <w:rFonts w:ascii="Consolas" w:cs="Consolas" w:eastAsia="Consolas" w:hAnsi="Consolas"/>
          <w:color w:val="0F172A"/>
          <w:sz w:val="17"/>
          <w:szCs w:val="17"/>
        </w:rPr>
        <w:t xml:space="preserve">uipro init --ai claude</w:t>
      </w:r>
    </w:p>
    <w:p>
      <w:pPr>
        <w:shd w:fill="F1F5F9" w:color="auto" w:val="clear"/>
        <w:spacing w:after="0" w:line="240"/>
        <w:ind w:left="200" w:right="200"/>
      </w:pPr>
      <w:r>
        <w:rPr>
          <w:rFonts w:ascii="Consolas" w:cs="Consolas" w:eastAsia="Consolas" w:hAnsi="Consolas"/>
          <w:color w:val="0F172A"/>
          <w:sz w:val="17"/>
          <w:szCs w:val="17"/>
        </w:rPr>
        <w:t xml:space="preserve"> </w:t>
      </w:r>
    </w:p>
    <w:p>
      <w:pPr>
        <w:shd w:fill="F1F5F9" w:color="auto" w:val="clear"/>
        <w:spacing w:after="0" w:line="240"/>
        <w:ind w:left="200" w:right="200"/>
      </w:pPr>
      <w:r>
        <w:rPr>
          <w:rFonts w:ascii="Consolas" w:cs="Consolas" w:eastAsia="Consolas" w:hAnsi="Consolas"/>
          <w:color w:val="0F172A"/>
          <w:sz w:val="17"/>
          <w:szCs w:val="17"/>
        </w:rPr>
        <w:t xml:space="preserve"># Uso directo de los scripts (Python 3, sin dependencias)</w:t>
      </w:r>
    </w:p>
    <w:p>
      <w:pPr>
        <w:shd w:fill="F1F5F9" w:color="auto" w:val="clear"/>
        <w:spacing w:after="0" w:line="240"/>
        <w:ind w:left="200" w:right="200"/>
      </w:pPr>
      <w:r>
        <w:rPr>
          <w:rFonts w:ascii="Consolas" w:cs="Consolas" w:eastAsia="Consolas" w:hAnsi="Consolas"/>
          <w:color w:val="0F172A"/>
          <w:sz w:val="17"/>
          <w:szCs w:val="17"/>
        </w:rPr>
        <w:t xml:space="preserve">python3 scripts/search.py "form error validation" --domain ux -n 3</w:t>
      </w:r>
    </w:p>
    <w:p>
      <w:pPr>
        <w:shd w:fill="F1F5F9" w:color="auto" w:val="clear"/>
        <w:spacing w:after="160" w:line="240"/>
        <w:ind w:left="200" w:right="200"/>
      </w:pPr>
      <w:r>
        <w:rPr>
          <w:rFonts w:ascii="Consolas" w:cs="Consolas" w:eastAsia="Consolas" w:hAnsi="Consolas"/>
          <w:color w:val="0F172A"/>
          <w:sz w:val="17"/>
          <w:szCs w:val="17"/>
        </w:rPr>
        <w:t xml:space="preserve">python3 scripts/search.py "educational platform" --design-system -p "Mi proyecto"</w:t>
      </w:r>
    </w:p>
    <w:p>
      <w:pPr>
        <w:pStyle w:val="Heading2"/>
      </w:pPr>
      <w:bookmarkStart w:id="1028" w:name="_Toc900028"/>
      <w:r>
        <w:t xml:space="preserve">5.4 Cómo lo hemos aplicado en nuestro proyecto</w:t>
      </w:r>
      <w:bookmarkEnd w:id="1028"/>
    </w:p>
    <w:p>
      <w:pPr>
        <w:pStyle w:val="ListParagraph"/>
        <w:numPr>
          <w:ilvl w:val="0"/>
          <w:numId w:val="2"/>
        </w:numPr>
        <w:spacing w:after="60" w:line="264"/>
      </w:pPr>
      <w:r>
        <w:rPr>
          <w:b/>
          <w:bCs/>
        </w:rPr>
        <w:t xml:space="preserve">Fuente de reglas de la métrica (03):</w:t>
      </w:r>
      <w:r>
        <w:t xml:space="preserve"> las severidades Crítica/Alta/Media/Baja y las categorías de </w:t>
      </w:r>
      <w:r>
        <w:rPr>
          <w:rFonts w:ascii="Consolas" w:cs="Consolas" w:eastAsia="Consolas" w:hAnsi="Consolas"/>
          <w:color w:val="3730A3"/>
          <w:sz w:val="20"/>
          <w:szCs w:val="20"/>
        </w:rPr>
        <w:t xml:space="preserve">ux-guidelines.csv</w:t>
      </w:r>
      <w:r>
        <w:t xml:space="preserve"> se han usado para definir los pesos y las comprobaciones de cada dimensión.</w:t>
      </w:r>
    </w:p>
    <w:p>
      <w:pPr>
        <w:pStyle w:val="ListParagraph"/>
        <w:numPr>
          <w:ilvl w:val="0"/>
          <w:numId w:val="2"/>
        </w:numPr>
        <w:spacing w:after="60" w:line="264"/>
      </w:pPr>
      <w:r>
        <w:rPr>
          <w:b/>
          <w:bCs/>
        </w:rPr>
        <w:t xml:space="preserve">Base de conocimiento del auditor (04):</w:t>
      </w:r>
      <w:r>
        <w:t xml:space="preserve"> el auditor incluye </w:t>
      </w:r>
      <w:r>
        <w:rPr>
          <w:rFonts w:ascii="Consolas" w:cs="Consolas" w:eastAsia="Consolas" w:hAnsi="Consolas"/>
          <w:color w:val="3730A3"/>
          <w:sz w:val="20"/>
          <w:szCs w:val="20"/>
        </w:rPr>
        <w:t xml:space="preserve">ux-guidelines.csv</w:t>
      </w:r>
      <w:r>
        <w:t xml:space="preserve"> y, para cada fallo, muestra la directriz correspondiente, buscada con el mismo método BM25 que </w:t>
      </w:r>
      <w:r>
        <w:rPr>
          <w:rFonts w:ascii="Consolas" w:cs="Consolas" w:eastAsia="Consolas" w:hAnsi="Consolas"/>
          <w:color w:val="3730A3"/>
          <w:sz w:val="20"/>
          <w:szCs w:val="20"/>
        </w:rPr>
        <w:t xml:space="preserve">search.py</w:t>
      </w:r>
      <w:r>
        <w:t xml:space="preserve">. Por ejemplo, al detectar un formulario cuyos errores solo se marcan en rojo, la búsqueda </w:t>
      </w:r>
      <w:r>
        <w:rPr>
          <w:rFonts w:ascii="Consolas" w:cs="Consolas" w:eastAsia="Consolas" w:hAnsi="Consolas"/>
          <w:color w:val="3730A3"/>
          <w:sz w:val="20"/>
          <w:szCs w:val="20"/>
        </w:rPr>
        <w:t xml:space="preserve">"form error validation" --domain ux</w:t>
      </w:r>
      <w:r>
        <w:t xml:space="preserve"> devuelve la regla «Focusable Error Summary» (severidad Alta): colocar un resumen de errores enfocable al inicio del formulario y enlazar cada error a su campo.</w:t>
      </w:r>
    </w:p>
    <w:p>
      <w:pPr>
        <w:pStyle w:val="ListParagraph"/>
        <w:numPr>
          <w:ilvl w:val="0"/>
          <w:numId w:val="2"/>
        </w:numPr>
        <w:spacing w:after="60" w:line="264"/>
      </w:pPr>
      <w:r>
        <w:rPr>
          <w:b/>
          <w:bCs/>
        </w:rPr>
        <w:t xml:space="preserve">Generación de interfaces:</w:t>
      </w:r>
      <w:r>
        <w:t xml:space="preserve"> el generador de sistemas de diseño propone patrón, estilo, paleta, tipografía y checklist de entrega; lo usaremos para diseñar el propio informe HTML del auditor.</w:t>
      </w:r>
    </w:p>
    <w:p>
      <w:pPr>
        <w:pBdr>
          <w:left w:val="single" w:color="4F46E5" w:sz="18" w:space="8"/>
        </w:pBdr>
        <w:shd w:fill="EEF2FF" w:color="auto" w:val="clear"/>
        <w:spacing w:after="160" w:before="80" w:line="264"/>
        <w:ind w:left="160"/>
      </w:pPr>
      <w:r>
        <w:rPr>
          <w:b/>
          <w:bCs/>
        </w:rPr>
        <w:t xml:space="preserve">En resumen:</w:t>
      </w:r>
      <w:r>
        <w:t xml:space="preserve"> UI UX Pro Max aporta el </w:t>
      </w:r>
      <w:r>
        <w:rPr>
          <w:b/>
          <w:bCs/>
        </w:rPr>
        <w:t xml:space="preserve">conocimiento</w:t>
      </w:r>
      <w:r>
        <w:t xml:space="preserve"> (qué es una buena interfaz y cómo arreglarla); nuestro trabajo aporta la </w:t>
      </w:r>
      <w:r>
        <w:rPr>
          <w:b/>
          <w:bCs/>
        </w:rPr>
        <w:t xml:space="preserve">medición</w:t>
      </w:r>
      <w:r>
        <w:t xml:space="preserve"> (Índice IUX) y la </w:t>
      </w:r>
      <w:r>
        <w:rPr>
          <w:b/>
          <w:bCs/>
        </w:rPr>
        <w:t xml:space="preserve">herramienta</w:t>
      </w:r>
      <w:r>
        <w:t xml:space="preserve"> que lo aplica de forma automática y repetible (UX-Auditor).</w:t>
      </w:r>
    </w:p>
    <w:p>
      <w:pPr>
        <w:pStyle w:val="Heading2"/>
      </w:pPr>
      <w:bookmarkStart w:id="1029" w:name="_Toc900029"/>
      <w:r>
        <w:t xml:space="preserve">Referencias</w:t>
      </w:r>
      <w:bookmarkEnd w:id="1029"/>
    </w:p>
    <w:p>
      <w:pPr>
        <w:pStyle w:val="ListParagraph"/>
        <w:numPr>
          <w:ilvl w:val="0"/>
          <w:numId w:val="2"/>
        </w:numPr>
        <w:spacing w:after="60" w:line="264"/>
      </w:pPr>
      <w:r>
        <w:t xml:space="preserve">ISO 9241-11:2018, ISO 9241-110:2020, ISO 9241-210:2019, ISO/IEC 25010:2023.</w:t>
      </w:r>
    </w:p>
    <w:p>
      <w:pPr>
        <w:pStyle w:val="ListParagraph"/>
        <w:numPr>
          <w:ilvl w:val="0"/>
          <w:numId w:val="2"/>
        </w:numPr>
        <w:spacing w:after="60" w:line="264"/>
      </w:pPr>
      <w:r>
        <w:t xml:space="preserve">W3C. Web Content Accessibility Guidelines (WCAG) 2.2 — w3.org/TR/WCAG22. ISO/IEC 40500:2025 (w3.org/WAI/news/2025-10-21/wcag22-iso).</w:t>
      </w:r>
    </w:p>
    <w:p>
      <w:pPr>
        <w:pStyle w:val="ListParagraph"/>
        <w:numPr>
          <w:ilvl w:val="0"/>
          <w:numId w:val="2"/>
        </w:numPr>
        <w:spacing w:after="60" w:line="264"/>
      </w:pPr>
      <w:r>
        <w:t xml:space="preserve">W3C. WCAG 3.0, borrador de trabajo de marzo de 2026 — w3.org/TR/wcag-3.0.</w:t>
      </w:r>
    </w:p>
    <w:p>
      <w:pPr>
        <w:pStyle w:val="ListParagraph"/>
        <w:numPr>
          <w:ilvl w:val="0"/>
          <w:numId w:val="2"/>
        </w:numPr>
        <w:spacing w:after="60" w:line="264"/>
      </w:pPr>
      <w:r>
        <w:t xml:space="preserve">Directiva (UE) 2019/882; Ley 11/2023; Real Decreto 1112/2018; EN 301 549.</w:t>
      </w:r>
    </w:p>
    <w:p>
      <w:pPr>
        <w:pStyle w:val="ListParagraph"/>
        <w:numPr>
          <w:ilvl w:val="0"/>
          <w:numId w:val="2"/>
        </w:numPr>
        <w:spacing w:after="60" w:line="264"/>
      </w:pPr>
      <w:r>
        <w:t xml:space="preserve">W3C Design Tokens Community Group. Especificación estable 2025.10 — designtokens.org.</w:t>
      </w:r>
    </w:p>
    <w:p>
      <w:pPr>
        <w:pStyle w:val="ListParagraph"/>
        <w:numPr>
          <w:ilvl w:val="0"/>
          <w:numId w:val="2"/>
        </w:numPr>
        <w:spacing w:after="60" w:line="264"/>
      </w:pPr>
      <w:r>
        <w:t xml:space="preserve">Nielsen, J. 10 Usability Heuristics for User Interface Design — nngroup.com.</w:t>
      </w:r>
    </w:p>
    <w:p>
      <w:pPr>
        <w:pStyle w:val="ListParagraph"/>
        <w:numPr>
          <w:ilvl w:val="0"/>
          <w:numId w:val="2"/>
        </w:numPr>
        <w:spacing w:after="60" w:line="264"/>
      </w:pPr>
      <w:r>
        <w:t xml:space="preserve">Brooke, J. SUS: A «quick and dirty» usability scale (1996).</w:t>
      </w:r>
    </w:p>
    <w:p>
      <w:pPr>
        <w:pStyle w:val="ListParagraph"/>
        <w:numPr>
          <w:ilvl w:val="0"/>
          <w:numId w:val="2"/>
        </w:numPr>
        <w:spacing w:after="60" w:line="264"/>
      </w:pPr>
      <w:r>
        <w:t xml:space="preserve">Krug, S. No me hagas pensar. Una aproximación a la usabilidad web (Don't Make Me Think, Revisited, 3.ª ed.). New Riders, 2014; Anaya Multimedia.</w:t>
      </w:r>
    </w:p>
    <w:p>
      <w:pPr>
        <w:pStyle w:val="ListParagraph"/>
        <w:numPr>
          <w:ilvl w:val="0"/>
          <w:numId w:val="2"/>
        </w:numPr>
        <w:spacing w:after="60" w:line="264"/>
      </w:pPr>
      <w:r>
        <w:t xml:space="preserve">Krug, S. Haz fácil lo imposible: la guía para detectar y determinar los problemas de usabilidad (Rocket Surgery Made Easy). New Riders / Anaya, 2010.</w:t>
      </w:r>
    </w:p>
    <w:p>
      <w:pPr>
        <w:pStyle w:val="ListParagraph"/>
        <w:numPr>
          <w:ilvl w:val="0"/>
          <w:numId w:val="2"/>
        </w:numPr>
        <w:spacing w:after="60" w:line="264"/>
      </w:pPr>
      <w:r>
        <w:t xml:space="preserve">Amershi, S. et al. Guidelines for Human-AI Interaction (CHI 2019).</w:t>
      </w:r>
    </w:p>
    <w:p>
      <w:pPr>
        <w:pStyle w:val="ListParagraph"/>
        <w:numPr>
          <w:ilvl w:val="0"/>
          <w:numId w:val="2"/>
        </w:numPr>
        <w:spacing w:after="60" w:line="264"/>
      </w:pPr>
      <w:r>
        <w:t xml:space="preserve">Google. Web Vitals — web.dev/vitals.</w:t>
      </w:r>
    </w:p>
    <w:p>
      <w:pPr>
        <w:pStyle w:val="ListParagraph"/>
        <w:numPr>
          <w:ilvl w:val="0"/>
          <w:numId w:val="2"/>
        </w:numPr>
        <w:spacing w:after="60" w:line="264"/>
      </w:pPr>
      <w:r>
        <w:t xml:space="preserve">Deque Systems. Automated Testing Study Identifies 57 Percent of Digital Accessibility Issues — deque.com.</w:t>
      </w:r>
    </w:p>
    <w:p>
      <w:pPr>
        <w:pStyle w:val="ListParagraph"/>
        <w:numPr>
          <w:ilvl w:val="0"/>
          <w:numId w:val="2"/>
        </w:numPr>
        <w:spacing w:after="60" w:line="264"/>
      </w:pPr>
      <w:r>
        <w:t xml:space="preserve">Comisión Europea. Sweep on dark patterns in online shops, IP/23/418 (2023).</w:t>
      </w:r>
    </w:p>
    <w:p>
      <w:pPr>
        <w:pStyle w:val="ListParagraph"/>
        <w:numPr>
          <w:ilvl w:val="0"/>
          <w:numId w:val="2"/>
        </w:numPr>
        <w:spacing w:after="60" w:line="264"/>
      </w:pPr>
      <w:r>
        <w:t xml:space="preserve">AEPD. Guía sobre el uso de las cookies (actualización de julio de 2023).</w:t>
      </w:r>
    </w:p>
    <w:p>
      <w:pPr>
        <w:pStyle w:val="ListParagraph"/>
        <w:numPr>
          <w:ilvl w:val="0"/>
          <w:numId w:val="2"/>
        </w:numPr>
        <w:spacing w:after="60" w:line="264"/>
      </w:pPr>
      <w:r>
        <w:t xml:space="preserve">EDPB. Guidelines 03/2022 on deceptive design patterns in social media platform interfaces.</w:t>
      </w:r>
    </w:p>
    <w:p>
      <w:pPr>
        <w:pStyle w:val="ListParagraph"/>
        <w:numPr>
          <w:ilvl w:val="0"/>
          <w:numId w:val="2"/>
        </w:numPr>
        <w:spacing w:after="60" w:line="264"/>
      </w:pPr>
      <w:r>
        <w:t xml:space="preserve">Sustainable Web Design. Estimating Digital Emissions (modelo v4) y Digital Carbon Ratings — sustainablewebdesign.org.</w:t>
      </w:r>
    </w:p>
    <w:p>
      <w:pPr>
        <w:pStyle w:val="ListParagraph"/>
        <w:numPr>
          <w:ilvl w:val="0"/>
          <w:numId w:val="2"/>
        </w:numPr>
        <w:spacing w:after="60" w:line="264"/>
      </w:pPr>
      <w:r>
        <w:t xml:space="preserve">Fernández Huerta, J. Medidas sencillas de lecturabilidad. Consigna, 214 (1959).</w:t>
      </w:r>
    </w:p>
    <w:p>
      <w:pPr>
        <w:pStyle w:val="ListParagraph"/>
        <w:numPr>
          <w:ilvl w:val="0"/>
          <w:numId w:val="2"/>
        </w:numPr>
        <w:spacing w:after="60" w:line="264"/>
      </w:pPr>
      <w:r>
        <w:t xml:space="preserve">ISO 24495-1:2023. Plain language — Part 1: Governing principles and guidelines.</w:t>
      </w:r>
    </w:p>
    <w:p>
      <w:pPr>
        <w:pStyle w:val="ListParagraph"/>
        <w:numPr>
          <w:ilvl w:val="0"/>
          <w:numId w:val="2"/>
        </w:numPr>
        <w:spacing w:after="60" w:line="264"/>
      </w:pPr>
      <w:r>
        <w:t xml:space="preserve">W3C. Accessible Rich Internet Applications (WAI-ARIA) 1.2. Recomendación del W3C, junio de 2023 — w3.org/TR/wai-aria-1.2.</w:t>
      </w:r>
    </w:p>
    <w:p>
      <w:pPr>
        <w:pStyle w:val="ListParagraph"/>
        <w:numPr>
          <w:ilvl w:val="0"/>
          <w:numId w:val="2"/>
        </w:numPr>
        <w:spacing w:after="60" w:line="264"/>
      </w:pPr>
      <w:r>
        <w:t xml:space="preserve">W3C. WCAG Evaluation Methodology (WCAG-EM) 2.0. Nota de grupo, julio de 2026 — w3.org/TR/WCAG-EM.</w:t>
      </w:r>
    </w:p>
    <w:p>
      <w:pPr>
        <w:pStyle w:val="ListParagraph"/>
        <w:numPr>
          <w:ilvl w:val="0"/>
          <w:numId w:val="2"/>
        </w:numPr>
        <w:spacing w:after="60" w:line="264"/>
      </w:pPr>
      <w:r>
        <w:t xml:space="preserve">Directiva (UE) 2016/2102 sobre la accesibilidad de los sitios web y aplicaciones para dispositivos móviles de los organismos del sector público.</w:t>
      </w:r>
    </w:p>
    <w:p>
      <w:pPr>
        <w:pStyle w:val="ListParagraph"/>
        <w:numPr>
          <w:ilvl w:val="0"/>
          <w:numId w:val="2"/>
        </w:numPr>
        <w:spacing w:after="60" w:line="264"/>
      </w:pPr>
      <w:r>
        <w:t xml:space="preserve">Reglamento (UE) 2016/679 (Reglamento General de Protección de Datos); Ley 34/2002, de servicios de la sociedad de la información y de comercio electrónico (LSSI).</w:t>
      </w:r>
    </w:p>
    <w:p>
      <w:pPr>
        <w:pStyle w:val="ListParagraph"/>
        <w:numPr>
          <w:ilvl w:val="0"/>
          <w:numId w:val="2"/>
        </w:numPr>
        <w:spacing w:after="60" w:line="264"/>
      </w:pPr>
      <w:r>
        <w:t xml:space="preserve">Reglamento (UE) 2022/2065 de Servicios Digitales (DSA); Directiva 2005/29/CE sobre las prácticas comerciales desleales.</w:t>
      </w:r>
    </w:p>
    <w:p>
      <w:pPr>
        <w:pStyle w:val="ListParagraph"/>
        <w:numPr>
          <w:ilvl w:val="0"/>
          <w:numId w:val="2"/>
        </w:numPr>
        <w:spacing w:after="60" w:line="264"/>
      </w:pPr>
      <w:r>
        <w:t xml:space="preserve">Reglamento (UE) 2024/1689 por el que se establecen normas armonizadas en materia de inteligencia artificial.</w:t>
      </w:r>
    </w:p>
    <w:p>
      <w:pPr>
        <w:pStyle w:val="ListParagraph"/>
        <w:numPr>
          <w:ilvl w:val="0"/>
          <w:numId w:val="2"/>
        </w:numPr>
        <w:spacing w:after="60" w:line="264"/>
      </w:pPr>
      <w:r>
        <w:t xml:space="preserve">Nielsen, J. y Molich, R. Heuristic evaluation of user interfaces. Proceedings of CHI '90, 249–256 (1990).</w:t>
      </w:r>
    </w:p>
    <w:p>
      <w:pPr>
        <w:pStyle w:val="ListParagraph"/>
        <w:numPr>
          <w:ilvl w:val="0"/>
          <w:numId w:val="2"/>
        </w:numPr>
        <w:spacing w:after="60" w:line="264"/>
      </w:pPr>
      <w:r>
        <w:t xml:space="preserve">Nielsen, J. Enhancing the explanatory power of usability heuristics. Proceedings of CHI '94, 152–158 (1994).</w:t>
      </w:r>
    </w:p>
    <w:p>
      <w:pPr>
        <w:pStyle w:val="ListParagraph"/>
        <w:numPr>
          <w:ilvl w:val="0"/>
          <w:numId w:val="2"/>
        </w:numPr>
        <w:spacing w:after="60" w:line="264"/>
      </w:pPr>
      <w:r>
        <w:t xml:space="preserve">Nielsen Norman Group. How to Conduct a Heuristic Evaluation (2023) — nngroup.com.</w:t>
      </w:r>
    </w:p>
    <w:p>
      <w:pPr>
        <w:pStyle w:val="ListParagraph"/>
        <w:numPr>
          <w:ilvl w:val="0"/>
          <w:numId w:val="2"/>
        </w:numPr>
        <w:spacing w:after="60" w:line="264"/>
      </w:pPr>
      <w:r>
        <w:t xml:space="preserve">Nielsen, J. End of Web Design. Alertbox (2000) — nngroup.com.</w:t>
      </w:r>
    </w:p>
    <w:p>
      <w:pPr>
        <w:pStyle w:val="ListParagraph"/>
        <w:numPr>
          <w:ilvl w:val="0"/>
          <w:numId w:val="2"/>
        </w:numPr>
        <w:spacing w:after="60" w:line="264"/>
      </w:pPr>
      <w:r>
        <w:t xml:space="preserve">Norman, D. A. The Design of Everyday Things. Edición revisada y ampliada. Basic Books, 2013.</w:t>
      </w:r>
    </w:p>
    <w:p>
      <w:pPr>
        <w:pStyle w:val="ListParagraph"/>
        <w:numPr>
          <w:ilvl w:val="0"/>
          <w:numId w:val="2"/>
        </w:numPr>
        <w:spacing w:after="60" w:line="264"/>
      </w:pPr>
      <w:r>
        <w:t xml:space="preserve">Shneiderman, B., Plaisant, C., Cohen, M., Jacobs, S., Elmqvist, N. y Diakopoulos, N. Designing the User Interface, 6.ª ed. Pearson, 2016.</w:t>
      </w:r>
    </w:p>
    <w:p>
      <w:pPr>
        <w:pStyle w:val="ListParagraph"/>
        <w:numPr>
          <w:ilvl w:val="0"/>
          <w:numId w:val="2"/>
        </w:numPr>
        <w:spacing w:after="60" w:line="264"/>
      </w:pPr>
      <w:r>
        <w:t xml:space="preserve">Simon, H. A. Rational choice and the structure of the environment. Psychological Review, 63(2), 129–138 (1956).</w:t>
      </w:r>
    </w:p>
    <w:p>
      <w:pPr>
        <w:pStyle w:val="ListParagraph"/>
        <w:numPr>
          <w:ilvl w:val="0"/>
          <w:numId w:val="2"/>
        </w:numPr>
        <w:spacing w:after="60" w:line="264"/>
      </w:pPr>
      <w:r>
        <w:t xml:space="preserve">Design Council. The Double Diamond (Framework for Innovation) — designcouncil.org.uk.</w:t>
      </w:r>
    </w:p>
    <w:p>
      <w:pPr>
        <w:pStyle w:val="ListParagraph"/>
        <w:numPr>
          <w:ilvl w:val="0"/>
          <w:numId w:val="2"/>
        </w:numPr>
        <w:spacing w:after="60" w:line="264"/>
      </w:pPr>
      <w:r>
        <w:t xml:space="preserve">Baymard Institute. E-commerce UX research and guidelines — baymard.com (consultado en octubre de 2026).</w:t>
      </w:r>
    </w:p>
    <w:p>
      <w:pPr>
        <w:pStyle w:val="ListParagraph"/>
        <w:numPr>
          <w:ilvl w:val="0"/>
          <w:numId w:val="2"/>
        </w:numPr>
        <w:spacing w:after="60" w:line="264"/>
      </w:pPr>
      <w:r>
        <w:t xml:space="preserve">Government Digital Service. GOV.UK Design System — design-system.service.gov.uk.</w:t>
      </w:r>
    </w:p>
    <w:p>
      <w:pPr>
        <w:pStyle w:val="ListParagraph"/>
        <w:numPr>
          <w:ilvl w:val="0"/>
          <w:numId w:val="2"/>
        </w:numPr>
        <w:spacing w:after="60" w:line="264"/>
      </w:pPr>
      <w:r>
        <w:t xml:space="preserve">Fitts, P. M. The information capacity of the human motor system in controlling the amplitude of movement. Journal of Experimental Psychology, 47(6), 381–391 (1954).</w:t>
      </w:r>
    </w:p>
    <w:p>
      <w:pPr>
        <w:pStyle w:val="ListParagraph"/>
        <w:numPr>
          <w:ilvl w:val="0"/>
          <w:numId w:val="2"/>
        </w:numPr>
        <w:spacing w:after="60" w:line="264"/>
      </w:pPr>
      <w:r>
        <w:t xml:space="preserve">Hick, W. E. On the rate of gain of information. Quarterly Journal of Experimental Psychology, 4(1), 11–26 (1952). Hyman, R. Stimulus information as a determinant of reaction time. Journal of Experimental Psychology, 45(3), 188–196 (1953).</w:t>
      </w:r>
    </w:p>
    <w:p>
      <w:pPr>
        <w:pStyle w:val="ListParagraph"/>
        <w:numPr>
          <w:ilvl w:val="0"/>
          <w:numId w:val="2"/>
        </w:numPr>
        <w:spacing w:after="60" w:line="264"/>
      </w:pPr>
      <w:r>
        <w:t xml:space="preserve">Miller, G. A. The magical number seven, plus or minus two. Psychological Review, 63(2), 81–97 (1956).</w:t>
      </w:r>
    </w:p>
    <w:p>
      <w:pPr>
        <w:pStyle w:val="ListParagraph"/>
        <w:numPr>
          <w:ilvl w:val="0"/>
          <w:numId w:val="2"/>
        </w:numPr>
        <w:spacing w:after="60" w:line="264"/>
      </w:pPr>
      <w:r>
        <w:t xml:space="preserve">Cowan, N. The magical number 4 in short-term memory: a reconsideration of mental storage capacity. Behavioral and Brain Sciences, 24(1), 87–114 (2001).</w:t>
      </w:r>
    </w:p>
    <w:p>
      <w:pPr>
        <w:pStyle w:val="ListParagraph"/>
        <w:numPr>
          <w:ilvl w:val="0"/>
          <w:numId w:val="2"/>
        </w:numPr>
        <w:spacing w:after="60" w:line="264"/>
      </w:pPr>
      <w:r>
        <w:t xml:space="preserve">Doherty, W. J. y Thadani, A. J. The economic value of rapid response time. IBM, 1982.</w:t>
      </w:r>
    </w:p>
    <w:p>
      <w:pPr>
        <w:pStyle w:val="ListParagraph"/>
        <w:numPr>
          <w:ilvl w:val="0"/>
          <w:numId w:val="2"/>
        </w:numPr>
        <w:spacing w:after="60" w:line="264"/>
      </w:pPr>
      <w:r>
        <w:t xml:space="preserve">Google. Material Design 3 — m3.material.io. Apple. Human Interface Guidelines — developer.apple.com/design. Microsoft. Fluent 2 Design System — fluent2.microsoft.design.</w:t>
      </w:r>
    </w:p>
    <w:p>
      <w:pPr>
        <w:pStyle w:val="ListParagraph"/>
        <w:numPr>
          <w:ilvl w:val="0"/>
          <w:numId w:val="2"/>
        </w:numPr>
        <w:spacing w:after="60" w:line="264"/>
      </w:pPr>
      <w:r>
        <w:t xml:space="preserve">Sauro, J. y Lewis, J. R. Quantifying the User Experience: Practical Statistics for User Research, 2.ª ed. Morgan Kaufmann, 2016.</w:t>
      </w:r>
    </w:p>
    <w:p>
      <w:pPr>
        <w:pStyle w:val="ListParagraph"/>
        <w:numPr>
          <w:ilvl w:val="0"/>
          <w:numId w:val="2"/>
        </w:numPr>
        <w:spacing w:after="60" w:line="264"/>
      </w:pPr>
      <w:r>
        <w:t xml:space="preserve">Laugwitz, B., Held, T. y Schrepp, M. Construction and evaluation of a user experience questionnaire. USAB 2008, LNCS 5298, 63–76 (2008).</w:t>
      </w:r>
    </w:p>
    <w:p>
      <w:pPr>
        <w:pStyle w:val="ListParagraph"/>
        <w:numPr>
          <w:ilvl w:val="0"/>
          <w:numId w:val="2"/>
        </w:numPr>
        <w:spacing w:after="60" w:line="264"/>
      </w:pPr>
      <w:r>
        <w:t xml:space="preserve">Rodden, K., Hutchinson, H. y Fu, X. Measuring the user experience on a large scale: user-centered metrics for web applications. Proceedings of CHI 2010, 2395–2398 (2010).</w:t>
      </w:r>
    </w:p>
    <w:p>
      <w:pPr>
        <w:pStyle w:val="ListParagraph"/>
        <w:numPr>
          <w:ilvl w:val="0"/>
          <w:numId w:val="2"/>
        </w:numPr>
        <w:spacing w:after="60" w:line="264"/>
      </w:pPr>
      <w:r>
        <w:t xml:space="preserve">W3C Sustainable Web Design Community Group. Web Sustainability Guidelines (WSG). Borrador de informe de grupo comunitario.</w:t>
      </w:r>
    </w:p>
    <w:p>
      <w:pPr>
        <w:pStyle w:val="ListParagraph"/>
        <w:numPr>
          <w:ilvl w:val="0"/>
          <w:numId w:val="2"/>
        </w:numPr>
        <w:spacing w:after="60" w:line="264"/>
      </w:pPr>
      <w:r>
        <w:t xml:space="preserve">NextLevelBuilder. UI UX Pro Max Skill — github.com/nextlevelbuilder/ui-ux-pro-max-skill.</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color w:val="475569"/>
        <w:sz w:val="16"/>
        <w:szCs w:val="16"/>
      </w:rPr>
      <w:t xml:space="preserve">Digitalización Avanzada · 2º DAM</w:t>
    </w:r>
    <w:r>
      <w:rPr>
        <w:color w:val="475569"/>
        <w:sz w:val="16"/>
        <w:szCs w:val="16"/>
      </w:rPr>
      <w:t xml:space="preserve">	Equipo UX — Experiencia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12" w:space="6"/>
      </w:pBdr>
      <w:spacing w:after="240" w:before="0"/>
      <w:outlineLvl w:val="0"/>
    </w:pPr>
    <w:rPr>
      <w:b/>
      <w:bCs/>
      <w:color w:val="1E1B4B"/>
      <w:sz w:val="36"/>
      <w:szCs w:val="36"/>
    </w:rPr>
  </w:style>
  <w:style w:type="paragraph" w:styleId="Heading2">
    <w:name w:val="Heading 2"/>
    <w:basedOn w:val="Normal"/>
    <w:next w:val="Normal"/>
    <w:qFormat/>
    <w:pPr>
      <w:keepNext/>
      <w:spacing w:after="120" w:before="280"/>
      <w:outlineLvl w:val="1"/>
    </w:pPr>
    <w:rPr>
      <w:b/>
      <w:bCs/>
      <w:color w:val="4F46E5"/>
      <w:sz w:val="28"/>
      <w:szCs w:val="28"/>
    </w:rPr>
  </w:style>
  <w:style w:type="paragraph" w:styleId="Heading3">
    <w:name w:val="Heading 3"/>
    <w:basedOn w:val="Normal"/>
    <w:next w:val="Normal"/>
    <w:qFormat/>
    <w:pPr>
      <w:keepNext/>
      <w:spacing w:after="80" w:before="200"/>
      <w:outlineLvl w:val="2"/>
    </w:pPr>
    <w:rPr>
      <w:b/>
      <w:bCs/>
      <w:color w:val="1E1B4B"/>
      <w:sz w:val="23"/>
      <w:szCs w:val="23"/>
    </w:rPr>
  </w:style>
  <w:style w:type="paragraph" w:styleId="TOC1">
    <w:name w:val="toc 1"/>
    <w:next w:val="TOC2"/>
    <w:uiPriority w:val="39"/>
    <w:unhideWhenUsed/>
    <w:pPr>
      <w:tabs>
        <w:tab w:val="right" w:leader="dot" w:pos="9016"/>
      </w:tabs>
      <w:spacing w:before="160" w:after="60"/>
    </w:pPr>
    <w:rPr>
      <w:b/>
      <w:bCs/>
      <w:color w:val="1E1B4B"/>
      <w:sz w:val="24"/>
      <w:szCs w:val="24"/>
    </w:rPr>
  </w:style>
  <w:style w:type="paragraph" w:styleId="TOC2">
    <w:name w:val="toc 2"/>
    <w:next w:val="TOC2"/>
    <w:uiPriority w:val="39"/>
    <w:unhideWhenUsed/>
    <w:pPr>
      <w:tabs>
        <w:tab w:val="right" w:leader="dot" w:pos="9016"/>
      </w:tabs>
      <w:spacing w:after="40"/>
      <w:ind w:left="440"/>
    </w:pPr>
    <w:rPr>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0335fa2bf102f62bfdb445f549d5976138f04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a Desarrollar del Equipo UX</dc:title>
  <dc:creator>Equipo UX</dc:creator>
  <cp:lastModifiedBy>Un-named</cp:lastModifiedBy>
  <cp:revision>1</cp:revision>
  <dcterms:created xsi:type="dcterms:W3CDTF">2026-10-14T14:45:48.989Z</dcterms:created>
  <dcterms:modified xsi:type="dcterms:W3CDTF">2026-10-14T14:45:48.990Z</dcterms:modified>
</cp:coreProperties>
</file>

<file path=docProps/custom.xml><?xml version="1.0" encoding="utf-8"?>
<Properties xmlns="http://schemas.openxmlformats.org/officeDocument/2006/custom-properties" xmlns:vt="http://schemas.openxmlformats.org/officeDocument/2006/docPropsVTypes"/>
</file>