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800"/>
      </w:pPr>
      <w:r>
        <w:rPr>
          <w:color w:val="475569"/>
          <w:sz w:val="24"/>
          <w:szCs w:val="24"/>
        </w:rPr>
        <w:t xml:space="preserve">Digitalización Avanzada · 2º DAM</w:t>
      </w:r>
    </w:p>
    <w:p>
      <w:pPr>
        <w:spacing w:after="120"/>
      </w:pPr>
      <w:r>
        <w:rPr>
          <w:b/>
          <w:bCs/>
          <w:color w:val="1E1B4B"/>
          <w:sz w:val="52"/>
          <w:szCs w:val="52"/>
        </w:rPr>
        <w:t xml:space="preserve">Trabajo a Desarrollar del Equipo UX</w:t>
      </w:r>
    </w:p>
    <w:p>
      <w:pPr>
        <w:pBdr>
          <w:bottom w:val="single" w:color="4F46E5" w:sz="12" w:space="8"/>
        </w:pBdr>
        <w:spacing w:after="600"/>
      </w:pPr>
      <w:r>
        <w:rPr>
          <w:color w:val="4F46E5"/>
          <w:sz w:val="26"/>
          <w:szCs w:val="26"/>
        </w:rPr>
        <w:t xml:space="preserve">Área: Experiencia de Usuario (UX) — Auditoría y métrica de calidad UX</w:t>
      </w:r>
    </w:p>
    <w:p>
      <w:pPr>
        <w:spacing w:after="120" w:line="276"/>
      </w:pPr>
      <w:r>
        <w:rPr>
          <w:b/>
          <w:bCs/>
        </w:rPr>
        <w:t xml:space="preserve">Integrantes:</w:t>
      </w:r>
      <w:r>
        <w:t xml:space="preserve"> ______________________________________________</w:t>
      </w:r>
    </w:p>
    <w:p>
      <w:pPr>
        <w:spacing w:after="120" w:line="276"/>
      </w:pPr>
      <w:r>
        <w:rPr>
          <w:b/>
          <w:bCs/>
        </w:rPr>
        <w:t xml:space="preserve">Fecha:</w:t>
      </w:r>
      <w:r>
        <w:t xml:space="preserve"> octubre de 2026</w:t>
      </w:r>
    </w:p>
    <w:p>
      <w:pPr>
        <w:spacing w:after="200" w:before="400"/>
      </w:pPr>
      <w:r>
        <w:rPr>
          <w:b/>
          <w:bCs/>
          <w:color w:val="1E1B4B"/>
          <w:sz w:val="30"/>
          <w:szCs w:val="30"/>
        </w:rPr>
        <w:t xml:space="preserve">Índice</w:t>
      </w:r>
    </w:p>
    <w:p>
      <w:pPr>
        <w:tabs>
          <w:tab w:val="right" w:pos="9026" w:leader="dot"/>
        </w:tabs>
        <w:spacing w:after="100"/>
        <w:ind w:left="360"/>
      </w:pPr>
      <w:r>
        <w:rPr>
          <w:sz w:val="24"/>
          <w:szCs w:val="24"/>
        </w:rPr>
        <w:t xml:space="preserve">01- Estándares y Referentes	2</w:t>
      </w:r>
    </w:p>
    <w:p>
      <w:pPr>
        <w:tabs>
          <w:tab w:val="right" w:pos="9026" w:leader="dot"/>
        </w:tabs>
        <w:spacing w:after="100"/>
        <w:ind w:left="360"/>
      </w:pPr>
      <w:r>
        <w:rPr>
          <w:sz w:val="24"/>
          <w:szCs w:val="24"/>
        </w:rPr>
        <w:t xml:space="preserve">02- SOTA (Estado del arte)	6</w:t>
      </w:r>
    </w:p>
    <w:p>
      <w:pPr>
        <w:tabs>
          <w:tab w:val="right" w:pos="9026" w:leader="dot"/>
        </w:tabs>
        <w:spacing w:after="100"/>
        <w:ind w:left="360"/>
      </w:pPr>
      <w:r>
        <w:rPr>
          <w:sz w:val="24"/>
          <w:szCs w:val="24"/>
        </w:rPr>
        <w:t xml:space="preserve">03- Sistema de métrica	10</w:t>
      </w:r>
    </w:p>
    <w:p>
      <w:pPr>
        <w:tabs>
          <w:tab w:val="right" w:pos="9026" w:leader="dot"/>
        </w:tabs>
        <w:spacing w:after="100"/>
        <w:ind w:left="360"/>
      </w:pPr>
      <w:r>
        <w:rPr>
          <w:sz w:val="24"/>
          <w:szCs w:val="24"/>
        </w:rPr>
        <w:t xml:space="preserve">04- Auditor Reutilizable	13</w:t>
      </w:r>
    </w:p>
    <w:p>
      <w:pPr>
        <w:tabs>
          <w:tab w:val="right" w:pos="9026" w:leader="dot"/>
        </w:tabs>
        <w:spacing w:after="100"/>
        <w:ind w:left="360"/>
      </w:pPr>
      <w:r>
        <w:rPr>
          <w:sz w:val="24"/>
          <w:szCs w:val="24"/>
        </w:rPr>
        <w:t xml:space="preserve">05- Resumen de GitHub	18</w:t>
      </w:r>
    </w:p>
    <w:p>
      <w:pPr>
        <w:pStyle w:val="Heading1"/>
        <w:pageBreakBefore/>
      </w:pPr>
      <w:r>
        <w:t xml:space="preserve">01- Estándares y Referentes</w:t>
      </w:r>
    </w:p>
    <w:p>
      <w:pPr>
        <w:spacing w:after="120" w:line="276"/>
      </w:pPr>
      <w:r>
        <w:t xml:space="preserve">La Experiencia de Usuario (UX) es la percepción global que tiene una persona al usar un producto digital: si le resulta útil, fácil, eficiente, accesible y agradable. A diferencia de otras áreas, la UX no se apoya en una única norma, sino en un conjunto de </w:t>
      </w:r>
      <w:r>
        <w:rPr>
          <w:b/>
          <w:bCs/>
        </w:rPr>
        <w:t xml:space="preserve">normas formales</w:t>
      </w:r>
      <w:r>
        <w:t xml:space="preserve"> (ISO, W3C, legislación) y de </w:t>
      </w:r>
      <w:r>
        <w:rPr>
          <w:b/>
          <w:bCs/>
        </w:rPr>
        <w:t xml:space="preserve">referentes de la industria</w:t>
      </w:r>
      <w:r>
        <w:t xml:space="preserve"> (heurísticas, guías de plataforma y leyes de la psicología de la interacción). Este apartado recoge los que usaremos como base para la métrica (03) y el auditor (04).</w:t>
      </w:r>
    </w:p>
    <w:p>
      <w:pPr>
        <w:pStyle w:val="Heading2"/>
      </w:pPr>
      <w:r>
        <w:t xml:space="preserve">1.1 Normas formales (estándares)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3900"/>
        <w:gridCol w:w="2826"/>
      </w:tblGrid>
      <w:tr>
        <w:trPr>
          <w:tblHeader/>
        </w:trPr>
        <w:tc>
          <w:tcPr>
            <w:tcW w:type="dxa" w:w="2300"/>
            <w:tcBorders>
              <w:top w:val="single" w:color="CBD5E1" w:sz="4"/>
              <w:left w:val="single" w:color="CBD5E1" w:sz="4"/>
              <w:bottom w:val="single" w:color="CBD5E1" w:sz="4"/>
              <w:right w:val="single" w:color="CBD5E1" w:sz="4"/>
            </w:tcBorders>
            <w:shd w:fill="E0E7FF" w:color="auto" w:val="clear"/>
            <w:tcMar>
              <w:top w:type="dxa" w:w="60"/>
              <w:left w:type="dxa" w:w="100"/>
              <w:bottom w:type="dxa" w:w="60"/>
              <w:right w:type="dxa" w:w="100"/>
            </w:tcMar>
          </w:tcPr>
          <w:p>
            <w:pPr>
              <w:spacing w:after="0" w:line="252"/>
            </w:pPr>
            <w:r>
              <w:rPr>
                <w:b/>
                <w:bCs/>
                <w:color w:val="1E1B4B"/>
                <w:sz w:val="18"/>
                <w:szCs w:val="18"/>
              </w:rPr>
              <w:t xml:space="preserve">Norma</w:t>
            </w:r>
          </w:p>
        </w:tc>
        <w:tc>
          <w:tcPr>
            <w:tcW w:type="dxa" w:w="3900"/>
            <w:tcBorders>
              <w:top w:val="single" w:color="CBD5E1" w:sz="4"/>
              <w:left w:val="single" w:color="CBD5E1" w:sz="4"/>
              <w:bottom w:val="single" w:color="CBD5E1" w:sz="4"/>
              <w:right w:val="single" w:color="CBD5E1" w:sz="4"/>
            </w:tcBorders>
            <w:shd w:fill="E0E7FF" w:color="auto" w:val="clear"/>
            <w:tcMar>
              <w:top w:type="dxa" w:w="60"/>
              <w:left w:type="dxa" w:w="100"/>
              <w:bottom w:type="dxa" w:w="60"/>
              <w:right w:type="dxa" w:w="100"/>
            </w:tcMar>
          </w:tcPr>
          <w:p>
            <w:pPr>
              <w:spacing w:after="0" w:line="252"/>
            </w:pPr>
            <w:r>
              <w:rPr>
                <w:b/>
                <w:bCs/>
                <w:color w:val="1E1B4B"/>
                <w:sz w:val="18"/>
                <w:szCs w:val="18"/>
              </w:rPr>
              <w:t xml:space="preserve">Qué establece</w:t>
            </w:r>
          </w:p>
        </w:tc>
        <w:tc>
          <w:tcPr>
            <w:tcW w:type="dxa" w:w="2826"/>
            <w:tcBorders>
              <w:top w:val="single" w:color="CBD5E1" w:sz="4"/>
              <w:left w:val="single" w:color="CBD5E1" w:sz="4"/>
              <w:bottom w:val="single" w:color="CBD5E1" w:sz="4"/>
              <w:right w:val="single" w:color="CBD5E1" w:sz="4"/>
            </w:tcBorders>
            <w:shd w:fill="E0E7FF" w:color="auto" w:val="clear"/>
            <w:tcMar>
              <w:top w:type="dxa" w:w="60"/>
              <w:left w:type="dxa" w:w="100"/>
              <w:bottom w:type="dxa" w:w="60"/>
              <w:right w:type="dxa" w:w="100"/>
            </w:tcMar>
          </w:tcPr>
          <w:p>
            <w:pPr>
              <w:spacing w:after="0" w:line="252"/>
            </w:pPr>
            <w:r>
              <w:rPr>
                <w:b/>
                <w:bCs/>
                <w:color w:val="1E1B4B"/>
                <w:sz w:val="18"/>
                <w:szCs w:val="18"/>
              </w:rPr>
              <w:t xml:space="preserve">Uso en nuestro trabajo</w:t>
            </w:r>
          </w:p>
        </w:tc>
      </w:tr>
      <w:tr>
        <w:trPr>
          <w:cantSplit/>
        </w:trPr>
        <w:tc>
          <w:tcPr>
            <w:tcW w:type="dxa" w:w="230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line="252"/>
            </w:pPr>
            <w:r>
              <w:rPr>
                <w:b/>
                <w:bCs/>
                <w:sz w:val="18"/>
                <w:szCs w:val="18"/>
              </w:rPr>
              <w:t xml:space="preserve">ISO 9241-11:2018</w:t>
            </w:r>
          </w:p>
          <w:p>
            <w:pPr>
              <w:spacing w:after="0" w:line="252"/>
            </w:pPr>
            <w:r>
              <w:rPr>
                <w:b w:val="false"/>
                <w:bCs w:val="false"/>
                <w:sz w:val="18"/>
                <w:szCs w:val="18"/>
              </w:rPr>
              <w:t xml:space="preserve">Usabilidad: definiciones y conceptos</w:t>
            </w:r>
          </w:p>
        </w:tc>
        <w:tc>
          <w:tcPr>
            <w:tcW w:type="dxa" w:w="390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line="252"/>
            </w:pPr>
            <w:r>
              <w:rPr>
                <w:b w:val="false"/>
                <w:bCs w:val="false"/>
                <w:sz w:val="18"/>
                <w:szCs w:val="18"/>
              </w:rPr>
              <w:t xml:space="preserve">Define la usabilidad como el grado en que un usuario logra sus objetivos con </w:t>
            </w:r>
            <w:r>
              <w:rPr>
                <w:b/>
                <w:bCs/>
                <w:sz w:val="18"/>
                <w:szCs w:val="18"/>
              </w:rPr>
              <w:t xml:space="preserve">eficacia, eficiencia y satisfacción</w:t>
            </w:r>
            <w:r>
              <w:rPr>
                <w:b w:val="false"/>
                <w:bCs w:val="false"/>
                <w:sz w:val="18"/>
                <w:szCs w:val="18"/>
              </w:rPr>
              <w:t xml:space="preserve"> en un contexto de uso concreto.</w:t>
            </w:r>
          </w:p>
        </w:tc>
        <w:tc>
          <w:tcPr>
            <w:tcW w:type="dxa" w:w="282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line="252"/>
            </w:pPr>
            <w:r>
              <w:rPr>
                <w:b w:val="false"/>
                <w:bCs w:val="false"/>
                <w:sz w:val="18"/>
                <w:szCs w:val="18"/>
              </w:rPr>
              <w:t xml:space="preserve">Marco conceptual de la métrica: cada dimensión se justifica por una de estas tres propiedades.</w:t>
            </w:r>
          </w:p>
        </w:tc>
      </w:tr>
      <w:tr>
        <w:trPr>
          <w:cantSplit/>
        </w:trPr>
        <w:tc>
          <w:tcPr>
            <w:tcW w:type="dxa" w:w="2300"/>
            <w:tcBorders>
              <w:top w:val="single" w:color="CBD5E1" w:sz="4"/>
              <w:left w:val="single" w:color="CBD5E1" w:sz="4"/>
              <w:bottom w:val="single" w:color="CBD5E1" w:sz="4"/>
              <w:right w:val="single" w:color="CBD5E1" w:sz="4"/>
            </w:tcBorders>
            <w:shd w:fill="F5F7FF" w:color="auto" w:val="clear"/>
            <w:tcMar>
              <w:top w:type="dxa" w:w="60"/>
              <w:left w:type="dxa" w:w="100"/>
              <w:bottom w:type="dxa" w:w="60"/>
              <w:right w:type="dxa" w:w="100"/>
            </w:tcMar>
          </w:tcPr>
          <w:p>
            <w:pPr>
              <w:spacing w:after="0" w:line="252"/>
            </w:pPr>
            <w:r>
              <w:rPr>
                <w:b/>
                <w:bCs/>
                <w:sz w:val="18"/>
                <w:szCs w:val="18"/>
              </w:rPr>
              <w:t xml:space="preserve">ISO 9241-110:2020</w:t>
            </w:r>
          </w:p>
          <w:p>
            <w:pPr>
              <w:spacing w:after="0" w:line="252"/>
            </w:pPr>
            <w:r>
              <w:rPr>
                <w:b w:val="false"/>
                <w:bCs w:val="false"/>
                <w:sz w:val="18"/>
                <w:szCs w:val="18"/>
              </w:rPr>
              <w:t xml:space="preserve">Principios de interacción</w:t>
            </w:r>
          </w:p>
        </w:tc>
        <w:tc>
          <w:tcPr>
            <w:tcW w:type="dxa" w:w="3900"/>
            <w:tcBorders>
              <w:top w:val="single" w:color="CBD5E1" w:sz="4"/>
              <w:left w:val="single" w:color="CBD5E1" w:sz="4"/>
              <w:bottom w:val="single" w:color="CBD5E1" w:sz="4"/>
              <w:right w:val="single" w:color="CBD5E1" w:sz="4"/>
            </w:tcBorders>
            <w:shd w:fill="F5F7FF" w:color="auto" w:val="clear"/>
            <w:tcMar>
              <w:top w:type="dxa" w:w="60"/>
              <w:left w:type="dxa" w:w="100"/>
              <w:bottom w:type="dxa" w:w="60"/>
              <w:right w:type="dxa" w:w="100"/>
            </w:tcMar>
          </w:tcPr>
          <w:p>
            <w:pPr>
              <w:spacing w:after="0" w:line="252"/>
            </w:pPr>
            <w:r>
              <w:rPr>
                <w:b w:val="false"/>
                <w:bCs w:val="false"/>
                <w:sz w:val="18"/>
                <w:szCs w:val="18"/>
              </w:rPr>
              <w:t xml:space="preserve">Siete principios del diálogo usuario–sistema: adecuación a la tarea, autodescripción, conformidad con expectativas, facilidad de aprendizaje, controlabilidad, tolerancia a errores y adaptabilidad.</w:t>
            </w:r>
          </w:p>
        </w:tc>
        <w:tc>
          <w:tcPr>
            <w:tcW w:type="dxa" w:w="2826"/>
            <w:tcBorders>
              <w:top w:val="single" w:color="CBD5E1" w:sz="4"/>
              <w:left w:val="single" w:color="CBD5E1" w:sz="4"/>
              <w:bottom w:val="single" w:color="CBD5E1" w:sz="4"/>
              <w:right w:val="single" w:color="CBD5E1" w:sz="4"/>
            </w:tcBorders>
            <w:shd w:fill="F5F7FF" w:color="auto" w:val="clear"/>
            <w:tcMar>
              <w:top w:type="dxa" w:w="60"/>
              <w:left w:type="dxa" w:w="100"/>
              <w:bottom w:type="dxa" w:w="60"/>
              <w:right w:type="dxa" w:w="100"/>
            </w:tcMar>
          </w:tcPr>
          <w:p>
            <w:pPr>
              <w:spacing w:after="0" w:line="252"/>
            </w:pPr>
            <w:r>
              <w:rPr>
                <w:b w:val="false"/>
                <w:bCs w:val="false"/>
                <w:sz w:val="18"/>
                <w:szCs w:val="18"/>
              </w:rPr>
              <w:t xml:space="preserve">Base de la dimensión «Usabilidad e interacción».</w:t>
            </w:r>
          </w:p>
        </w:tc>
      </w:tr>
      <w:tr>
        <w:trPr>
          <w:cantSplit/>
        </w:trPr>
        <w:tc>
          <w:tcPr>
            <w:tcW w:type="dxa" w:w="230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line="252"/>
            </w:pPr>
            <w:r>
              <w:rPr>
                <w:b/>
                <w:bCs/>
                <w:sz w:val="18"/>
                <w:szCs w:val="18"/>
              </w:rPr>
              <w:t xml:space="preserve">ISO 9241-210:2019</w:t>
            </w:r>
          </w:p>
          <w:p>
            <w:pPr>
              <w:spacing w:after="0" w:line="252"/>
            </w:pPr>
            <w:r>
              <w:rPr>
                <w:b w:val="false"/>
                <w:bCs w:val="false"/>
                <w:sz w:val="18"/>
                <w:szCs w:val="18"/>
              </w:rPr>
              <w:t xml:space="preserve">Diseño centrado en el usuario</w:t>
            </w:r>
          </w:p>
        </w:tc>
        <w:tc>
          <w:tcPr>
            <w:tcW w:type="dxa" w:w="390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line="252"/>
            </w:pPr>
            <w:r>
              <w:rPr>
                <w:b w:val="false"/>
                <w:bCs w:val="false"/>
                <w:sz w:val="18"/>
                <w:szCs w:val="18"/>
              </w:rPr>
              <w:t xml:space="preserve">Proceso iterativo: entender el contexto → especificar requisitos → diseñar soluciones → evaluar con usuarios.</w:t>
            </w:r>
          </w:p>
        </w:tc>
        <w:tc>
          <w:tcPr>
            <w:tcW w:type="dxa" w:w="282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line="252"/>
            </w:pPr>
            <w:r>
              <w:rPr>
                <w:b w:val="false"/>
                <w:bCs w:val="false"/>
                <w:sz w:val="18"/>
                <w:szCs w:val="18"/>
              </w:rPr>
              <w:t xml:space="preserve">Ciclo de vida del auditor: auditar, corregir y volver a auditar.</w:t>
            </w:r>
          </w:p>
        </w:tc>
      </w:tr>
      <w:tr>
        <w:trPr>
          <w:cantSplit/>
        </w:trPr>
        <w:tc>
          <w:tcPr>
            <w:tcW w:type="dxa" w:w="2300"/>
            <w:tcBorders>
              <w:top w:val="single" w:color="CBD5E1" w:sz="4"/>
              <w:left w:val="single" w:color="CBD5E1" w:sz="4"/>
              <w:bottom w:val="single" w:color="CBD5E1" w:sz="4"/>
              <w:right w:val="single" w:color="CBD5E1" w:sz="4"/>
            </w:tcBorders>
            <w:shd w:fill="F5F7FF" w:color="auto" w:val="clear"/>
            <w:tcMar>
              <w:top w:type="dxa" w:w="60"/>
              <w:left w:type="dxa" w:w="100"/>
              <w:bottom w:type="dxa" w:w="60"/>
              <w:right w:type="dxa" w:w="100"/>
            </w:tcMar>
          </w:tcPr>
          <w:p>
            <w:pPr>
              <w:spacing w:after="0" w:line="252"/>
            </w:pPr>
            <w:r>
              <w:rPr>
                <w:b/>
                <w:bCs/>
                <w:sz w:val="18"/>
                <w:szCs w:val="18"/>
              </w:rPr>
              <w:t xml:space="preserve">ISO/IEC 25010:2023</w:t>
            </w:r>
          </w:p>
          <w:p>
            <w:pPr>
              <w:spacing w:after="0" w:line="252"/>
            </w:pPr>
            <w:r>
              <w:rPr>
                <w:b w:val="false"/>
                <w:bCs w:val="false"/>
                <w:sz w:val="18"/>
                <w:szCs w:val="18"/>
              </w:rPr>
              <w:t xml:space="preserve">Modelo de calidad del producto (SQuaRE)</w:t>
            </w:r>
          </w:p>
        </w:tc>
        <w:tc>
          <w:tcPr>
            <w:tcW w:type="dxa" w:w="3900"/>
            <w:tcBorders>
              <w:top w:val="single" w:color="CBD5E1" w:sz="4"/>
              <w:left w:val="single" w:color="CBD5E1" w:sz="4"/>
              <w:bottom w:val="single" w:color="CBD5E1" w:sz="4"/>
              <w:right w:val="single" w:color="CBD5E1" w:sz="4"/>
            </w:tcBorders>
            <w:shd w:fill="F5F7FF" w:color="auto" w:val="clear"/>
            <w:tcMar>
              <w:top w:type="dxa" w:w="60"/>
              <w:left w:type="dxa" w:w="100"/>
              <w:bottom w:type="dxa" w:w="60"/>
              <w:right w:type="dxa" w:w="100"/>
            </w:tcMar>
          </w:tcPr>
          <w:p>
            <w:pPr>
              <w:spacing w:after="0" w:line="252"/>
            </w:pPr>
            <w:r>
              <w:rPr>
                <w:b w:val="false"/>
                <w:bCs w:val="false"/>
                <w:sz w:val="18"/>
                <w:szCs w:val="18"/>
              </w:rPr>
              <w:t xml:space="preserve">Característica «Capacidad de interacción» (antes «Usabilidad»): reconocibilidad, aprendizaje, operabilidad, protección frente a errores, implicación del usuario, inclusividad y autodescripción.</w:t>
            </w:r>
          </w:p>
        </w:tc>
        <w:tc>
          <w:tcPr>
            <w:tcW w:type="dxa" w:w="2826"/>
            <w:tcBorders>
              <w:top w:val="single" w:color="CBD5E1" w:sz="4"/>
              <w:left w:val="single" w:color="CBD5E1" w:sz="4"/>
              <w:bottom w:val="single" w:color="CBD5E1" w:sz="4"/>
              <w:right w:val="single" w:color="CBD5E1" w:sz="4"/>
            </w:tcBorders>
            <w:shd w:fill="F5F7FF" w:color="auto" w:val="clear"/>
            <w:tcMar>
              <w:top w:type="dxa" w:w="60"/>
              <w:left w:type="dxa" w:w="100"/>
              <w:bottom w:type="dxa" w:w="60"/>
              <w:right w:type="dxa" w:w="100"/>
            </w:tcMar>
          </w:tcPr>
          <w:p>
            <w:pPr>
              <w:spacing w:after="0" w:line="252"/>
            </w:pPr>
            <w:r>
              <w:rPr>
                <w:b w:val="false"/>
                <w:bCs w:val="false"/>
                <w:sz w:val="18"/>
                <w:szCs w:val="18"/>
              </w:rPr>
              <w:t xml:space="preserve">Encaje de la UX en la calidad del software; ISO/IEC 25023 aporta cómo medirla con indicadores.</w:t>
            </w:r>
          </w:p>
        </w:tc>
      </w:tr>
      <w:tr>
        <w:trPr>
          <w:cantSplit/>
        </w:trPr>
        <w:tc>
          <w:tcPr>
            <w:tcW w:type="dxa" w:w="230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line="252"/>
            </w:pPr>
            <w:r>
              <w:rPr>
                <w:b/>
                <w:bCs/>
                <w:sz w:val="18"/>
                <w:szCs w:val="18"/>
              </w:rPr>
              <w:t xml:space="preserve">WCAG 2.2</w:t>
            </w:r>
            <w:r>
              <w:rPr>
                <w:b w:val="false"/>
                <w:bCs w:val="false"/>
                <w:sz w:val="18"/>
                <w:szCs w:val="18"/>
              </w:rPr>
              <w:t xml:space="preserve"> (W3C, 2023)</w:t>
            </w:r>
          </w:p>
          <w:p>
            <w:pPr>
              <w:spacing w:after="0" w:line="252"/>
            </w:pPr>
            <w:r>
              <w:rPr>
                <w:b w:val="false"/>
                <w:bCs w:val="false"/>
                <w:sz w:val="18"/>
                <w:szCs w:val="18"/>
              </w:rPr>
              <w:t xml:space="preserve">= </w:t>
            </w:r>
            <w:r>
              <w:rPr>
                <w:b/>
                <w:bCs/>
                <w:sz w:val="18"/>
                <w:szCs w:val="18"/>
              </w:rPr>
              <w:t xml:space="preserve">ISO/IEC 40500:2025</w:t>
            </w:r>
          </w:p>
        </w:tc>
        <w:tc>
          <w:tcPr>
            <w:tcW w:type="dxa" w:w="390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line="252"/>
            </w:pPr>
            <w:r>
              <w:rPr>
                <w:b w:val="false"/>
                <w:bCs w:val="false"/>
                <w:sz w:val="18"/>
                <w:szCs w:val="18"/>
              </w:rPr>
              <w:t xml:space="preserve">Pautas de accesibilidad web con 4 principios (Perceptible, Operable, Comprensible, Robusto) y niveles A / AA / AAA. Añade criterios como foco no oculto, tamaño de objetivo mínimo o autenticación accesible.</w:t>
            </w:r>
          </w:p>
        </w:tc>
        <w:tc>
          <w:tcPr>
            <w:tcW w:type="dxa" w:w="282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line="252"/>
            </w:pPr>
            <w:r>
              <w:rPr>
                <w:b w:val="false"/>
                <w:bCs w:val="false"/>
                <w:sz w:val="18"/>
                <w:szCs w:val="18"/>
              </w:rPr>
              <w:t xml:space="preserve">Nivel </w:t>
            </w:r>
            <w:r>
              <w:rPr>
                <w:b/>
                <w:bCs/>
                <w:sz w:val="18"/>
                <w:szCs w:val="18"/>
              </w:rPr>
              <w:t xml:space="preserve">AA</w:t>
            </w:r>
            <w:r>
              <w:rPr>
                <w:b w:val="false"/>
                <w:bCs w:val="false"/>
                <w:sz w:val="18"/>
                <w:szCs w:val="18"/>
              </w:rPr>
              <w:t xml:space="preserve"> = requisito mínimo de la dimensión «Accesibilidad».</w:t>
            </w:r>
          </w:p>
        </w:tc>
      </w:tr>
      <w:tr>
        <w:trPr>
          <w:cantSplit/>
        </w:trPr>
        <w:tc>
          <w:tcPr>
            <w:tcW w:type="dxa" w:w="2300"/>
            <w:tcBorders>
              <w:top w:val="single" w:color="CBD5E1" w:sz="4"/>
              <w:left w:val="single" w:color="CBD5E1" w:sz="4"/>
              <w:bottom w:val="single" w:color="CBD5E1" w:sz="4"/>
              <w:right w:val="single" w:color="CBD5E1" w:sz="4"/>
            </w:tcBorders>
            <w:shd w:fill="F5F7FF" w:color="auto" w:val="clear"/>
            <w:tcMar>
              <w:top w:type="dxa" w:w="60"/>
              <w:left w:type="dxa" w:w="100"/>
              <w:bottom w:type="dxa" w:w="60"/>
              <w:right w:type="dxa" w:w="100"/>
            </w:tcMar>
          </w:tcPr>
          <w:p>
            <w:pPr>
              <w:spacing w:after="0" w:line="252"/>
            </w:pPr>
            <w:r>
              <w:rPr>
                <w:b/>
                <w:bCs/>
                <w:sz w:val="18"/>
                <w:szCs w:val="18"/>
              </w:rPr>
              <w:t xml:space="preserve">EN 301 549</w:t>
            </w:r>
          </w:p>
        </w:tc>
        <w:tc>
          <w:tcPr>
            <w:tcW w:type="dxa" w:w="3900"/>
            <w:tcBorders>
              <w:top w:val="single" w:color="CBD5E1" w:sz="4"/>
              <w:left w:val="single" w:color="CBD5E1" w:sz="4"/>
              <w:bottom w:val="single" w:color="CBD5E1" w:sz="4"/>
              <w:right w:val="single" w:color="CBD5E1" w:sz="4"/>
            </w:tcBorders>
            <w:shd w:fill="F5F7FF" w:color="auto" w:val="clear"/>
            <w:tcMar>
              <w:top w:type="dxa" w:w="60"/>
              <w:left w:type="dxa" w:w="100"/>
              <w:bottom w:type="dxa" w:w="60"/>
              <w:right w:type="dxa" w:w="100"/>
            </w:tcMar>
          </w:tcPr>
          <w:p>
            <w:pPr>
              <w:spacing w:after="0" w:line="252"/>
            </w:pPr>
            <w:r>
              <w:rPr>
                <w:b w:val="false"/>
                <w:bCs w:val="false"/>
                <w:sz w:val="18"/>
                <w:szCs w:val="18"/>
              </w:rPr>
              <w:t xml:space="preserve">Norma europea armonizada de requisitos de accesibilidad para productos y servicios TIC; incorpora WCAG.</w:t>
            </w:r>
          </w:p>
        </w:tc>
        <w:tc>
          <w:tcPr>
            <w:tcW w:type="dxa" w:w="2826"/>
            <w:tcBorders>
              <w:top w:val="single" w:color="CBD5E1" w:sz="4"/>
              <w:left w:val="single" w:color="CBD5E1" w:sz="4"/>
              <w:bottom w:val="single" w:color="CBD5E1" w:sz="4"/>
              <w:right w:val="single" w:color="CBD5E1" w:sz="4"/>
            </w:tcBorders>
            <w:shd w:fill="F5F7FF" w:color="auto" w:val="clear"/>
            <w:tcMar>
              <w:top w:type="dxa" w:w="60"/>
              <w:left w:type="dxa" w:w="100"/>
              <w:bottom w:type="dxa" w:w="60"/>
              <w:right w:type="dxa" w:w="100"/>
            </w:tcMar>
          </w:tcPr>
          <w:p>
            <w:pPr>
              <w:spacing w:after="0" w:line="252"/>
            </w:pPr>
            <w:r>
              <w:rPr>
                <w:b w:val="false"/>
                <w:bCs w:val="false"/>
                <w:sz w:val="18"/>
                <w:szCs w:val="18"/>
              </w:rPr>
              <w:t xml:space="preserve">Referencia de cumplimiento en la UE.</w:t>
            </w:r>
          </w:p>
        </w:tc>
      </w:tr>
      <w:tr>
        <w:trPr>
          <w:cantSplit/>
        </w:trPr>
        <w:tc>
          <w:tcPr>
            <w:tcW w:type="dxa" w:w="230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line="252"/>
            </w:pPr>
            <w:r>
              <w:rPr>
                <w:b/>
                <w:bCs/>
                <w:sz w:val="18"/>
                <w:szCs w:val="18"/>
              </w:rPr>
              <w:t xml:space="preserve">Directiva (UE) 2019/882</w:t>
            </w:r>
            <w:r>
              <w:rPr>
                <w:b w:val="false"/>
                <w:bCs w:val="false"/>
                <w:sz w:val="18"/>
                <w:szCs w:val="18"/>
              </w:rPr>
              <w:t xml:space="preserve"> (Acta Europea de Accesibilidad)</w:t>
            </w:r>
          </w:p>
          <w:p>
            <w:pPr>
              <w:spacing w:after="0" w:line="252"/>
            </w:pPr>
            <w:r>
              <w:rPr>
                <w:b w:val="false"/>
                <w:bCs w:val="false"/>
                <w:sz w:val="18"/>
                <w:szCs w:val="18"/>
              </w:rPr>
              <w:t xml:space="preserve">Ley 11/2023 (España)</w:t>
            </w:r>
          </w:p>
        </w:tc>
        <w:tc>
          <w:tcPr>
            <w:tcW w:type="dxa" w:w="390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line="252"/>
            </w:pPr>
            <w:r>
              <w:rPr>
                <w:b w:val="false"/>
                <w:bCs w:val="false"/>
                <w:sz w:val="18"/>
                <w:szCs w:val="18"/>
              </w:rPr>
              <w:t xml:space="preserve">Obliga a que muchos productos y servicios digitales (comercio electrónico, banca, transporte, libros electrónicos…) sean accesibles desde el </w:t>
            </w:r>
            <w:r>
              <w:rPr>
                <w:b/>
                <w:bCs/>
                <w:sz w:val="18"/>
                <w:szCs w:val="18"/>
              </w:rPr>
              <w:t xml:space="preserve">28 de junio de 2025</w:t>
            </w:r>
            <w:r>
              <w:rPr>
                <w:b w:val="false"/>
                <w:bCs w:val="false"/>
                <w:sz w:val="18"/>
                <w:szCs w:val="18"/>
              </w:rPr>
              <w:t xml:space="preserve">.</w:t>
            </w:r>
          </w:p>
        </w:tc>
        <w:tc>
          <w:tcPr>
            <w:tcW w:type="dxa" w:w="282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line="252"/>
            </w:pPr>
            <w:r>
              <w:rPr>
                <w:b w:val="false"/>
                <w:bCs w:val="false"/>
                <w:sz w:val="18"/>
                <w:szCs w:val="18"/>
              </w:rPr>
              <w:t xml:space="preserve">Justifica que la accesibilidad tenga el mayor peso en la métrica.</w:t>
            </w:r>
          </w:p>
        </w:tc>
      </w:tr>
      <w:tr>
        <w:trPr>
          <w:cantSplit/>
        </w:trPr>
        <w:tc>
          <w:tcPr>
            <w:tcW w:type="dxa" w:w="2300"/>
            <w:tcBorders>
              <w:top w:val="single" w:color="CBD5E1" w:sz="4"/>
              <w:left w:val="single" w:color="CBD5E1" w:sz="4"/>
              <w:bottom w:val="single" w:color="CBD5E1" w:sz="4"/>
              <w:right w:val="single" w:color="CBD5E1" w:sz="4"/>
            </w:tcBorders>
            <w:shd w:fill="F5F7FF" w:color="auto" w:val="clear"/>
            <w:tcMar>
              <w:top w:type="dxa" w:w="60"/>
              <w:left w:type="dxa" w:w="100"/>
              <w:bottom w:type="dxa" w:w="60"/>
              <w:right w:type="dxa" w:w="100"/>
            </w:tcMar>
          </w:tcPr>
          <w:p>
            <w:pPr>
              <w:spacing w:after="0" w:line="252"/>
            </w:pPr>
            <w:r>
              <w:rPr>
                <w:b/>
                <w:bCs/>
                <w:sz w:val="18"/>
                <w:szCs w:val="18"/>
              </w:rPr>
              <w:t xml:space="preserve">Real Decreto 1112/2018</w:t>
            </w:r>
            <w:r>
              <w:rPr>
                <w:b w:val="false"/>
                <w:bCs w:val="false"/>
                <w:sz w:val="18"/>
                <w:szCs w:val="18"/>
              </w:rPr>
              <w:t xml:space="preserve"> (España)</w:t>
            </w:r>
          </w:p>
        </w:tc>
        <w:tc>
          <w:tcPr>
            <w:tcW w:type="dxa" w:w="3900"/>
            <w:tcBorders>
              <w:top w:val="single" w:color="CBD5E1" w:sz="4"/>
              <w:left w:val="single" w:color="CBD5E1" w:sz="4"/>
              <w:bottom w:val="single" w:color="CBD5E1" w:sz="4"/>
              <w:right w:val="single" w:color="CBD5E1" w:sz="4"/>
            </w:tcBorders>
            <w:shd w:fill="F5F7FF" w:color="auto" w:val="clear"/>
            <w:tcMar>
              <w:top w:type="dxa" w:w="60"/>
              <w:left w:type="dxa" w:w="100"/>
              <w:bottom w:type="dxa" w:w="60"/>
              <w:right w:type="dxa" w:w="100"/>
            </w:tcMar>
          </w:tcPr>
          <w:p>
            <w:pPr>
              <w:spacing w:after="0" w:line="252"/>
            </w:pPr>
            <w:r>
              <w:rPr>
                <w:b w:val="false"/>
                <w:bCs w:val="false"/>
                <w:sz w:val="18"/>
                <w:szCs w:val="18"/>
              </w:rPr>
              <w:t xml:space="preserve">Accesibilidad de sitios web y apps móviles del sector público.</w:t>
            </w:r>
          </w:p>
        </w:tc>
        <w:tc>
          <w:tcPr>
            <w:tcW w:type="dxa" w:w="2826"/>
            <w:tcBorders>
              <w:top w:val="single" w:color="CBD5E1" w:sz="4"/>
              <w:left w:val="single" w:color="CBD5E1" w:sz="4"/>
              <w:bottom w:val="single" w:color="CBD5E1" w:sz="4"/>
              <w:right w:val="single" w:color="CBD5E1" w:sz="4"/>
            </w:tcBorders>
            <w:shd w:fill="F5F7FF" w:color="auto" w:val="clear"/>
            <w:tcMar>
              <w:top w:type="dxa" w:w="60"/>
              <w:left w:type="dxa" w:w="100"/>
              <w:bottom w:type="dxa" w:w="60"/>
              <w:right w:type="dxa" w:w="100"/>
            </w:tcMar>
          </w:tcPr>
          <w:p>
            <w:pPr>
              <w:spacing w:after="0" w:line="252"/>
            </w:pPr>
            <w:r>
              <w:rPr>
                <w:b w:val="false"/>
                <w:bCs w:val="false"/>
                <w:sz w:val="18"/>
                <w:szCs w:val="18"/>
              </w:rPr>
              <w:t xml:space="preserve">Referencia nacional para webs públicas.</w:t>
            </w:r>
          </w:p>
        </w:tc>
      </w:tr>
      <w:tr>
        <w:trPr>
          <w:cantSplit/>
        </w:trPr>
        <w:tc>
          <w:tcPr>
            <w:tcW w:type="dxa" w:w="230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line="252"/>
            </w:pPr>
            <w:r>
              <w:rPr>
                <w:b/>
                <w:bCs/>
                <w:sz w:val="18"/>
                <w:szCs w:val="18"/>
              </w:rPr>
              <w:t xml:space="preserve">RGPD + LSSI art. 22.2 + Guía de cookies de la AEPD</w:t>
            </w:r>
            <w:r>
              <w:rPr>
                <w:b w:val="false"/>
                <w:bCs w:val="false"/>
                <w:sz w:val="18"/>
                <w:szCs w:val="18"/>
              </w:rPr>
              <w:t xml:space="preserve"> (2023, obligatoria desde el 11/01/2024)</w:t>
            </w:r>
          </w:p>
        </w:tc>
        <w:tc>
          <w:tcPr>
            <w:tcW w:type="dxa" w:w="390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line="252"/>
            </w:pPr>
            <w:r>
              <w:rPr>
                <w:b w:val="false"/>
                <w:bCs w:val="false"/>
                <w:sz w:val="18"/>
                <w:szCs w:val="18"/>
              </w:rPr>
              <w:t xml:space="preserve">Consentimiento previo para cookies no técnicas; el botón «Rechazar» debe estar en la primera capa, al mismo nivel y con el mismo diseño que «Aceptar».</w:t>
            </w:r>
          </w:p>
        </w:tc>
        <w:tc>
          <w:tcPr>
            <w:tcW w:type="dxa" w:w="282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line="252"/>
            </w:pPr>
            <w:r>
              <w:rPr>
                <w:b w:val="false"/>
                <w:bCs w:val="false"/>
                <w:sz w:val="18"/>
                <w:szCs w:val="18"/>
              </w:rPr>
              <w:t xml:space="preserve">Base de las reglas de cookies y rastreo (D8).</w:t>
            </w:r>
          </w:p>
        </w:tc>
      </w:tr>
      <w:tr>
        <w:trPr>
          <w:cantSplit/>
        </w:trPr>
        <w:tc>
          <w:tcPr>
            <w:tcW w:type="dxa" w:w="2300"/>
            <w:tcBorders>
              <w:top w:val="single" w:color="CBD5E1" w:sz="4"/>
              <w:left w:val="single" w:color="CBD5E1" w:sz="4"/>
              <w:bottom w:val="single" w:color="CBD5E1" w:sz="4"/>
              <w:right w:val="single" w:color="CBD5E1" w:sz="4"/>
            </w:tcBorders>
            <w:shd w:fill="F5F7FF" w:color="auto" w:val="clear"/>
            <w:tcMar>
              <w:top w:type="dxa" w:w="60"/>
              <w:left w:type="dxa" w:w="100"/>
              <w:bottom w:type="dxa" w:w="60"/>
              <w:right w:type="dxa" w:w="100"/>
            </w:tcMar>
          </w:tcPr>
          <w:p>
            <w:pPr>
              <w:spacing w:after="0" w:line="252"/>
            </w:pPr>
            <w:r>
              <w:rPr>
                <w:b/>
                <w:bCs/>
                <w:sz w:val="18"/>
                <w:szCs w:val="18"/>
              </w:rPr>
              <w:t xml:space="preserve">Reglamento de Servicios Digitales (DSA) art. 25</w:t>
            </w:r>
            <w:r>
              <w:rPr>
                <w:b w:val="false"/>
                <w:bCs w:val="false"/>
                <w:sz w:val="18"/>
                <w:szCs w:val="18"/>
              </w:rPr>
              <w:t xml:space="preserve"> y Directiva 2005/29/CE</w:t>
            </w:r>
          </w:p>
        </w:tc>
        <w:tc>
          <w:tcPr>
            <w:tcW w:type="dxa" w:w="3900"/>
            <w:tcBorders>
              <w:top w:val="single" w:color="CBD5E1" w:sz="4"/>
              <w:left w:val="single" w:color="CBD5E1" w:sz="4"/>
              <w:bottom w:val="single" w:color="CBD5E1" w:sz="4"/>
              <w:right w:val="single" w:color="CBD5E1" w:sz="4"/>
            </w:tcBorders>
            <w:shd w:fill="F5F7FF" w:color="auto" w:val="clear"/>
            <w:tcMar>
              <w:top w:type="dxa" w:w="60"/>
              <w:left w:type="dxa" w:w="100"/>
              <w:bottom w:type="dxa" w:w="60"/>
              <w:right w:type="dxa" w:w="100"/>
            </w:tcMar>
          </w:tcPr>
          <w:p>
            <w:pPr>
              <w:spacing w:after="0" w:line="252"/>
            </w:pPr>
            <w:r>
              <w:rPr>
                <w:b w:val="false"/>
                <w:bCs w:val="false"/>
                <w:sz w:val="18"/>
                <w:szCs w:val="18"/>
              </w:rPr>
              <w:t xml:space="preserve">Prohíben interfaces que engañen o manipulen (patrones oscuros) y las prácticas comerciales desleales (urgencia falsa, costes ocultos).</w:t>
            </w:r>
          </w:p>
        </w:tc>
        <w:tc>
          <w:tcPr>
            <w:tcW w:type="dxa" w:w="2826"/>
            <w:tcBorders>
              <w:top w:val="single" w:color="CBD5E1" w:sz="4"/>
              <w:left w:val="single" w:color="CBD5E1" w:sz="4"/>
              <w:bottom w:val="single" w:color="CBD5E1" w:sz="4"/>
              <w:right w:val="single" w:color="CBD5E1" w:sz="4"/>
            </w:tcBorders>
            <w:shd w:fill="F5F7FF" w:color="auto" w:val="clear"/>
            <w:tcMar>
              <w:top w:type="dxa" w:w="60"/>
              <w:left w:type="dxa" w:w="100"/>
              <w:bottom w:type="dxa" w:w="60"/>
              <w:right w:type="dxa" w:w="100"/>
            </w:tcMar>
          </w:tcPr>
          <w:p>
            <w:pPr>
              <w:spacing w:after="0" w:line="252"/>
            </w:pPr>
            <w:r>
              <w:rPr>
                <w:b w:val="false"/>
                <w:bCs w:val="false"/>
                <w:sz w:val="18"/>
                <w:szCs w:val="18"/>
              </w:rPr>
              <w:t xml:space="preserve">Reglas de patrones oscuros (D8).</w:t>
            </w:r>
          </w:p>
        </w:tc>
      </w:tr>
      <w:tr>
        <w:trPr>
          <w:cantSplit/>
        </w:trPr>
        <w:tc>
          <w:tcPr>
            <w:tcW w:type="dxa" w:w="230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line="252"/>
            </w:pPr>
            <w:r>
              <w:rPr>
                <w:b/>
                <w:bCs/>
                <w:sz w:val="18"/>
                <w:szCs w:val="18"/>
              </w:rPr>
              <w:t xml:space="preserve">Reglamento (UE) 2024/1689 de IA, art. 50</w:t>
            </w:r>
          </w:p>
        </w:tc>
        <w:tc>
          <w:tcPr>
            <w:tcW w:type="dxa" w:w="390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line="252"/>
            </w:pPr>
            <w:r>
              <w:rPr>
                <w:b w:val="false"/>
                <w:bCs w:val="false"/>
                <w:sz w:val="18"/>
                <w:szCs w:val="18"/>
              </w:rPr>
              <w:t xml:space="preserve">Desde agosto de 2026, obliga a informar al usuario de que interactúa con un sistema de IA.</w:t>
            </w:r>
          </w:p>
        </w:tc>
        <w:tc>
          <w:tcPr>
            <w:tcW w:type="dxa" w:w="282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line="252"/>
            </w:pPr>
            <w:r>
              <w:rPr>
                <w:b w:val="false"/>
                <w:bCs w:val="false"/>
                <w:sz w:val="18"/>
                <w:szCs w:val="18"/>
              </w:rPr>
              <w:t xml:space="preserve">Pregunta experta de transparencia de IA (D8).</w:t>
            </w:r>
          </w:p>
        </w:tc>
      </w:tr>
      <w:tr>
        <w:trPr>
          <w:cantSplit/>
        </w:trPr>
        <w:tc>
          <w:tcPr>
            <w:tcW w:type="dxa" w:w="2300"/>
            <w:tcBorders>
              <w:top w:val="single" w:color="CBD5E1" w:sz="4"/>
              <w:left w:val="single" w:color="CBD5E1" w:sz="4"/>
              <w:bottom w:val="single" w:color="CBD5E1" w:sz="4"/>
              <w:right w:val="single" w:color="CBD5E1" w:sz="4"/>
            </w:tcBorders>
            <w:shd w:fill="F5F7FF" w:color="auto" w:val="clear"/>
            <w:tcMar>
              <w:top w:type="dxa" w:w="60"/>
              <w:left w:type="dxa" w:w="100"/>
              <w:bottom w:type="dxa" w:w="60"/>
              <w:right w:type="dxa" w:w="100"/>
            </w:tcMar>
          </w:tcPr>
          <w:p>
            <w:pPr>
              <w:spacing w:after="0" w:line="252"/>
            </w:pPr>
            <w:r>
              <w:rPr>
                <w:b/>
                <w:bCs/>
                <w:sz w:val="18"/>
                <w:szCs w:val="18"/>
              </w:rPr>
              <w:t xml:space="preserve">ISO 24495-1:2023</w:t>
            </w:r>
            <w:r>
              <w:rPr>
                <w:b w:val="false"/>
                <w:bCs w:val="false"/>
                <w:sz w:val="18"/>
                <w:szCs w:val="18"/>
              </w:rPr>
              <w:t xml:space="preserve"> Lenguaje claro</w:t>
            </w:r>
          </w:p>
        </w:tc>
        <w:tc>
          <w:tcPr>
            <w:tcW w:type="dxa" w:w="3900"/>
            <w:tcBorders>
              <w:top w:val="single" w:color="CBD5E1" w:sz="4"/>
              <w:left w:val="single" w:color="CBD5E1" w:sz="4"/>
              <w:bottom w:val="single" w:color="CBD5E1" w:sz="4"/>
              <w:right w:val="single" w:color="CBD5E1" w:sz="4"/>
            </w:tcBorders>
            <w:shd w:fill="F5F7FF" w:color="auto" w:val="clear"/>
            <w:tcMar>
              <w:top w:type="dxa" w:w="60"/>
              <w:left w:type="dxa" w:w="100"/>
              <w:bottom w:type="dxa" w:w="60"/>
              <w:right w:type="dxa" w:w="100"/>
            </w:tcMar>
          </w:tcPr>
          <w:p>
            <w:pPr>
              <w:spacing w:after="0" w:line="252"/>
            </w:pPr>
            <w:r>
              <w:rPr>
                <w:b w:val="false"/>
                <w:bCs w:val="false"/>
                <w:sz w:val="18"/>
                <w:szCs w:val="18"/>
              </w:rPr>
              <w:t xml:space="preserve">Principios para que el lector encuentre, entienda y use la información a la primera.</w:t>
            </w:r>
          </w:p>
        </w:tc>
        <w:tc>
          <w:tcPr>
            <w:tcW w:type="dxa" w:w="2826"/>
            <w:tcBorders>
              <w:top w:val="single" w:color="CBD5E1" w:sz="4"/>
              <w:left w:val="single" w:color="CBD5E1" w:sz="4"/>
              <w:bottom w:val="single" w:color="CBD5E1" w:sz="4"/>
              <w:right w:val="single" w:color="CBD5E1" w:sz="4"/>
            </w:tcBorders>
            <w:shd w:fill="F5F7FF" w:color="auto" w:val="clear"/>
            <w:tcMar>
              <w:top w:type="dxa" w:w="60"/>
              <w:left w:type="dxa" w:w="100"/>
              <w:bottom w:type="dxa" w:w="60"/>
              <w:right w:type="dxa" w:w="100"/>
            </w:tcMar>
          </w:tcPr>
          <w:p>
            <w:pPr>
              <w:spacing w:after="0" w:line="252"/>
            </w:pPr>
            <w:r>
              <w:rPr>
                <w:b w:val="false"/>
                <w:bCs w:val="false"/>
                <w:sz w:val="18"/>
                <w:szCs w:val="18"/>
              </w:rPr>
              <w:t xml:space="preserve">Regla de legibilidad (D4).</w:t>
            </w:r>
          </w:p>
        </w:tc>
      </w:tr>
    </w:tbl>
    <w:p>
      <w:pPr>
        <w:spacing w:after="200" w:before="60"/>
        <w:jc w:val="center"/>
      </w:pPr>
      <w:r>
        <w:rPr>
          <w:i/>
          <w:iCs/>
          <w:color w:val="475569"/>
          <w:sz w:val="18"/>
          <w:szCs w:val="18"/>
        </w:rPr>
        <w:t xml:space="preserve">Tabla 1. Normas formales relacionadas con la UX.</w:t>
      </w:r>
    </w:p>
    <w:p>
      <w:pPr>
        <w:pStyle w:val="Heading2"/>
      </w:pPr>
      <w:r>
        <w:t xml:space="preserve">1.2 Referentes de la industria</w:t>
      </w:r>
    </w:p>
    <w:p>
      <w:pPr>
        <w:pStyle w:val="Heading3"/>
      </w:pPr>
      <w:r>
        <w:t xml:space="preserve">Heurísticas y principios de diseño</w:t>
      </w:r>
    </w:p>
    <w:p>
      <w:pPr>
        <w:pStyle w:val="ListParagraph"/>
        <w:numPr>
          <w:ilvl w:val="0"/>
          <w:numId w:val="2"/>
        </w:numPr>
        <w:spacing w:after="60" w:line="264"/>
      </w:pPr>
      <w:r>
        <w:rPr>
          <w:b/>
          <w:bCs/>
        </w:rPr>
        <w:t xml:space="preserve">10 heurísticas de usabilidad de Jakob Nielsen</w:t>
      </w:r>
      <w:r>
        <w:t xml:space="preserve"> (Nielsen Norman Group): visibilidad del estado del sistema, correspondencia con el mundo real, control y libertad del usuario, consistencia y estándares, prevención de errores, reconocer antes que recordar, flexibilidad y eficiencia, diseño estético y minimalista, ayudar a reconocer y recuperarse de errores, y ayuda y documentación. Es el método de </w:t>
      </w:r>
      <w:r>
        <w:rPr>
          <w:b/>
          <w:bCs/>
        </w:rPr>
        <w:t xml:space="preserve">evaluación heurística</w:t>
      </w:r>
      <w:r>
        <w:t xml:space="preserve"> más utilizado.</w:t>
      </w:r>
    </w:p>
    <w:p>
      <w:pPr>
        <w:pStyle w:val="ListParagraph"/>
        <w:numPr>
          <w:ilvl w:val="0"/>
          <w:numId w:val="2"/>
        </w:numPr>
        <w:spacing w:after="60" w:line="264"/>
      </w:pPr>
      <w:r>
        <w:rPr>
          <w:b/>
          <w:bCs/>
        </w:rPr>
        <w:t xml:space="preserve">8 reglas de oro de Ben Shneiderman</w:t>
      </w:r>
      <w:r>
        <w:t xml:space="preserve">: consistencia, atajos para usuarios expertos, retroalimentación informativa, diálogos con cierre, prevención de errores, deshacer fácil, control del usuario y reducir la carga de memoria.</w:t>
      </w:r>
    </w:p>
    <w:p>
      <w:pPr>
        <w:pStyle w:val="ListParagraph"/>
        <w:numPr>
          <w:ilvl w:val="0"/>
          <w:numId w:val="2"/>
        </w:numPr>
        <w:spacing w:after="60" w:line="264"/>
      </w:pPr>
      <w:r>
        <w:rPr>
          <w:b/>
          <w:bCs/>
        </w:rPr>
        <w:t xml:space="preserve">Principios de Don Norman</w:t>
      </w:r>
      <w:r>
        <w:t xml:space="preserve"> («The Design of Everyday Things»): affordances, significantes, retroalimentación, mapeo, restricciones y modelo conceptual.</w:t>
      </w:r>
    </w:p>
    <w:p>
      <w:pPr>
        <w:pStyle w:val="ListParagraph"/>
        <w:numPr>
          <w:ilvl w:val="0"/>
          <w:numId w:val="2"/>
        </w:numPr>
        <w:spacing w:after="60" w:line="264"/>
      </w:pPr>
      <w:r>
        <w:rPr>
          <w:b/>
          <w:bCs/>
        </w:rPr>
        <w:t xml:space="preserve">Principios de la Gestalt</w:t>
      </w:r>
      <w:r>
        <w:t xml:space="preserve">: proximidad, semejanza, cierre, continuidad y figura-fondo; explican cómo el usuario agrupa visualmente la información.</w:t>
      </w:r>
    </w:p>
    <w:p>
      <w:pPr>
        <w:pStyle w:val="Heading3"/>
      </w:pPr>
      <w:r>
        <w:t xml:space="preserve">Steve Krug: «No me hagas pensar» y «Haz fácil lo imposible»</w:t>
      </w:r>
    </w:p>
    <w:p>
      <w:pPr>
        <w:spacing w:after="120" w:line="276"/>
      </w:pPr>
      <w:r>
        <w:t xml:space="preserve">Steve Krug es uno de los referentes más citados de la usabilidad web. Sus dos libros más conocidos son </w:t>
      </w:r>
      <w:r>
        <w:rPr>
          <w:b/>
          <w:bCs/>
        </w:rPr>
        <w:t xml:space="preserve">«No me hagas pensar»</w:t>
      </w:r>
      <w:r>
        <w:t xml:space="preserve"> (Don't Make Me Think: 1.ª ed. 2000, 3.ª ed. «Revisited» 2014; en español, Anaya) y </w:t>
      </w:r>
      <w:r>
        <w:rPr>
          <w:b/>
          <w:bCs/>
        </w:rPr>
        <w:t xml:space="preserve">«Haz fácil lo imposible: la guía para detectar y determinar los problemas de usabilidad»</w:t>
      </w:r>
      <w:r>
        <w:t xml:space="preserve"> (Rocket Surgery Made Easy, 2010; Anaya). Su enfoque es práctico: la usabilidad no se consigue con teoría, sino con sentido común y observando a personas reales.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3700"/>
        <w:gridCol w:w="3026"/>
      </w:tblGrid>
      <w:tr>
        <w:trPr>
          <w:tblHeader/>
        </w:trPr>
        <w:tc>
          <w:tcPr>
            <w:tcW w:type="dxa" w:w="2300"/>
            <w:tcBorders>
              <w:top w:val="single" w:color="CBD5E1" w:sz="4"/>
              <w:left w:val="single" w:color="CBD5E1" w:sz="4"/>
              <w:bottom w:val="single" w:color="CBD5E1" w:sz="4"/>
              <w:right w:val="single" w:color="CBD5E1" w:sz="4"/>
            </w:tcBorders>
            <w:shd w:fill="E0E7FF" w:color="auto" w:val="clear"/>
            <w:tcMar>
              <w:top w:type="dxa" w:w="60"/>
              <w:left w:type="dxa" w:w="100"/>
              <w:bottom w:type="dxa" w:w="60"/>
              <w:right w:type="dxa" w:w="100"/>
            </w:tcMar>
          </w:tcPr>
          <w:p>
            <w:pPr>
              <w:spacing w:after="0" w:line="252"/>
            </w:pPr>
            <w:r>
              <w:rPr>
                <w:b/>
                <w:bCs/>
                <w:color w:val="1E1B4B"/>
                <w:sz w:val="18"/>
                <w:szCs w:val="18"/>
              </w:rPr>
              <w:t xml:space="preserve">Principio de Krug</w:t>
            </w:r>
          </w:p>
        </w:tc>
        <w:tc>
          <w:tcPr>
            <w:tcW w:type="dxa" w:w="3700"/>
            <w:tcBorders>
              <w:top w:val="single" w:color="CBD5E1" w:sz="4"/>
              <w:left w:val="single" w:color="CBD5E1" w:sz="4"/>
              <w:bottom w:val="single" w:color="CBD5E1" w:sz="4"/>
              <w:right w:val="single" w:color="CBD5E1" w:sz="4"/>
            </w:tcBorders>
            <w:shd w:fill="E0E7FF" w:color="auto" w:val="clear"/>
            <w:tcMar>
              <w:top w:type="dxa" w:w="60"/>
              <w:left w:type="dxa" w:w="100"/>
              <w:bottom w:type="dxa" w:w="60"/>
              <w:right w:type="dxa" w:w="100"/>
            </w:tcMar>
          </w:tcPr>
          <w:p>
            <w:pPr>
              <w:spacing w:after="0" w:line="252"/>
            </w:pPr>
            <w:r>
              <w:rPr>
                <w:b/>
                <w:bCs/>
                <w:color w:val="1E1B4B"/>
                <w:sz w:val="18"/>
                <w:szCs w:val="18"/>
              </w:rPr>
              <w:t xml:space="preserve">Qué dice</w:t>
            </w:r>
          </w:p>
        </w:tc>
        <w:tc>
          <w:tcPr>
            <w:tcW w:type="dxa" w:w="3026"/>
            <w:tcBorders>
              <w:top w:val="single" w:color="CBD5E1" w:sz="4"/>
              <w:left w:val="single" w:color="CBD5E1" w:sz="4"/>
              <w:bottom w:val="single" w:color="CBD5E1" w:sz="4"/>
              <w:right w:val="single" w:color="CBD5E1" w:sz="4"/>
            </w:tcBorders>
            <w:shd w:fill="E0E7FF" w:color="auto" w:val="clear"/>
            <w:tcMar>
              <w:top w:type="dxa" w:w="60"/>
              <w:left w:type="dxa" w:w="100"/>
              <w:bottom w:type="dxa" w:w="60"/>
              <w:right w:type="dxa" w:w="100"/>
            </w:tcMar>
          </w:tcPr>
          <w:p>
            <w:pPr>
              <w:spacing w:after="0" w:line="252"/>
            </w:pPr>
            <w:r>
              <w:rPr>
                <w:b/>
                <w:bCs/>
                <w:color w:val="1E1B4B"/>
                <w:sz w:val="18"/>
                <w:szCs w:val="18"/>
              </w:rPr>
              <w:t xml:space="preserve">Cómo lo aplicamos en el auditor</w:t>
            </w:r>
          </w:p>
        </w:tc>
      </w:tr>
      <w:tr>
        <w:trPr>
          <w:cantSplit/>
        </w:trPr>
        <w:tc>
          <w:tcPr>
            <w:tcW w:type="dxa" w:w="230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line="252"/>
            </w:pPr>
            <w:r>
              <w:rPr>
                <w:b/>
                <w:bCs/>
                <w:sz w:val="18"/>
                <w:szCs w:val="18"/>
              </w:rPr>
              <w:t xml:space="preserve">Primera ley de la usabilidad: «No me hagas pensar»</w:t>
            </w:r>
          </w:p>
        </w:tc>
        <w:tc>
          <w:tcPr>
            <w:tcW w:type="dxa" w:w="370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line="252"/>
            </w:pPr>
            <w:r>
              <w:rPr>
                <w:b w:val="false"/>
                <w:bCs w:val="false"/>
                <w:sz w:val="18"/>
                <w:szCs w:val="18"/>
              </w:rPr>
              <w:t xml:space="preserve">Cada página debe ser evidente por sí misma o, al menos, autoexplicativa. Cada duda («¿esto es un botón?», «¿dónde estará…?») suma carga cognitiva.</w:t>
            </w:r>
          </w:p>
        </w:tc>
        <w:tc>
          <w:tcPr>
            <w:tcW w:type="dxa" w:w="302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line="252"/>
            </w:pPr>
            <w:r>
              <w:rPr>
                <w:b w:val="false"/>
                <w:bCs w:val="false"/>
                <w:sz w:val="18"/>
                <w:szCs w:val="18"/>
              </w:rPr>
              <w:t xml:space="preserve">Pregunta experta MAN-KRUG-EVIDENTE (D2, alta).</w:t>
            </w:r>
          </w:p>
        </w:tc>
      </w:tr>
      <w:tr>
        <w:trPr>
          <w:cantSplit/>
        </w:trPr>
        <w:tc>
          <w:tcPr>
            <w:tcW w:type="dxa" w:w="2300"/>
            <w:tcBorders>
              <w:top w:val="single" w:color="CBD5E1" w:sz="4"/>
              <w:left w:val="single" w:color="CBD5E1" w:sz="4"/>
              <w:bottom w:val="single" w:color="CBD5E1" w:sz="4"/>
              <w:right w:val="single" w:color="CBD5E1" w:sz="4"/>
            </w:tcBorders>
            <w:shd w:fill="F5F7FF" w:color="auto" w:val="clear"/>
            <w:tcMar>
              <w:top w:type="dxa" w:w="60"/>
              <w:left w:type="dxa" w:w="100"/>
              <w:bottom w:type="dxa" w:w="60"/>
              <w:right w:type="dxa" w:w="100"/>
            </w:tcMar>
          </w:tcPr>
          <w:p>
            <w:pPr>
              <w:spacing w:after="0" w:line="252"/>
            </w:pPr>
            <w:r>
              <w:rPr>
                <w:b/>
                <w:bCs/>
                <w:sz w:val="18"/>
                <w:szCs w:val="18"/>
              </w:rPr>
              <w:t xml:space="preserve">Cómo usamos realmente la web</w:t>
            </w:r>
          </w:p>
        </w:tc>
        <w:tc>
          <w:tcPr>
            <w:tcW w:type="dxa" w:w="3700"/>
            <w:tcBorders>
              <w:top w:val="single" w:color="CBD5E1" w:sz="4"/>
              <w:left w:val="single" w:color="CBD5E1" w:sz="4"/>
              <w:bottom w:val="single" w:color="CBD5E1" w:sz="4"/>
              <w:right w:val="single" w:color="CBD5E1" w:sz="4"/>
            </w:tcBorders>
            <w:shd w:fill="F5F7FF" w:color="auto" w:val="clear"/>
            <w:tcMar>
              <w:top w:type="dxa" w:w="60"/>
              <w:left w:type="dxa" w:w="100"/>
              <w:bottom w:type="dxa" w:w="60"/>
              <w:right w:type="dxa" w:w="100"/>
            </w:tcMar>
          </w:tcPr>
          <w:p>
            <w:pPr>
              <w:spacing w:after="0" w:line="252"/>
            </w:pPr>
            <w:r>
              <w:rPr>
                <w:b w:val="false"/>
                <w:bCs w:val="false"/>
                <w:sz w:val="18"/>
                <w:szCs w:val="18"/>
              </w:rPr>
              <w:t xml:space="preserve">No leemos: escaneamos. Elegimos la primera opción razonable (satisficing) y salimos del paso sin entender cómo funciona.</w:t>
            </w:r>
          </w:p>
        </w:tc>
        <w:tc>
          <w:tcPr>
            <w:tcW w:type="dxa" w:w="3026"/>
            <w:tcBorders>
              <w:top w:val="single" w:color="CBD5E1" w:sz="4"/>
              <w:left w:val="single" w:color="CBD5E1" w:sz="4"/>
              <w:bottom w:val="single" w:color="CBD5E1" w:sz="4"/>
              <w:right w:val="single" w:color="CBD5E1" w:sz="4"/>
            </w:tcBorders>
            <w:shd w:fill="F5F7FF" w:color="auto" w:val="clear"/>
            <w:tcMar>
              <w:top w:type="dxa" w:w="60"/>
              <w:left w:type="dxa" w:w="100"/>
              <w:bottom w:type="dxa" w:w="60"/>
              <w:right w:type="dxa" w:w="100"/>
            </w:tcMar>
          </w:tcPr>
          <w:p>
            <w:pPr>
              <w:spacing w:after="0" w:line="252"/>
            </w:pPr>
            <w:r>
              <w:rPr>
                <w:b w:val="false"/>
                <w:bCs w:val="false"/>
                <w:sz w:val="18"/>
                <w:szCs w:val="18"/>
              </w:rPr>
              <w:t xml:space="preserve">Justifica las reglas de jerarquía visual, de una sola llamada a la acción principal y de legibilidad.</w:t>
            </w:r>
          </w:p>
        </w:tc>
      </w:tr>
      <w:tr>
        <w:trPr>
          <w:cantSplit/>
        </w:trPr>
        <w:tc>
          <w:tcPr>
            <w:tcW w:type="dxa" w:w="230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line="252"/>
            </w:pPr>
            <w:r>
              <w:rPr>
                <w:b/>
                <w:bCs/>
                <w:sz w:val="18"/>
                <w:szCs w:val="18"/>
              </w:rPr>
              <w:t xml:space="preserve">Diseño de valla publicitaria</w:t>
            </w:r>
          </w:p>
        </w:tc>
        <w:tc>
          <w:tcPr>
            <w:tcW w:type="dxa" w:w="370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line="252"/>
            </w:pPr>
            <w:r>
              <w:rPr>
                <w:b w:val="false"/>
                <w:bCs w:val="false"/>
                <w:sz w:val="18"/>
                <w:szCs w:val="18"/>
              </w:rPr>
              <w:t xml:space="preserve">Usar convenciones, crear una jerarquía visual clara, dividir en zonas, que lo clicable sea evidente y reducir el ruido.</w:t>
            </w:r>
          </w:p>
        </w:tc>
        <w:tc>
          <w:tcPr>
            <w:tcW w:type="dxa" w:w="302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line="252"/>
            </w:pPr>
            <w:r>
              <w:rPr>
                <w:b w:val="false"/>
                <w:bCs w:val="false"/>
                <w:sz w:val="18"/>
                <w:szCs w:val="18"/>
              </w:rPr>
              <w:t xml:space="preserve">INT-ENLACES-DISTINGUIBLES (enlaces que no se distinguen del texto), INT-CTA-COMPITEN, INT-CLIC-NO-SEMANTICO.</w:t>
            </w:r>
          </w:p>
        </w:tc>
      </w:tr>
      <w:tr>
        <w:trPr>
          <w:cantSplit/>
        </w:trPr>
        <w:tc>
          <w:tcPr>
            <w:tcW w:type="dxa" w:w="2300"/>
            <w:tcBorders>
              <w:top w:val="single" w:color="CBD5E1" w:sz="4"/>
              <w:left w:val="single" w:color="CBD5E1" w:sz="4"/>
              <w:bottom w:val="single" w:color="CBD5E1" w:sz="4"/>
              <w:right w:val="single" w:color="CBD5E1" w:sz="4"/>
            </w:tcBorders>
            <w:shd w:fill="F5F7FF" w:color="auto" w:val="clear"/>
            <w:tcMar>
              <w:top w:type="dxa" w:w="60"/>
              <w:left w:type="dxa" w:w="100"/>
              <w:bottom w:type="dxa" w:w="60"/>
              <w:right w:type="dxa" w:w="100"/>
            </w:tcMar>
          </w:tcPr>
          <w:p>
            <w:pPr>
              <w:spacing w:after="0" w:line="252"/>
            </w:pPr>
            <w:r>
              <w:rPr>
                <w:b/>
                <w:bCs/>
                <w:sz w:val="18"/>
                <w:szCs w:val="18"/>
              </w:rPr>
              <w:t xml:space="preserve">Omite las palabras innecesarias</w:t>
            </w:r>
          </w:p>
        </w:tc>
        <w:tc>
          <w:tcPr>
            <w:tcW w:type="dxa" w:w="3700"/>
            <w:tcBorders>
              <w:top w:val="single" w:color="CBD5E1" w:sz="4"/>
              <w:left w:val="single" w:color="CBD5E1" w:sz="4"/>
              <w:bottom w:val="single" w:color="CBD5E1" w:sz="4"/>
              <w:right w:val="single" w:color="CBD5E1" w:sz="4"/>
            </w:tcBorders>
            <w:shd w:fill="F5F7FF" w:color="auto" w:val="clear"/>
            <w:tcMar>
              <w:top w:type="dxa" w:w="60"/>
              <w:left w:type="dxa" w:w="100"/>
              <w:bottom w:type="dxa" w:w="60"/>
              <w:right w:type="dxa" w:w="100"/>
            </w:tcMar>
          </w:tcPr>
          <w:p>
            <w:pPr>
              <w:spacing w:after="0" w:line="252"/>
            </w:pPr>
            <w:r>
              <w:rPr>
                <w:b w:val="false"/>
                <w:bCs w:val="false"/>
                <w:sz w:val="18"/>
                <w:szCs w:val="18"/>
              </w:rPr>
              <w:t xml:space="preserve">«Elimina la mitad de las palabras de cada página y luego la mitad de lo que quede»: fuera el texto de bienvenida (happy talk) y las instrucciones que nadie lee.</w:t>
            </w:r>
          </w:p>
        </w:tc>
        <w:tc>
          <w:tcPr>
            <w:tcW w:type="dxa" w:w="3026"/>
            <w:tcBorders>
              <w:top w:val="single" w:color="CBD5E1" w:sz="4"/>
              <w:left w:val="single" w:color="CBD5E1" w:sz="4"/>
              <w:bottom w:val="single" w:color="CBD5E1" w:sz="4"/>
              <w:right w:val="single" w:color="CBD5E1" w:sz="4"/>
            </w:tcBorders>
            <w:shd w:fill="F5F7FF" w:color="auto" w:val="clear"/>
            <w:tcMar>
              <w:top w:type="dxa" w:w="60"/>
              <w:left w:type="dxa" w:w="100"/>
              <w:bottom w:type="dxa" w:w="60"/>
              <w:right w:type="dxa" w:w="100"/>
            </w:tcMar>
          </w:tcPr>
          <w:p>
            <w:pPr>
              <w:spacing w:after="0" w:line="252"/>
            </w:pPr>
            <w:r>
              <w:rPr>
                <w:b w:val="false"/>
                <w:bCs w:val="false"/>
                <w:sz w:val="18"/>
                <w:szCs w:val="18"/>
              </w:rPr>
              <w:t xml:space="preserve">VIS-PALABRAS-INNECESARIAS (D4) y el índice de legibilidad.</w:t>
            </w:r>
          </w:p>
        </w:tc>
      </w:tr>
      <w:tr>
        <w:trPr>
          <w:cantSplit/>
        </w:trPr>
        <w:tc>
          <w:tcPr>
            <w:tcW w:type="dxa" w:w="230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line="252"/>
            </w:pPr>
            <w:r>
              <w:rPr>
                <w:b/>
                <w:bCs/>
                <w:sz w:val="18"/>
                <w:szCs w:val="18"/>
              </w:rPr>
              <w:t xml:space="preserve">Prueba del tronco (trunk test)</w:t>
            </w:r>
          </w:p>
        </w:tc>
        <w:tc>
          <w:tcPr>
            <w:tcW w:type="dxa" w:w="370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line="252"/>
            </w:pPr>
            <w:r>
              <w:rPr>
                <w:b w:val="false"/>
                <w:bCs w:val="false"/>
                <w:sz w:val="18"/>
                <w:szCs w:val="18"/>
              </w:rPr>
              <w:t xml:space="preserve">En cualquier página, a simple vista, debe verse qué sitio es, en qué página estoy, cuáles son las secciones, dónde estoy y cómo buscar.</w:t>
            </w:r>
          </w:p>
        </w:tc>
        <w:tc>
          <w:tcPr>
            <w:tcW w:type="dxa" w:w="302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line="252"/>
            </w:pPr>
            <w:r>
              <w:rPr>
                <w:b w:val="false"/>
                <w:bCs w:val="false"/>
                <w:sz w:val="18"/>
                <w:szCs w:val="18"/>
              </w:rPr>
              <w:t xml:space="preserve">NAV-PRUEBA-TRONCO (D6, alta): automatizada por primera vez en una herramienta de auditoría.</w:t>
            </w:r>
          </w:p>
        </w:tc>
      </w:tr>
      <w:tr>
        <w:trPr>
          <w:cantSplit/>
        </w:trPr>
        <w:tc>
          <w:tcPr>
            <w:tcW w:type="dxa" w:w="2300"/>
            <w:tcBorders>
              <w:top w:val="single" w:color="CBD5E1" w:sz="4"/>
              <w:left w:val="single" w:color="CBD5E1" w:sz="4"/>
              <w:bottom w:val="single" w:color="CBD5E1" w:sz="4"/>
              <w:right w:val="single" w:color="CBD5E1" w:sz="4"/>
            </w:tcBorders>
            <w:shd w:fill="F5F7FF" w:color="auto" w:val="clear"/>
            <w:tcMar>
              <w:top w:type="dxa" w:w="60"/>
              <w:left w:type="dxa" w:w="100"/>
              <w:bottom w:type="dxa" w:w="60"/>
              <w:right w:type="dxa" w:w="100"/>
            </w:tcMar>
          </w:tcPr>
          <w:p>
            <w:pPr>
              <w:spacing w:after="0" w:line="252"/>
            </w:pPr>
            <w:r>
              <w:rPr>
                <w:b/>
                <w:bCs/>
                <w:sz w:val="18"/>
                <w:szCs w:val="18"/>
              </w:rPr>
              <w:t xml:space="preserve">La portada</w:t>
            </w:r>
          </w:p>
        </w:tc>
        <w:tc>
          <w:tcPr>
            <w:tcW w:type="dxa" w:w="3700"/>
            <w:tcBorders>
              <w:top w:val="single" w:color="CBD5E1" w:sz="4"/>
              <w:left w:val="single" w:color="CBD5E1" w:sz="4"/>
              <w:bottom w:val="single" w:color="CBD5E1" w:sz="4"/>
              <w:right w:val="single" w:color="CBD5E1" w:sz="4"/>
            </w:tcBorders>
            <w:shd w:fill="F5F7FF" w:color="auto" w:val="clear"/>
            <w:tcMar>
              <w:top w:type="dxa" w:w="60"/>
              <w:left w:type="dxa" w:w="100"/>
              <w:bottom w:type="dxa" w:w="60"/>
              <w:right w:type="dxa" w:w="100"/>
            </w:tcMar>
          </w:tcPr>
          <w:p>
            <w:pPr>
              <w:spacing w:after="0" w:line="252"/>
            </w:pPr>
            <w:r>
              <w:rPr>
                <w:b w:val="false"/>
                <w:bCs w:val="false"/>
                <w:sz w:val="18"/>
                <w:szCs w:val="18"/>
              </w:rPr>
              <w:t xml:space="preserve">Debe explicar en segundos qué es el sitio, qué ofrece y por dónde empezar (lema y propuesta de valor).</w:t>
            </w:r>
          </w:p>
        </w:tc>
        <w:tc>
          <w:tcPr>
            <w:tcW w:type="dxa" w:w="3026"/>
            <w:tcBorders>
              <w:top w:val="single" w:color="CBD5E1" w:sz="4"/>
              <w:left w:val="single" w:color="CBD5E1" w:sz="4"/>
              <w:bottom w:val="single" w:color="CBD5E1" w:sz="4"/>
              <w:right w:val="single" w:color="CBD5E1" w:sz="4"/>
            </w:tcBorders>
            <w:shd w:fill="F5F7FF" w:color="auto" w:val="clear"/>
            <w:tcMar>
              <w:top w:type="dxa" w:w="60"/>
              <w:left w:type="dxa" w:w="100"/>
              <w:bottom w:type="dxa" w:w="60"/>
              <w:right w:type="dxa" w:w="100"/>
            </w:tcMar>
          </w:tcPr>
          <w:p>
            <w:pPr>
              <w:spacing w:after="0" w:line="252"/>
            </w:pPr>
            <w:r>
              <w:rPr>
                <w:b w:val="false"/>
                <w:bCs w:val="false"/>
                <w:sz w:val="18"/>
                <w:szCs w:val="18"/>
              </w:rPr>
              <w:t xml:space="preserve">Pregunta experta MAN-KRUG-PORTADA (D6).</w:t>
            </w:r>
          </w:p>
        </w:tc>
      </w:tr>
      <w:tr>
        <w:trPr>
          <w:cantSplit/>
        </w:trPr>
        <w:tc>
          <w:tcPr>
            <w:tcW w:type="dxa" w:w="230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line="252"/>
            </w:pPr>
            <w:r>
              <w:rPr>
                <w:b/>
                <w:bCs/>
                <w:sz w:val="18"/>
                <w:szCs w:val="18"/>
              </w:rPr>
              <w:t xml:space="preserve">La reserva de buena voluntad</w:t>
            </w:r>
          </w:p>
        </w:tc>
        <w:tc>
          <w:tcPr>
            <w:tcW w:type="dxa" w:w="370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line="252"/>
            </w:pPr>
            <w:r>
              <w:rPr>
                <w:b w:val="false"/>
                <w:bCs w:val="false"/>
                <w:sz w:val="18"/>
                <w:szCs w:val="18"/>
              </w:rPr>
              <w:t xml:space="preserve">Cada usuario llega con una reserva de paciencia. La gastan: ocultar información (teléfono, precios, gastos de envío), castigarle por no escribir los datos a tu manera, pedir datos innecesarios o tener un aspecto descuidado. La recuperan: ahorrar pasos y facilitar recuperarse de los errores.</w:t>
            </w:r>
          </w:p>
        </w:tc>
        <w:tc>
          <w:tcPr>
            <w:tcW w:type="dxa" w:w="302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line="252"/>
            </w:pPr>
            <w:r>
              <w:rPr>
                <w:b w:val="false"/>
                <w:bCs w:val="false"/>
                <w:sz w:val="18"/>
                <w:szCs w:val="18"/>
              </w:rPr>
              <w:t xml:space="preserve">FORM-FORMATO-LIBRE (teléfonos e IBAN que no admiten espacios) y la pregunta MAN-KRUG-BUENA-VOLUNTAD.</w:t>
            </w:r>
          </w:p>
        </w:tc>
      </w:tr>
      <w:tr>
        <w:trPr>
          <w:cantSplit/>
        </w:trPr>
        <w:tc>
          <w:tcPr>
            <w:tcW w:type="dxa" w:w="2300"/>
            <w:tcBorders>
              <w:top w:val="single" w:color="CBD5E1" w:sz="4"/>
              <w:left w:val="single" w:color="CBD5E1" w:sz="4"/>
              <w:bottom w:val="single" w:color="CBD5E1" w:sz="4"/>
              <w:right w:val="single" w:color="CBD5E1" w:sz="4"/>
            </w:tcBorders>
            <w:shd w:fill="F5F7FF" w:color="auto" w:val="clear"/>
            <w:tcMar>
              <w:top w:type="dxa" w:w="60"/>
              <w:left w:type="dxa" w:w="100"/>
              <w:bottom w:type="dxa" w:w="60"/>
              <w:right w:type="dxa" w:w="100"/>
            </w:tcMar>
          </w:tcPr>
          <w:p>
            <w:pPr>
              <w:spacing w:after="0" w:line="252"/>
            </w:pPr>
            <w:r>
              <w:rPr>
                <w:b/>
                <w:bCs/>
                <w:sz w:val="18"/>
                <w:szCs w:val="18"/>
              </w:rPr>
              <w:t xml:space="preserve">Accesibilidad</w:t>
            </w:r>
          </w:p>
        </w:tc>
        <w:tc>
          <w:tcPr>
            <w:tcW w:type="dxa" w:w="3700"/>
            <w:tcBorders>
              <w:top w:val="single" w:color="CBD5E1" w:sz="4"/>
              <w:left w:val="single" w:color="CBD5E1" w:sz="4"/>
              <w:bottom w:val="single" w:color="CBD5E1" w:sz="4"/>
              <w:right w:val="single" w:color="CBD5E1" w:sz="4"/>
            </w:tcBorders>
            <w:shd w:fill="F5F7FF" w:color="auto" w:val="clear"/>
            <w:tcMar>
              <w:top w:type="dxa" w:w="60"/>
              <w:left w:type="dxa" w:w="100"/>
              <w:bottom w:type="dxa" w:w="60"/>
              <w:right w:type="dxa" w:w="100"/>
            </w:tcMar>
          </w:tcPr>
          <w:p>
            <w:pPr>
              <w:spacing w:after="0" w:line="252"/>
            </w:pPr>
            <w:r>
              <w:rPr>
                <w:b w:val="false"/>
                <w:bCs w:val="false"/>
                <w:sz w:val="18"/>
                <w:szCs w:val="18"/>
              </w:rPr>
              <w:t xml:space="preserve">Es lo correcto y mejora la experiencia de todos: primero, arreglar lo que confunde a todo el mundo.</w:t>
            </w:r>
          </w:p>
        </w:tc>
        <w:tc>
          <w:tcPr>
            <w:tcW w:type="dxa" w:w="3026"/>
            <w:tcBorders>
              <w:top w:val="single" w:color="CBD5E1" w:sz="4"/>
              <w:left w:val="single" w:color="CBD5E1" w:sz="4"/>
              <w:bottom w:val="single" w:color="CBD5E1" w:sz="4"/>
              <w:right w:val="single" w:color="CBD5E1" w:sz="4"/>
            </w:tcBorders>
            <w:shd w:fill="F5F7FF" w:color="auto" w:val="clear"/>
            <w:tcMar>
              <w:top w:type="dxa" w:w="60"/>
              <w:left w:type="dxa" w:w="100"/>
              <w:bottom w:type="dxa" w:w="60"/>
              <w:right w:type="dxa" w:w="100"/>
            </w:tcMar>
          </w:tcPr>
          <w:p>
            <w:pPr>
              <w:spacing w:after="0" w:line="252"/>
            </w:pPr>
            <w:r>
              <w:rPr>
                <w:b w:val="false"/>
                <w:bCs w:val="false"/>
                <w:sz w:val="18"/>
                <w:szCs w:val="18"/>
              </w:rPr>
              <w:t xml:space="preserve">Dimensión D1 completa.</w:t>
            </w:r>
          </w:p>
        </w:tc>
      </w:tr>
      <w:tr>
        <w:trPr>
          <w:cantSplit/>
        </w:trPr>
        <w:tc>
          <w:tcPr>
            <w:tcW w:type="dxa" w:w="230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line="252"/>
            </w:pPr>
            <w:r>
              <w:rPr>
                <w:b/>
                <w:bCs/>
                <w:sz w:val="18"/>
                <w:szCs w:val="18"/>
              </w:rPr>
              <w:t xml:space="preserve">Pruebas de usabilidad «hazlo tú mismo»</w:t>
            </w:r>
          </w:p>
        </w:tc>
        <w:tc>
          <w:tcPr>
            <w:tcW w:type="dxa" w:w="370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line="252"/>
            </w:pPr>
            <w:r>
              <w:rPr>
                <w:b w:val="false"/>
                <w:bCs w:val="false"/>
                <w:sz w:val="18"/>
                <w:szCs w:val="18"/>
              </w:rPr>
              <w:t xml:space="preserve">Una mañana al mes, tres usuarios, todo el equipo mirando y corregir primero los problemas más graves. Probar con pocos usuarios pronto es mejor que con muchos tarde.</w:t>
            </w:r>
          </w:p>
        </w:tc>
        <w:tc>
          <w:tcPr>
            <w:tcW w:type="dxa" w:w="302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line="252"/>
            </w:pPr>
            <w:r>
              <w:rPr>
                <w:b w:val="false"/>
                <w:bCs w:val="false"/>
                <w:sz w:val="18"/>
                <w:szCs w:val="18"/>
              </w:rPr>
              <w:t xml:space="preserve">Pregunta MAN-KRUG-PRUEBAS (D7), junto con el SUS.</w:t>
            </w:r>
          </w:p>
        </w:tc>
      </w:tr>
    </w:tbl>
    <w:p>
      <w:pPr>
        <w:spacing w:after="200" w:before="60"/>
        <w:jc w:val="center"/>
      </w:pPr>
      <w:r>
        <w:rPr>
          <w:i/>
          <w:iCs/>
          <w:color w:val="475569"/>
          <w:sz w:val="18"/>
          <w:szCs w:val="18"/>
        </w:rPr>
        <w:t xml:space="preserve">Tabla 2. Principios de Steve Krug y su uso en el auditor.</w:t>
      </w:r>
    </w:p>
    <w:p>
      <w:pPr>
        <w:pStyle w:val="Heading3"/>
      </w:pPr>
      <w:r>
        <w:t xml:space="preserve">Leyes de la UX (psicología aplicada)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3600"/>
        <w:gridCol w:w="3526"/>
      </w:tblGrid>
      <w:tr>
        <w:trPr>
          <w:tblHeader/>
        </w:trPr>
        <w:tc>
          <w:tcPr>
            <w:tcW w:type="dxa" w:w="1900"/>
            <w:tcBorders>
              <w:top w:val="single" w:color="CBD5E1" w:sz="4"/>
              <w:left w:val="single" w:color="CBD5E1" w:sz="4"/>
              <w:bottom w:val="single" w:color="CBD5E1" w:sz="4"/>
              <w:right w:val="single" w:color="CBD5E1" w:sz="4"/>
            </w:tcBorders>
            <w:shd w:fill="E0E7FF" w:color="auto" w:val="clear"/>
            <w:tcMar>
              <w:top w:type="dxa" w:w="60"/>
              <w:left w:type="dxa" w:w="100"/>
              <w:bottom w:type="dxa" w:w="60"/>
              <w:right w:type="dxa" w:w="100"/>
            </w:tcMar>
          </w:tcPr>
          <w:p>
            <w:pPr>
              <w:spacing w:after="0" w:line="252"/>
            </w:pPr>
            <w:r>
              <w:rPr>
                <w:b/>
                <w:bCs/>
                <w:color w:val="1E1B4B"/>
                <w:sz w:val="18"/>
                <w:szCs w:val="18"/>
              </w:rPr>
              <w:t xml:space="preserve">Ley</w:t>
            </w:r>
          </w:p>
        </w:tc>
        <w:tc>
          <w:tcPr>
            <w:tcW w:type="dxa" w:w="3600"/>
            <w:tcBorders>
              <w:top w:val="single" w:color="CBD5E1" w:sz="4"/>
              <w:left w:val="single" w:color="CBD5E1" w:sz="4"/>
              <w:bottom w:val="single" w:color="CBD5E1" w:sz="4"/>
              <w:right w:val="single" w:color="CBD5E1" w:sz="4"/>
            </w:tcBorders>
            <w:shd w:fill="E0E7FF" w:color="auto" w:val="clear"/>
            <w:tcMar>
              <w:top w:type="dxa" w:w="60"/>
              <w:left w:type="dxa" w:w="100"/>
              <w:bottom w:type="dxa" w:w="60"/>
              <w:right w:type="dxa" w:w="100"/>
            </w:tcMar>
          </w:tcPr>
          <w:p>
            <w:pPr>
              <w:spacing w:after="0" w:line="252"/>
            </w:pPr>
            <w:r>
              <w:rPr>
                <w:b/>
                <w:bCs/>
                <w:color w:val="1E1B4B"/>
                <w:sz w:val="18"/>
                <w:szCs w:val="18"/>
              </w:rPr>
              <w:t xml:space="preserve">Enunciado resumido</w:t>
            </w:r>
          </w:p>
        </w:tc>
        <w:tc>
          <w:tcPr>
            <w:tcW w:type="dxa" w:w="3526"/>
            <w:tcBorders>
              <w:top w:val="single" w:color="CBD5E1" w:sz="4"/>
              <w:left w:val="single" w:color="CBD5E1" w:sz="4"/>
              <w:bottom w:val="single" w:color="CBD5E1" w:sz="4"/>
              <w:right w:val="single" w:color="CBD5E1" w:sz="4"/>
            </w:tcBorders>
            <w:shd w:fill="E0E7FF" w:color="auto" w:val="clear"/>
            <w:tcMar>
              <w:top w:type="dxa" w:w="60"/>
              <w:left w:type="dxa" w:w="100"/>
              <w:bottom w:type="dxa" w:w="60"/>
              <w:right w:type="dxa" w:w="100"/>
            </w:tcMar>
          </w:tcPr>
          <w:p>
            <w:pPr>
              <w:spacing w:after="0" w:line="252"/>
            </w:pPr>
            <w:r>
              <w:rPr>
                <w:b/>
                <w:bCs/>
                <w:color w:val="1E1B4B"/>
                <w:sz w:val="18"/>
                <w:szCs w:val="18"/>
              </w:rPr>
              <w:t xml:space="preserve">Consecuencia de diseño</w:t>
            </w:r>
          </w:p>
        </w:tc>
      </w:tr>
      <w:tr>
        <w:trPr>
          <w:cantSplit/>
        </w:trPr>
        <w:tc>
          <w:tcPr>
            <w:tcW w:type="dxa" w:w="190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line="252"/>
            </w:pPr>
            <w:r>
              <w:rPr>
                <w:b w:val="false"/>
                <w:bCs w:val="false"/>
                <w:sz w:val="18"/>
                <w:szCs w:val="18"/>
              </w:rPr>
              <w:t xml:space="preserve">Ley de Fitts</w:t>
            </w:r>
          </w:p>
        </w:tc>
        <w:tc>
          <w:tcPr>
            <w:tcW w:type="dxa" w:w="360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line="252"/>
            </w:pPr>
            <w:r>
              <w:rPr>
                <w:b w:val="false"/>
                <w:bCs w:val="false"/>
                <w:sz w:val="18"/>
                <w:szCs w:val="18"/>
              </w:rPr>
              <w:t xml:space="preserve">El tiempo para alcanzar un objetivo depende de su distancia y tamaño.</w:t>
            </w:r>
          </w:p>
        </w:tc>
        <w:tc>
          <w:tcPr>
            <w:tcW w:type="dxa" w:w="352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line="252"/>
            </w:pPr>
            <w:r>
              <w:rPr>
                <w:b w:val="false"/>
                <w:bCs w:val="false"/>
                <w:sz w:val="18"/>
                <w:szCs w:val="18"/>
              </w:rPr>
              <w:t xml:space="preserve">Botones grandes y cercanos; objetivos táctiles ≥ 44×44 pt (Apple) / 48×48 dp (Material).</w:t>
            </w:r>
          </w:p>
        </w:tc>
      </w:tr>
      <w:tr>
        <w:trPr>
          <w:cantSplit/>
        </w:trPr>
        <w:tc>
          <w:tcPr>
            <w:tcW w:type="dxa" w:w="1900"/>
            <w:tcBorders>
              <w:top w:val="single" w:color="CBD5E1" w:sz="4"/>
              <w:left w:val="single" w:color="CBD5E1" w:sz="4"/>
              <w:bottom w:val="single" w:color="CBD5E1" w:sz="4"/>
              <w:right w:val="single" w:color="CBD5E1" w:sz="4"/>
            </w:tcBorders>
            <w:shd w:fill="F5F7FF" w:color="auto" w:val="clear"/>
            <w:tcMar>
              <w:top w:type="dxa" w:w="60"/>
              <w:left w:type="dxa" w:w="100"/>
              <w:bottom w:type="dxa" w:w="60"/>
              <w:right w:type="dxa" w:w="100"/>
            </w:tcMar>
          </w:tcPr>
          <w:p>
            <w:pPr>
              <w:spacing w:after="0" w:line="252"/>
            </w:pPr>
            <w:r>
              <w:rPr>
                <w:b w:val="false"/>
                <w:bCs w:val="false"/>
                <w:sz w:val="18"/>
                <w:szCs w:val="18"/>
              </w:rPr>
              <w:t xml:space="preserve">Ley de Hick-Hyman</w:t>
            </w:r>
          </w:p>
        </w:tc>
        <w:tc>
          <w:tcPr>
            <w:tcW w:type="dxa" w:w="3600"/>
            <w:tcBorders>
              <w:top w:val="single" w:color="CBD5E1" w:sz="4"/>
              <w:left w:val="single" w:color="CBD5E1" w:sz="4"/>
              <w:bottom w:val="single" w:color="CBD5E1" w:sz="4"/>
              <w:right w:val="single" w:color="CBD5E1" w:sz="4"/>
            </w:tcBorders>
            <w:shd w:fill="F5F7FF" w:color="auto" w:val="clear"/>
            <w:tcMar>
              <w:top w:type="dxa" w:w="60"/>
              <w:left w:type="dxa" w:w="100"/>
              <w:bottom w:type="dxa" w:w="60"/>
              <w:right w:type="dxa" w:w="100"/>
            </w:tcMar>
          </w:tcPr>
          <w:p>
            <w:pPr>
              <w:spacing w:after="0" w:line="252"/>
            </w:pPr>
            <w:r>
              <w:rPr>
                <w:b w:val="false"/>
                <w:bCs w:val="false"/>
                <w:sz w:val="18"/>
                <w:szCs w:val="18"/>
              </w:rPr>
              <w:t xml:space="preserve">El tiempo de decisión crece con el número de opciones.</w:t>
            </w:r>
          </w:p>
        </w:tc>
        <w:tc>
          <w:tcPr>
            <w:tcW w:type="dxa" w:w="3526"/>
            <w:tcBorders>
              <w:top w:val="single" w:color="CBD5E1" w:sz="4"/>
              <w:left w:val="single" w:color="CBD5E1" w:sz="4"/>
              <w:bottom w:val="single" w:color="CBD5E1" w:sz="4"/>
              <w:right w:val="single" w:color="CBD5E1" w:sz="4"/>
            </w:tcBorders>
            <w:shd w:fill="F5F7FF" w:color="auto" w:val="clear"/>
            <w:tcMar>
              <w:top w:type="dxa" w:w="60"/>
              <w:left w:type="dxa" w:w="100"/>
              <w:bottom w:type="dxa" w:w="60"/>
              <w:right w:type="dxa" w:w="100"/>
            </w:tcMar>
          </w:tcPr>
          <w:p>
            <w:pPr>
              <w:spacing w:after="0" w:line="252"/>
            </w:pPr>
            <w:r>
              <w:rPr>
                <w:b w:val="false"/>
                <w:bCs w:val="false"/>
                <w:sz w:val="18"/>
                <w:szCs w:val="18"/>
              </w:rPr>
              <w:t xml:space="preserve">Menús cortos, revelado progresivo.</w:t>
            </w:r>
          </w:p>
        </w:tc>
      </w:tr>
      <w:tr>
        <w:trPr>
          <w:cantSplit/>
        </w:trPr>
        <w:tc>
          <w:tcPr>
            <w:tcW w:type="dxa" w:w="190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line="252"/>
            </w:pPr>
            <w:r>
              <w:rPr>
                <w:b w:val="false"/>
                <w:bCs w:val="false"/>
                <w:sz w:val="18"/>
                <w:szCs w:val="18"/>
              </w:rPr>
              <w:t xml:space="preserve">Ley de Jakob</w:t>
            </w:r>
          </w:p>
        </w:tc>
        <w:tc>
          <w:tcPr>
            <w:tcW w:type="dxa" w:w="360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line="252"/>
            </w:pPr>
            <w:r>
              <w:rPr>
                <w:b w:val="false"/>
                <w:bCs w:val="false"/>
                <w:sz w:val="18"/>
                <w:szCs w:val="18"/>
              </w:rPr>
              <w:t xml:space="preserve">Los usuarios esperan que tu web funcione como las que ya conocen.</w:t>
            </w:r>
          </w:p>
        </w:tc>
        <w:tc>
          <w:tcPr>
            <w:tcW w:type="dxa" w:w="352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line="252"/>
            </w:pPr>
            <w:r>
              <w:rPr>
                <w:b w:val="false"/>
                <w:bCs w:val="false"/>
                <w:sz w:val="18"/>
                <w:szCs w:val="18"/>
              </w:rPr>
              <w:t xml:space="preserve">Seguir patrones estándar.</w:t>
            </w:r>
          </w:p>
        </w:tc>
      </w:tr>
      <w:tr>
        <w:trPr>
          <w:cantSplit/>
        </w:trPr>
        <w:tc>
          <w:tcPr>
            <w:tcW w:type="dxa" w:w="1900"/>
            <w:tcBorders>
              <w:top w:val="single" w:color="CBD5E1" w:sz="4"/>
              <w:left w:val="single" w:color="CBD5E1" w:sz="4"/>
              <w:bottom w:val="single" w:color="CBD5E1" w:sz="4"/>
              <w:right w:val="single" w:color="CBD5E1" w:sz="4"/>
            </w:tcBorders>
            <w:shd w:fill="F5F7FF" w:color="auto" w:val="clear"/>
            <w:tcMar>
              <w:top w:type="dxa" w:w="60"/>
              <w:left w:type="dxa" w:w="100"/>
              <w:bottom w:type="dxa" w:w="60"/>
              <w:right w:type="dxa" w:w="100"/>
            </w:tcMar>
          </w:tcPr>
          <w:p>
            <w:pPr>
              <w:spacing w:after="0" w:line="252"/>
            </w:pPr>
            <w:r>
              <w:rPr>
                <w:b w:val="false"/>
                <w:bCs w:val="false"/>
                <w:sz w:val="18"/>
                <w:szCs w:val="18"/>
              </w:rPr>
              <w:t xml:space="preserve">Umbral de Doherty</w:t>
            </w:r>
          </w:p>
        </w:tc>
        <w:tc>
          <w:tcPr>
            <w:tcW w:type="dxa" w:w="3600"/>
            <w:tcBorders>
              <w:top w:val="single" w:color="CBD5E1" w:sz="4"/>
              <w:left w:val="single" w:color="CBD5E1" w:sz="4"/>
              <w:bottom w:val="single" w:color="CBD5E1" w:sz="4"/>
              <w:right w:val="single" w:color="CBD5E1" w:sz="4"/>
            </w:tcBorders>
            <w:shd w:fill="F5F7FF" w:color="auto" w:val="clear"/>
            <w:tcMar>
              <w:top w:type="dxa" w:w="60"/>
              <w:left w:type="dxa" w:w="100"/>
              <w:bottom w:type="dxa" w:w="60"/>
              <w:right w:type="dxa" w:w="100"/>
            </w:tcMar>
          </w:tcPr>
          <w:p>
            <w:pPr>
              <w:spacing w:after="0" w:line="252"/>
            </w:pPr>
            <w:r>
              <w:rPr>
                <w:b w:val="false"/>
                <w:bCs w:val="false"/>
                <w:sz w:val="18"/>
                <w:szCs w:val="18"/>
              </w:rPr>
              <w:t xml:space="preserve">La productividad se dispara si el sistema responde en &lt; 400 ms.</w:t>
            </w:r>
          </w:p>
        </w:tc>
        <w:tc>
          <w:tcPr>
            <w:tcW w:type="dxa" w:w="3526"/>
            <w:tcBorders>
              <w:top w:val="single" w:color="CBD5E1" w:sz="4"/>
              <w:left w:val="single" w:color="CBD5E1" w:sz="4"/>
              <w:bottom w:val="single" w:color="CBD5E1" w:sz="4"/>
              <w:right w:val="single" w:color="CBD5E1" w:sz="4"/>
            </w:tcBorders>
            <w:shd w:fill="F5F7FF" w:color="auto" w:val="clear"/>
            <w:tcMar>
              <w:top w:type="dxa" w:w="60"/>
              <w:left w:type="dxa" w:w="100"/>
              <w:bottom w:type="dxa" w:w="60"/>
              <w:right w:type="dxa" w:w="100"/>
            </w:tcMar>
          </w:tcPr>
          <w:p>
            <w:pPr>
              <w:spacing w:after="0" w:line="252"/>
            </w:pPr>
            <w:r>
              <w:rPr>
                <w:b w:val="false"/>
                <w:bCs w:val="false"/>
                <w:sz w:val="18"/>
                <w:szCs w:val="18"/>
              </w:rPr>
              <w:t xml:space="preserve">Feedback inmediato, estados de carga.</w:t>
            </w:r>
          </w:p>
        </w:tc>
      </w:tr>
      <w:tr>
        <w:trPr>
          <w:cantSplit/>
        </w:trPr>
        <w:tc>
          <w:tcPr>
            <w:tcW w:type="dxa" w:w="190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line="252"/>
            </w:pPr>
            <w:r>
              <w:rPr>
                <w:b w:val="false"/>
                <w:bCs w:val="false"/>
                <w:sz w:val="18"/>
                <w:szCs w:val="18"/>
              </w:rPr>
              <w:t xml:space="preserve">Ley de Miller</w:t>
            </w:r>
          </w:p>
        </w:tc>
        <w:tc>
          <w:tcPr>
            <w:tcW w:type="dxa" w:w="360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line="252"/>
            </w:pPr>
            <w:r>
              <w:rPr>
                <w:b w:val="false"/>
                <w:bCs w:val="false"/>
                <w:sz w:val="18"/>
                <w:szCs w:val="18"/>
              </w:rPr>
              <w:t xml:space="preserve">La memoria de trabajo es limitada (≈ 7 ± 2 elementos).</w:t>
            </w:r>
          </w:p>
        </w:tc>
        <w:tc>
          <w:tcPr>
            <w:tcW w:type="dxa" w:w="352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line="252"/>
            </w:pPr>
            <w:r>
              <w:rPr>
                <w:b w:val="false"/>
                <w:bCs w:val="false"/>
                <w:sz w:val="18"/>
                <w:szCs w:val="18"/>
              </w:rPr>
              <w:t xml:space="preserve">Agrupar contenido en bloques.</w:t>
            </w:r>
          </w:p>
        </w:tc>
      </w:tr>
      <w:tr>
        <w:trPr>
          <w:cantSplit/>
        </w:trPr>
        <w:tc>
          <w:tcPr>
            <w:tcW w:type="dxa" w:w="1900"/>
            <w:tcBorders>
              <w:top w:val="single" w:color="CBD5E1" w:sz="4"/>
              <w:left w:val="single" w:color="CBD5E1" w:sz="4"/>
              <w:bottom w:val="single" w:color="CBD5E1" w:sz="4"/>
              <w:right w:val="single" w:color="CBD5E1" w:sz="4"/>
            </w:tcBorders>
            <w:shd w:fill="F5F7FF" w:color="auto" w:val="clear"/>
            <w:tcMar>
              <w:top w:type="dxa" w:w="60"/>
              <w:left w:type="dxa" w:w="100"/>
              <w:bottom w:type="dxa" w:w="60"/>
              <w:right w:type="dxa" w:w="100"/>
            </w:tcMar>
          </w:tcPr>
          <w:p>
            <w:pPr>
              <w:spacing w:after="0" w:line="252"/>
            </w:pPr>
            <w:r>
              <w:rPr>
                <w:b w:val="false"/>
                <w:bCs w:val="false"/>
                <w:sz w:val="18"/>
                <w:szCs w:val="18"/>
              </w:rPr>
              <w:t xml:space="preserve">Ley de Tesler</w:t>
            </w:r>
          </w:p>
        </w:tc>
        <w:tc>
          <w:tcPr>
            <w:tcW w:type="dxa" w:w="3600"/>
            <w:tcBorders>
              <w:top w:val="single" w:color="CBD5E1" w:sz="4"/>
              <w:left w:val="single" w:color="CBD5E1" w:sz="4"/>
              <w:bottom w:val="single" w:color="CBD5E1" w:sz="4"/>
              <w:right w:val="single" w:color="CBD5E1" w:sz="4"/>
            </w:tcBorders>
            <w:shd w:fill="F5F7FF" w:color="auto" w:val="clear"/>
            <w:tcMar>
              <w:top w:type="dxa" w:w="60"/>
              <w:left w:type="dxa" w:w="100"/>
              <w:bottom w:type="dxa" w:w="60"/>
              <w:right w:type="dxa" w:w="100"/>
            </w:tcMar>
          </w:tcPr>
          <w:p>
            <w:pPr>
              <w:spacing w:after="0" w:line="252"/>
            </w:pPr>
            <w:r>
              <w:rPr>
                <w:b w:val="false"/>
                <w:bCs w:val="false"/>
                <w:sz w:val="18"/>
                <w:szCs w:val="18"/>
              </w:rPr>
              <w:t xml:space="preserve">Toda aplicación tiene una complejidad que no se puede eliminar, solo trasladar.</w:t>
            </w:r>
          </w:p>
        </w:tc>
        <w:tc>
          <w:tcPr>
            <w:tcW w:type="dxa" w:w="3526"/>
            <w:tcBorders>
              <w:top w:val="single" w:color="CBD5E1" w:sz="4"/>
              <w:left w:val="single" w:color="CBD5E1" w:sz="4"/>
              <w:bottom w:val="single" w:color="CBD5E1" w:sz="4"/>
              <w:right w:val="single" w:color="CBD5E1" w:sz="4"/>
            </w:tcBorders>
            <w:shd w:fill="F5F7FF" w:color="auto" w:val="clear"/>
            <w:tcMar>
              <w:top w:type="dxa" w:w="60"/>
              <w:left w:type="dxa" w:w="100"/>
              <w:bottom w:type="dxa" w:w="60"/>
              <w:right w:type="dxa" w:w="100"/>
            </w:tcMar>
          </w:tcPr>
          <w:p>
            <w:pPr>
              <w:spacing w:after="0" w:line="252"/>
            </w:pPr>
            <w:r>
              <w:rPr>
                <w:b w:val="false"/>
                <w:bCs w:val="false"/>
                <w:sz w:val="18"/>
                <w:szCs w:val="18"/>
              </w:rPr>
              <w:t xml:space="preserve">Que la complejidad la asuma el sistema, no el usuario.</w:t>
            </w:r>
          </w:p>
        </w:tc>
      </w:tr>
    </w:tbl>
    <w:p>
      <w:pPr>
        <w:spacing w:after="200" w:before="60"/>
        <w:jc w:val="center"/>
      </w:pPr>
      <w:r>
        <w:rPr>
          <w:i/>
          <w:iCs/>
          <w:color w:val="475569"/>
          <w:sz w:val="18"/>
          <w:szCs w:val="18"/>
        </w:rPr>
        <w:t xml:space="preserve">Tabla 3. Leyes de la UX más utilizadas.</w:t>
      </w:r>
    </w:p>
    <w:p>
      <w:pPr>
        <w:pStyle w:val="Heading3"/>
      </w:pPr>
      <w:r>
        <w:t xml:space="preserve">Guías de plataforma y sistemas de diseño</w:t>
      </w:r>
    </w:p>
    <w:p>
      <w:pPr>
        <w:pStyle w:val="ListParagraph"/>
        <w:numPr>
          <w:ilvl w:val="0"/>
          <w:numId w:val="2"/>
        </w:numPr>
        <w:spacing w:after="60" w:line="264"/>
      </w:pPr>
      <w:r>
        <w:rPr>
          <w:b/>
          <w:bCs/>
        </w:rPr>
        <w:t xml:space="preserve">Material Design 3</w:t>
      </w:r>
      <w:r>
        <w:t xml:space="preserve"> (Google, Android/Web): componentes, tokens de color dinámicos, objetivos táctiles de 48 dp, sistema de movimiento.</w:t>
      </w:r>
    </w:p>
    <w:p>
      <w:pPr>
        <w:pStyle w:val="ListParagraph"/>
        <w:numPr>
          <w:ilvl w:val="0"/>
          <w:numId w:val="2"/>
        </w:numPr>
        <w:spacing w:after="60" w:line="264"/>
      </w:pPr>
      <w:r>
        <w:rPr>
          <w:b/>
          <w:bCs/>
        </w:rPr>
        <w:t xml:space="preserve">Human Interface Guidelines</w:t>
      </w:r>
      <w:r>
        <w:t xml:space="preserve"> (Apple, iOS/macOS/visionOS): claridad, deferencia y profundidad; objetivos de 44 pt, Dynamic Type, VoiceOver.</w:t>
      </w:r>
    </w:p>
    <w:p>
      <w:pPr>
        <w:pStyle w:val="ListParagraph"/>
        <w:numPr>
          <w:ilvl w:val="0"/>
          <w:numId w:val="2"/>
        </w:numPr>
        <w:spacing w:after="60" w:line="264"/>
      </w:pPr>
      <w:r>
        <w:rPr>
          <w:b/>
          <w:bCs/>
        </w:rPr>
        <w:t xml:space="preserve">Fluent 2</w:t>
      </w:r>
      <w:r>
        <w:t xml:space="preserve"> (Microsoft) y sistemas públicos como </w:t>
      </w:r>
      <w:r>
        <w:rPr>
          <w:b/>
          <w:bCs/>
        </w:rPr>
        <w:t xml:space="preserve">GOV.UK Design System</w:t>
      </w:r>
      <w:r>
        <w:t xml:space="preserve">, referencia mundial en formularios accesibles y lenguaje claro.</w:t>
      </w:r>
    </w:p>
    <w:p>
      <w:pPr>
        <w:pStyle w:val="Heading3"/>
      </w:pPr>
      <w:r>
        <w:t xml:space="preserve">Instrumentos de medición de la UX</w:t>
      </w:r>
    </w:p>
    <w:p>
      <w:pPr>
        <w:pStyle w:val="ListParagraph"/>
        <w:numPr>
          <w:ilvl w:val="0"/>
          <w:numId w:val="2"/>
        </w:numPr>
        <w:spacing w:after="60" w:line="264"/>
      </w:pPr>
      <w:r>
        <w:rPr>
          <w:b/>
          <w:bCs/>
        </w:rPr>
        <w:t xml:space="preserve">SUS (System Usability Scale)</w:t>
      </w:r>
      <w:r>
        <w:t xml:space="preserve">, John Brooke: cuestionario de 10 preguntas que produce una puntuación de 0 a 100; la media de referencia es ≈ 68.</w:t>
      </w:r>
    </w:p>
    <w:p>
      <w:pPr>
        <w:pStyle w:val="ListParagraph"/>
        <w:numPr>
          <w:ilvl w:val="0"/>
          <w:numId w:val="2"/>
        </w:numPr>
        <w:spacing w:after="60" w:line="264"/>
      </w:pPr>
      <w:r>
        <w:rPr>
          <w:b/>
          <w:bCs/>
        </w:rPr>
        <w:t xml:space="preserve">UEQ (User Experience Questionnaire)</w:t>
      </w:r>
      <w:r>
        <w:t xml:space="preserve">: mide atractivo, claridad, eficiencia, fiabilidad, estimulación y novedad.</w:t>
      </w:r>
    </w:p>
    <w:p>
      <w:pPr>
        <w:pStyle w:val="ListParagraph"/>
        <w:numPr>
          <w:ilvl w:val="0"/>
          <w:numId w:val="2"/>
        </w:numPr>
        <w:spacing w:after="60" w:line="264"/>
      </w:pPr>
      <w:r>
        <w:rPr>
          <w:b/>
          <w:bCs/>
        </w:rPr>
        <w:t xml:space="preserve">Marco HEART de Google</w:t>
      </w:r>
      <w:r>
        <w:t xml:space="preserve">: Happiness, Engagement, Adoption, Retention y Task success, con el proceso Objetivos → Señales → Métricas.</w:t>
      </w:r>
    </w:p>
    <w:p>
      <w:pPr>
        <w:pStyle w:val="ListParagraph"/>
        <w:numPr>
          <w:ilvl w:val="0"/>
          <w:numId w:val="2"/>
        </w:numPr>
        <w:spacing w:after="60" w:line="264"/>
      </w:pPr>
      <w:r>
        <w:rPr>
          <w:b/>
          <w:bCs/>
        </w:rPr>
        <w:t xml:space="preserve">Core Web Vitals</w:t>
      </w:r>
      <w:r>
        <w:t xml:space="preserve"> (Google): LCP (carga, bueno ≤ 2,5 s), </w:t>
      </w:r>
      <w:r>
        <w:rPr>
          <w:b/>
          <w:bCs/>
        </w:rPr>
        <w:t xml:space="preserve">INP</w:t>
      </w:r>
      <w:r>
        <w:t xml:space="preserve"> (respuesta a la interacción, bueno ≤ 200 ms; sustituyó a FID en marzo de 2024) y CLS (estabilidad visual, bueno ≤ 0,1).</w:t>
      </w:r>
    </w:p>
    <w:p>
      <w:pPr>
        <w:pStyle w:val="Heading3"/>
      </w:pPr>
      <w:r>
        <w:t xml:space="preserve">Metodologías de proceso</w:t>
      </w:r>
    </w:p>
    <w:p>
      <w:pPr>
        <w:spacing w:after="120" w:line="276"/>
      </w:pPr>
      <w:r>
        <w:t xml:space="preserve">Diseño centrado en el usuario (ISO 9241-210), </w:t>
      </w:r>
      <w:r>
        <w:rPr>
          <w:b/>
          <w:bCs/>
        </w:rPr>
        <w:t xml:space="preserve">Design Thinking</w:t>
      </w:r>
      <w:r>
        <w:t xml:space="preserve">, </w:t>
      </w:r>
      <w:r>
        <w:rPr>
          <w:b/>
          <w:bCs/>
        </w:rPr>
        <w:t xml:space="preserve">Doble Diamante</w:t>
      </w:r>
      <w:r>
        <w:t xml:space="preserve"> del Design Council (descubrir, definir, desarrollar, entregar) y </w:t>
      </w:r>
      <w:r>
        <w:rPr>
          <w:b/>
          <w:bCs/>
        </w:rPr>
        <w:t xml:space="preserve">Lean UX</w:t>
      </w:r>
      <w:r>
        <w:t xml:space="preserve"> (hipótesis → prototipo → medición).</w:t>
      </w:r>
    </w:p>
    <w:p>
      <w:pPr>
        <w:pBdr>
          <w:left w:val="single" w:color="4F46E5" w:sz="18" w:space="8"/>
        </w:pBdr>
        <w:shd w:fill="EEF2FF" w:color="auto" w:val="clear"/>
        <w:spacing w:after="160" w:before="80" w:line="264"/>
        <w:ind w:left="160"/>
      </w:pPr>
      <w:r>
        <w:rPr>
          <w:b/>
          <w:bCs/>
        </w:rPr>
        <w:t xml:space="preserve">Conclusión del apartado 01:</w:t>
      </w:r>
      <w:r>
        <w:t xml:space="preserve"> las normas nos dicen </w:t>
      </w:r>
      <w:r>
        <w:rPr>
          <w:b/>
          <w:bCs/>
        </w:rPr>
        <w:t xml:space="preserve">qué</w:t>
      </w:r>
      <w:r>
        <w:t xml:space="preserve"> es una buena UX (ISO 9241, ISO/IEC 25010) y </w:t>
      </w:r>
      <w:r>
        <w:rPr>
          <w:b/>
          <w:bCs/>
        </w:rPr>
        <w:t xml:space="preserve">qué es obligatorio</w:t>
      </w:r>
      <w:r>
        <w:t xml:space="preserve"> (WCAG 2.2 AA, EAA); los referentes nos dicen </w:t>
      </w:r>
      <w:r>
        <w:rPr>
          <w:b/>
          <w:bCs/>
        </w:rPr>
        <w:t xml:space="preserve">cómo</w:t>
      </w:r>
      <w:r>
        <w:t xml:space="preserve"> conseguirla (heurísticas de Nielsen, principios de Krug, guías de plataforma) y </w:t>
      </w:r>
      <w:r>
        <w:rPr>
          <w:b/>
          <w:bCs/>
        </w:rPr>
        <w:t xml:space="preserve">cómo medirla</w:t>
      </w:r>
      <w:r>
        <w:t xml:space="preserve"> (SUS, Core Web Vitals). Nuestra métrica combina las tres cosas.</w:t>
      </w:r>
    </w:p>
    <w:p>
      <w:pPr>
        <w:pStyle w:val="Heading1"/>
        <w:pageBreakBefore/>
      </w:pPr>
      <w:r>
        <w:t xml:space="preserve">02- SOTA (Estado del arte)</w:t>
      </w:r>
    </w:p>
    <w:p>
      <w:pPr>
        <w:spacing w:after="120" w:line="276"/>
      </w:pPr>
      <w:r>
        <w:t xml:space="preserve">Este apartado resume cómo se trabaja la UX en 2026: qué herramientas existen, qué tendencias dominan y qué huecos quedan sin cubrir, que son los que justifican nuestro auditor.</w:t>
      </w:r>
    </w:p>
    <w:p>
      <w:pPr>
        <w:pStyle w:val="Heading2"/>
      </w:pPr>
      <w:r>
        <w:t xml:space="preserve">2.1 Tendencias actuales</w:t>
      </w:r>
    </w:p>
    <w:p>
      <w:pPr>
        <w:pStyle w:val="Heading3"/>
      </w:pPr>
      <w:r>
        <w:t xml:space="preserve">1. La IA dentro del proceso de diseño</w:t>
      </w:r>
    </w:p>
    <w:p>
      <w:pPr>
        <w:spacing w:after="120" w:line="276"/>
      </w:pPr>
      <w:r>
        <w:t xml:space="preserve">Los asistentes de IA ya participan en todas las fases: síntesis de entrevistas, generación de prototipos y de código de interfaz a partir de una descripción, y revisión de diseños. La investigación sobre </w:t>
      </w:r>
      <w:r>
        <w:rPr>
          <w:b/>
          <w:bCs/>
        </w:rPr>
        <w:t xml:space="preserve">evaluación heurística asistida por modelos de lenguaje</w:t>
      </w:r>
      <w:r>
        <w:t xml:space="preserve"> muestra que estos detectan una parte de los problemas reales, pero también generan falsos positivos, por lo que la revisión humana sigue siendo necesaria. Un fenómeno nuevo son las </w:t>
      </w:r>
      <w:r>
        <w:rPr>
          <w:b/>
          <w:bCs/>
        </w:rPr>
        <w:t xml:space="preserve">skills o bases de conocimiento de diseño para agentes de programación</w:t>
      </w:r>
      <w:r>
        <w:t xml:space="preserve">, como </w:t>
      </w:r>
      <w:r>
        <w:rPr>
          <w:b/>
          <w:bCs/>
        </w:rPr>
        <w:t xml:space="preserve">UI UX Pro Max</w:t>
      </w:r>
      <w:r>
        <w:t xml:space="preserve"> (ver apartado 05), que codifican estilos, paletas, tipografías y cientos de reglas UX para que la IA genere interfaces correctas desde el principio.</w:t>
      </w:r>
    </w:p>
    <w:p>
      <w:pPr>
        <w:pStyle w:val="Heading3"/>
      </w:pPr>
      <w:r>
        <w:t xml:space="preserve">2. Diseñar la experiencia de productos con IA</w:t>
      </w:r>
    </w:p>
    <w:p>
      <w:pPr>
        <w:spacing w:after="120" w:line="276"/>
      </w:pPr>
      <w:r>
        <w:t xml:space="preserve">Las interfaces conversacionales y los agentes plantean retos propios: transparencia sobre lo que hace el sistema, control del usuario, gestión de errores e incertidumbre. Los referentes son las </w:t>
      </w:r>
      <w:r>
        <w:rPr>
          <w:b/>
          <w:bCs/>
        </w:rPr>
        <w:t xml:space="preserve">18 Guidelines for Human-AI Interaction</w:t>
      </w:r>
      <w:r>
        <w:t xml:space="preserve"> de Microsoft (Amershi et al., 2019) y la </w:t>
      </w:r>
      <w:r>
        <w:rPr>
          <w:b/>
          <w:bCs/>
        </w:rPr>
        <w:t xml:space="preserve">People + AI Guidebook</w:t>
      </w:r>
      <w:r>
        <w:t xml:space="preserve"> de Google PAIR.</w:t>
      </w:r>
    </w:p>
    <w:p>
      <w:pPr>
        <w:pStyle w:val="Heading3"/>
      </w:pPr>
      <w:r>
        <w:t xml:space="preserve">3. La accesibilidad pasa de recomendación a obligación</w:t>
      </w:r>
    </w:p>
    <w:p>
      <w:pPr>
        <w:spacing w:after="120" w:line="276"/>
      </w:pPr>
      <w:r>
        <w:t xml:space="preserve">Con el </w:t>
      </w:r>
      <w:r>
        <w:rPr>
          <w:b/>
          <w:bCs/>
        </w:rPr>
        <w:t xml:space="preserve">Acta Europea de Accesibilidad</w:t>
      </w:r>
      <w:r>
        <w:t xml:space="preserve"> aplicable desde junio de 2025, la accesibilidad es un requisito legal para muchos servicios privados. En octubre de 2025, </w:t>
      </w:r>
      <w:r>
        <w:rPr>
          <w:b/>
          <w:bCs/>
        </w:rPr>
        <w:t xml:space="preserve">WCAG 2.2 fue aprobada como norma ISO/IEC 40500:2025</w:t>
      </w:r>
      <w:r>
        <w:t xml:space="preserve">. En paralelo, el W3C desarrolla </w:t>
      </w:r>
      <w:r>
        <w:rPr>
          <w:b/>
          <w:bCs/>
        </w:rPr>
        <w:t xml:space="preserve">WCAG 3.0</w:t>
      </w:r>
      <w:r>
        <w:t xml:space="preserve"> (todavía borrador de trabajo; la versión más reciente es de marzo de 2026), que propone pasar de criterios de «cumple / no cumple» a una </w:t>
      </w:r>
      <w:r>
        <w:rPr>
          <w:b/>
          <w:bCs/>
        </w:rPr>
        <w:t xml:space="preserve">evaluación por resultados con niveles graduados (bronce, plata, oro)</w:t>
      </w:r>
      <w:r>
        <w:t xml:space="preserve">: una idea muy cercana a nuestra métrica de 0 a 10.</w:t>
      </w:r>
    </w:p>
    <w:p>
      <w:pPr>
        <w:pStyle w:val="Heading3"/>
      </w:pPr>
      <w:r>
        <w:t xml:space="preserve">4. Automatización de auditorías</w:t>
      </w:r>
    </w:p>
    <w:p>
      <w:pPr>
        <w:spacing w:after="120" w:line="276"/>
      </w:pPr>
      <w:r>
        <w:t xml:space="preserve">Herramientas como </w:t>
      </w:r>
      <w:r>
        <w:rPr>
          <w:b/>
          <w:bCs/>
        </w:rPr>
        <w:t xml:space="preserve">axe-core</w:t>
      </w:r>
      <w:r>
        <w:t xml:space="preserve">, </w:t>
      </w:r>
      <w:r>
        <w:rPr>
          <w:b/>
          <w:bCs/>
        </w:rPr>
        <w:t xml:space="preserve">Lighthouse</w:t>
      </w:r>
      <w:r>
        <w:t xml:space="preserve">, </w:t>
      </w:r>
      <w:r>
        <w:rPr>
          <w:b/>
          <w:bCs/>
        </w:rPr>
        <w:t xml:space="preserve">Pa11y</w:t>
      </w:r>
      <w:r>
        <w:t xml:space="preserve">, </w:t>
      </w:r>
      <w:r>
        <w:rPr>
          <w:b/>
          <w:bCs/>
        </w:rPr>
        <w:t xml:space="preserve">WAVE</w:t>
      </w:r>
      <w:r>
        <w:t xml:space="preserve"> o </w:t>
      </w:r>
      <w:r>
        <w:rPr>
          <w:b/>
          <w:bCs/>
        </w:rPr>
        <w:t xml:space="preserve">Accessibility Insights</w:t>
      </w:r>
      <w:r>
        <w:t xml:space="preserve"> detectan automáticamente errores de contraste, etiquetas ausentes o problemas de estructura, y se integran en pipelines de CI. Su límite es conocido: </w:t>
      </w:r>
      <w:r>
        <w:rPr>
          <w:b/>
          <w:bCs/>
        </w:rPr>
        <w:t xml:space="preserve">solo detectan una parte de los problemas</w:t>
      </w:r>
      <w:r>
        <w:t xml:space="preserve">; cuestiones como si un texto alternativo es útil o si un flujo es comprensible exigen revisión experta.</w:t>
      </w:r>
    </w:p>
    <w:p>
      <w:pPr>
        <w:pStyle w:val="Heading3"/>
      </w:pPr>
      <w:r>
        <w:t xml:space="preserve">5. Sistemas de diseño y design tokens</w:t>
      </w:r>
    </w:p>
    <w:p>
      <w:pPr>
        <w:spacing w:after="120" w:line="276"/>
      </w:pPr>
      <w:r>
        <w:t xml:space="preserve">Los equipos trabajan con sistemas de diseño basados en </w:t>
      </w:r>
      <w:r>
        <w:rPr>
          <w:b/>
          <w:bCs/>
        </w:rPr>
        <w:t xml:space="preserve">tokens</w:t>
      </w:r>
      <w:r>
        <w:t xml:space="preserve"> (colores, tipografía, espaciados como variables con nombre semántico). En octubre de 2025 la especificación del </w:t>
      </w:r>
      <w:r>
        <w:rPr>
          <w:b/>
          <w:bCs/>
        </w:rPr>
        <w:t xml:space="preserve">W3C Design Tokens Community Group alcanzó su primera versión estable (2025.10)</w:t>
      </w:r>
      <w:r>
        <w:t xml:space="preserve">, lo que permite intercambiar tokens entre Figma, código y plataformas.</w:t>
      </w:r>
    </w:p>
    <w:p>
      <w:pPr>
        <w:pStyle w:val="Heading3"/>
      </w:pPr>
      <w:r>
        <w:t xml:space="preserve">6. Rendimiento percibido como parte de la UX</w:t>
      </w:r>
    </w:p>
    <w:p>
      <w:pPr>
        <w:spacing w:after="120" w:line="276"/>
      </w:pPr>
      <w:r>
        <w:t xml:space="preserve">La velocidad se considera parte de la experiencia. La métrica </w:t>
      </w:r>
      <w:r>
        <w:rPr>
          <w:b/>
          <w:bCs/>
        </w:rPr>
        <w:t xml:space="preserve">INP</w:t>
      </w:r>
      <w:r>
        <w:t xml:space="preserve"> sustituyó a FID para medir la respuesta real a cada interacción, y las plataformas penalizan los saltos de diseño (CLS).</w:t>
      </w:r>
    </w:p>
    <w:p>
      <w:pPr>
        <w:pStyle w:val="Heading3"/>
      </w:pPr>
      <w:r>
        <w:t xml:space="preserve">7. Movimiento expresivo, interfaces espaciales y diseño ético</w:t>
      </w:r>
    </w:p>
    <w:p>
      <w:pPr>
        <w:pStyle w:val="ListParagraph"/>
        <w:numPr>
          <w:ilvl w:val="0"/>
          <w:numId w:val="2"/>
        </w:numPr>
        <w:spacing w:after="60" w:line="264"/>
      </w:pPr>
      <w:r>
        <w:rPr>
          <w:b/>
          <w:bCs/>
        </w:rPr>
        <w:t xml:space="preserve">Diseño expresivo</w:t>
      </w:r>
      <w:r>
        <w:t xml:space="preserve">: Material 3 Expressive y el lenguaje visual Liquid Glass de Apple (2025) devuelven protagonismo a la forma, el color y la animación, lo que obliga a respetar «reducir movimiento» (prefers-reduced-motion).</w:t>
      </w:r>
    </w:p>
    <w:p>
      <w:pPr>
        <w:pStyle w:val="ListParagraph"/>
        <w:numPr>
          <w:ilvl w:val="0"/>
          <w:numId w:val="2"/>
        </w:numPr>
        <w:spacing w:after="60" w:line="264"/>
      </w:pPr>
      <w:r>
        <w:rPr>
          <w:b/>
          <w:bCs/>
        </w:rPr>
        <w:t xml:space="preserve">Interfaces espaciales</w:t>
      </w:r>
      <w:r>
        <w:t xml:space="preserve"> (visionOS, XR): nuevas reglas de distancia, profundidad y mirada.</w:t>
      </w:r>
    </w:p>
    <w:p>
      <w:pPr>
        <w:pStyle w:val="ListParagraph"/>
        <w:numPr>
          <w:ilvl w:val="0"/>
          <w:numId w:val="2"/>
        </w:numPr>
        <w:spacing w:after="60" w:line="264"/>
      </w:pPr>
      <w:r>
        <w:rPr>
          <w:b/>
          <w:bCs/>
        </w:rPr>
        <w:t xml:space="preserve">Sostenibilidad digital</w:t>
      </w:r>
      <w:r>
        <w:t xml:space="preserve">: las Web Sustainability Guidelines del W3C proponen interfaces más ligeras y eficientes.</w:t>
      </w:r>
    </w:p>
    <w:p>
      <w:pPr>
        <w:pStyle w:val="ListParagraph"/>
        <w:numPr>
          <w:ilvl w:val="0"/>
          <w:numId w:val="2"/>
        </w:numPr>
        <w:spacing w:after="60" w:line="264"/>
      </w:pPr>
      <w:r>
        <w:rPr>
          <w:b/>
          <w:bCs/>
        </w:rPr>
        <w:t xml:space="preserve">Patrones oscuros (dark patterns)</w:t>
      </w:r>
      <w:r>
        <w:t xml:space="preserve">: el Reglamento de Servicios Digitales de la UE (DSA, art. 25) prohíbe a las plataformas en línea diseños que engañen o manipulen al usuario.</w:t>
      </w:r>
    </w:p>
    <w:p>
      <w:pPr>
        <w:pStyle w:val="Heading2"/>
      </w:pPr>
      <w:r>
        <w:t xml:space="preserve">2.2 Comparativa de herramientas existentes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1300"/>
        <w:gridCol w:w="2100"/>
        <w:gridCol w:w="1500"/>
        <w:gridCol w:w="2426"/>
      </w:tblGrid>
      <w:tr>
        <w:trPr>
          <w:tblHeader/>
        </w:trPr>
        <w:tc>
          <w:tcPr>
            <w:tcW w:type="dxa" w:w="1700"/>
            <w:tcBorders>
              <w:top w:val="single" w:color="CBD5E1" w:sz="4"/>
              <w:left w:val="single" w:color="CBD5E1" w:sz="4"/>
              <w:bottom w:val="single" w:color="CBD5E1" w:sz="4"/>
              <w:right w:val="single" w:color="CBD5E1" w:sz="4"/>
            </w:tcBorders>
            <w:shd w:fill="E0E7FF" w:color="auto" w:val="clear"/>
            <w:tcMar>
              <w:top w:type="dxa" w:w="60"/>
              <w:left w:type="dxa" w:w="100"/>
              <w:bottom w:type="dxa" w:w="60"/>
              <w:right w:type="dxa" w:w="100"/>
            </w:tcMar>
          </w:tcPr>
          <w:p>
            <w:pPr>
              <w:spacing w:after="0" w:line="252"/>
            </w:pPr>
            <w:r>
              <w:rPr>
                <w:b/>
                <w:bCs/>
                <w:color w:val="1E1B4B"/>
                <w:sz w:val="18"/>
                <w:szCs w:val="18"/>
              </w:rPr>
              <w:t xml:space="preserve">Herramienta</w:t>
            </w:r>
          </w:p>
        </w:tc>
        <w:tc>
          <w:tcPr>
            <w:tcW w:type="dxa" w:w="1300"/>
            <w:tcBorders>
              <w:top w:val="single" w:color="CBD5E1" w:sz="4"/>
              <w:left w:val="single" w:color="CBD5E1" w:sz="4"/>
              <w:bottom w:val="single" w:color="CBD5E1" w:sz="4"/>
              <w:right w:val="single" w:color="CBD5E1" w:sz="4"/>
            </w:tcBorders>
            <w:shd w:fill="E0E7FF" w:color="auto" w:val="clear"/>
            <w:tcMar>
              <w:top w:type="dxa" w:w="60"/>
              <w:left w:type="dxa" w:w="100"/>
              <w:bottom w:type="dxa" w:w="60"/>
              <w:right w:type="dxa" w:w="100"/>
            </w:tcMar>
          </w:tcPr>
          <w:p>
            <w:pPr>
              <w:spacing w:after="0" w:line="252"/>
            </w:pPr>
            <w:r>
              <w:rPr>
                <w:b/>
                <w:bCs/>
                <w:color w:val="1E1B4B"/>
                <w:sz w:val="18"/>
                <w:szCs w:val="18"/>
              </w:rPr>
              <w:t xml:space="preserve">Tipo</w:t>
            </w:r>
          </w:p>
        </w:tc>
        <w:tc>
          <w:tcPr>
            <w:tcW w:type="dxa" w:w="2100"/>
            <w:tcBorders>
              <w:top w:val="single" w:color="CBD5E1" w:sz="4"/>
              <w:left w:val="single" w:color="CBD5E1" w:sz="4"/>
              <w:bottom w:val="single" w:color="CBD5E1" w:sz="4"/>
              <w:right w:val="single" w:color="CBD5E1" w:sz="4"/>
            </w:tcBorders>
            <w:shd w:fill="E0E7FF" w:color="auto" w:val="clear"/>
            <w:tcMar>
              <w:top w:type="dxa" w:w="60"/>
              <w:left w:type="dxa" w:w="100"/>
              <w:bottom w:type="dxa" w:w="60"/>
              <w:right w:type="dxa" w:w="100"/>
            </w:tcMar>
          </w:tcPr>
          <w:p>
            <w:pPr>
              <w:spacing w:after="0" w:line="252"/>
            </w:pPr>
            <w:r>
              <w:rPr>
                <w:b/>
                <w:bCs/>
                <w:color w:val="1E1B4B"/>
                <w:sz w:val="18"/>
                <w:szCs w:val="18"/>
              </w:rPr>
              <w:t xml:space="preserve">Qué mide</w:t>
            </w:r>
          </w:p>
        </w:tc>
        <w:tc>
          <w:tcPr>
            <w:tcW w:type="dxa" w:w="1500"/>
            <w:tcBorders>
              <w:top w:val="single" w:color="CBD5E1" w:sz="4"/>
              <w:left w:val="single" w:color="CBD5E1" w:sz="4"/>
              <w:bottom w:val="single" w:color="CBD5E1" w:sz="4"/>
              <w:right w:val="single" w:color="CBD5E1" w:sz="4"/>
            </w:tcBorders>
            <w:shd w:fill="E0E7FF" w:color="auto" w:val="clear"/>
            <w:tcMar>
              <w:top w:type="dxa" w:w="60"/>
              <w:left w:type="dxa" w:w="100"/>
              <w:bottom w:type="dxa" w:w="60"/>
              <w:right w:type="dxa" w:w="100"/>
            </w:tcMar>
          </w:tcPr>
          <w:p>
            <w:pPr>
              <w:spacing w:after="0" w:line="252"/>
            </w:pPr>
            <w:r>
              <w:rPr>
                <w:b/>
                <w:bCs/>
                <w:color w:val="1E1B4B"/>
                <w:sz w:val="18"/>
                <w:szCs w:val="18"/>
              </w:rPr>
              <w:t xml:space="preserve">Puntuación</w:t>
            </w:r>
          </w:p>
        </w:tc>
        <w:tc>
          <w:tcPr>
            <w:tcW w:type="dxa" w:w="2426"/>
            <w:tcBorders>
              <w:top w:val="single" w:color="CBD5E1" w:sz="4"/>
              <w:left w:val="single" w:color="CBD5E1" w:sz="4"/>
              <w:bottom w:val="single" w:color="CBD5E1" w:sz="4"/>
              <w:right w:val="single" w:color="CBD5E1" w:sz="4"/>
            </w:tcBorders>
            <w:shd w:fill="E0E7FF" w:color="auto" w:val="clear"/>
            <w:tcMar>
              <w:top w:type="dxa" w:w="60"/>
              <w:left w:type="dxa" w:w="100"/>
              <w:bottom w:type="dxa" w:w="60"/>
              <w:right w:type="dxa" w:w="100"/>
            </w:tcMar>
          </w:tcPr>
          <w:p>
            <w:pPr>
              <w:spacing w:after="0" w:line="252"/>
            </w:pPr>
            <w:r>
              <w:rPr>
                <w:b/>
                <w:bCs/>
                <w:color w:val="1E1B4B"/>
                <w:sz w:val="18"/>
                <w:szCs w:val="18"/>
              </w:rPr>
              <w:t xml:space="preserve">Limitación</w:t>
            </w:r>
          </w:p>
        </w:tc>
      </w:tr>
      <w:tr>
        <w:trPr>
          <w:cantSplit/>
        </w:trPr>
        <w:tc>
          <w:tcPr>
            <w:tcW w:type="dxa" w:w="170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line="252"/>
            </w:pPr>
            <w:r>
              <w:rPr>
                <w:b w:val="false"/>
                <w:bCs w:val="false"/>
                <w:sz w:val="18"/>
                <w:szCs w:val="18"/>
              </w:rPr>
              <w:t xml:space="preserve">Lighthouse</w:t>
            </w:r>
          </w:p>
        </w:tc>
        <w:tc>
          <w:tcPr>
            <w:tcW w:type="dxa" w:w="130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line="252"/>
            </w:pPr>
            <w:r>
              <w:rPr>
                <w:b w:val="false"/>
                <w:bCs w:val="false"/>
                <w:sz w:val="18"/>
                <w:szCs w:val="18"/>
              </w:rPr>
              <w:t xml:space="preserve">Automática</w:t>
            </w:r>
          </w:p>
        </w:tc>
        <w:tc>
          <w:tcPr>
            <w:tcW w:type="dxa" w:w="210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line="252"/>
            </w:pPr>
            <w:r>
              <w:rPr>
                <w:b w:val="false"/>
                <w:bCs w:val="false"/>
                <w:sz w:val="18"/>
                <w:szCs w:val="18"/>
              </w:rPr>
              <w:t xml:space="preserve">Rendimiento, accesibilidad, buenas prácticas, SEO</w:t>
            </w:r>
          </w:p>
        </w:tc>
        <w:tc>
          <w:tcPr>
            <w:tcW w:type="dxa" w:w="150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line="252"/>
            </w:pPr>
            <w:r>
              <w:rPr>
                <w:b w:val="false"/>
                <w:bCs w:val="false"/>
                <w:sz w:val="18"/>
                <w:szCs w:val="18"/>
              </w:rPr>
              <w:t xml:space="preserve">0–100 por categoría</w:t>
            </w:r>
          </w:p>
        </w:tc>
        <w:tc>
          <w:tcPr>
            <w:tcW w:type="dxa" w:w="242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line="252"/>
            </w:pPr>
            <w:r>
              <w:rPr>
                <w:b w:val="false"/>
                <w:bCs w:val="false"/>
                <w:sz w:val="18"/>
                <w:szCs w:val="18"/>
              </w:rPr>
              <w:t xml:space="preserve">No evalúa usabilidad ni diseño visual; no da un índice UX global.</w:t>
            </w:r>
          </w:p>
        </w:tc>
      </w:tr>
      <w:tr>
        <w:trPr>
          <w:cantSplit/>
        </w:trPr>
        <w:tc>
          <w:tcPr>
            <w:tcW w:type="dxa" w:w="1700"/>
            <w:tcBorders>
              <w:top w:val="single" w:color="CBD5E1" w:sz="4"/>
              <w:left w:val="single" w:color="CBD5E1" w:sz="4"/>
              <w:bottom w:val="single" w:color="CBD5E1" w:sz="4"/>
              <w:right w:val="single" w:color="CBD5E1" w:sz="4"/>
            </w:tcBorders>
            <w:shd w:fill="F5F7FF" w:color="auto" w:val="clear"/>
            <w:tcMar>
              <w:top w:type="dxa" w:w="60"/>
              <w:left w:type="dxa" w:w="100"/>
              <w:bottom w:type="dxa" w:w="60"/>
              <w:right w:type="dxa" w:w="100"/>
            </w:tcMar>
          </w:tcPr>
          <w:p>
            <w:pPr>
              <w:spacing w:after="0" w:line="252"/>
            </w:pPr>
            <w:r>
              <w:rPr>
                <w:b w:val="false"/>
                <w:bCs w:val="false"/>
                <w:sz w:val="18"/>
                <w:szCs w:val="18"/>
              </w:rPr>
              <w:t xml:space="preserve">axe-core / axe DevTools</w:t>
            </w:r>
          </w:p>
        </w:tc>
        <w:tc>
          <w:tcPr>
            <w:tcW w:type="dxa" w:w="1300"/>
            <w:tcBorders>
              <w:top w:val="single" w:color="CBD5E1" w:sz="4"/>
              <w:left w:val="single" w:color="CBD5E1" w:sz="4"/>
              <w:bottom w:val="single" w:color="CBD5E1" w:sz="4"/>
              <w:right w:val="single" w:color="CBD5E1" w:sz="4"/>
            </w:tcBorders>
            <w:shd w:fill="F5F7FF" w:color="auto" w:val="clear"/>
            <w:tcMar>
              <w:top w:type="dxa" w:w="60"/>
              <w:left w:type="dxa" w:w="100"/>
              <w:bottom w:type="dxa" w:w="60"/>
              <w:right w:type="dxa" w:w="100"/>
            </w:tcMar>
          </w:tcPr>
          <w:p>
            <w:pPr>
              <w:spacing w:after="0" w:line="252"/>
            </w:pPr>
            <w:r>
              <w:rPr>
                <w:b w:val="false"/>
                <w:bCs w:val="false"/>
                <w:sz w:val="18"/>
                <w:szCs w:val="18"/>
              </w:rPr>
              <w:t xml:space="preserve">Automática</w:t>
            </w:r>
          </w:p>
        </w:tc>
        <w:tc>
          <w:tcPr>
            <w:tcW w:type="dxa" w:w="2100"/>
            <w:tcBorders>
              <w:top w:val="single" w:color="CBD5E1" w:sz="4"/>
              <w:left w:val="single" w:color="CBD5E1" w:sz="4"/>
              <w:bottom w:val="single" w:color="CBD5E1" w:sz="4"/>
              <w:right w:val="single" w:color="CBD5E1" w:sz="4"/>
            </w:tcBorders>
            <w:shd w:fill="F5F7FF" w:color="auto" w:val="clear"/>
            <w:tcMar>
              <w:top w:type="dxa" w:w="60"/>
              <w:left w:type="dxa" w:w="100"/>
              <w:bottom w:type="dxa" w:w="60"/>
              <w:right w:type="dxa" w:w="100"/>
            </w:tcMar>
          </w:tcPr>
          <w:p>
            <w:pPr>
              <w:spacing w:after="0" w:line="252"/>
            </w:pPr>
            <w:r>
              <w:rPr>
                <w:b w:val="false"/>
                <w:bCs w:val="false"/>
                <w:sz w:val="18"/>
                <w:szCs w:val="18"/>
              </w:rPr>
              <w:t xml:space="preserve">Accesibilidad WCAG</w:t>
            </w:r>
          </w:p>
        </w:tc>
        <w:tc>
          <w:tcPr>
            <w:tcW w:type="dxa" w:w="1500"/>
            <w:tcBorders>
              <w:top w:val="single" w:color="CBD5E1" w:sz="4"/>
              <w:left w:val="single" w:color="CBD5E1" w:sz="4"/>
              <w:bottom w:val="single" w:color="CBD5E1" w:sz="4"/>
              <w:right w:val="single" w:color="CBD5E1" w:sz="4"/>
            </w:tcBorders>
            <w:shd w:fill="F5F7FF" w:color="auto" w:val="clear"/>
            <w:tcMar>
              <w:top w:type="dxa" w:w="60"/>
              <w:left w:type="dxa" w:w="100"/>
              <w:bottom w:type="dxa" w:w="60"/>
              <w:right w:type="dxa" w:w="100"/>
            </w:tcMar>
          </w:tcPr>
          <w:p>
            <w:pPr>
              <w:spacing w:after="0" w:line="252"/>
            </w:pPr>
            <w:r>
              <w:rPr>
                <w:b w:val="false"/>
                <w:bCs w:val="false"/>
                <w:sz w:val="18"/>
                <w:szCs w:val="18"/>
              </w:rPr>
              <w:t xml:space="preserve">Lista de incidencias por impacto</w:t>
            </w:r>
          </w:p>
        </w:tc>
        <w:tc>
          <w:tcPr>
            <w:tcW w:type="dxa" w:w="2426"/>
            <w:tcBorders>
              <w:top w:val="single" w:color="CBD5E1" w:sz="4"/>
              <w:left w:val="single" w:color="CBD5E1" w:sz="4"/>
              <w:bottom w:val="single" w:color="CBD5E1" w:sz="4"/>
              <w:right w:val="single" w:color="CBD5E1" w:sz="4"/>
            </w:tcBorders>
            <w:shd w:fill="F5F7FF" w:color="auto" w:val="clear"/>
            <w:tcMar>
              <w:top w:type="dxa" w:w="60"/>
              <w:left w:type="dxa" w:w="100"/>
              <w:bottom w:type="dxa" w:w="60"/>
              <w:right w:type="dxa" w:w="100"/>
            </w:tcMar>
          </w:tcPr>
          <w:p>
            <w:pPr>
              <w:spacing w:after="0" w:line="252"/>
            </w:pPr>
            <w:r>
              <w:rPr>
                <w:b w:val="false"/>
                <w:bCs w:val="false"/>
                <w:sz w:val="18"/>
                <w:szCs w:val="18"/>
              </w:rPr>
              <w:t xml:space="preserve">Solo accesibilidad; no puntúa.</w:t>
            </w:r>
          </w:p>
        </w:tc>
      </w:tr>
      <w:tr>
        <w:trPr>
          <w:cantSplit/>
        </w:trPr>
        <w:tc>
          <w:tcPr>
            <w:tcW w:type="dxa" w:w="170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line="252"/>
            </w:pPr>
            <w:r>
              <w:rPr>
                <w:b w:val="false"/>
                <w:bCs w:val="false"/>
                <w:sz w:val="18"/>
                <w:szCs w:val="18"/>
              </w:rPr>
              <w:t xml:space="preserve">WAVE / Pa11y</w:t>
            </w:r>
          </w:p>
        </w:tc>
        <w:tc>
          <w:tcPr>
            <w:tcW w:type="dxa" w:w="130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line="252"/>
            </w:pPr>
            <w:r>
              <w:rPr>
                <w:b w:val="false"/>
                <w:bCs w:val="false"/>
                <w:sz w:val="18"/>
                <w:szCs w:val="18"/>
              </w:rPr>
              <w:t xml:space="preserve">Automática</w:t>
            </w:r>
          </w:p>
        </w:tc>
        <w:tc>
          <w:tcPr>
            <w:tcW w:type="dxa" w:w="210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line="252"/>
            </w:pPr>
            <w:r>
              <w:rPr>
                <w:b w:val="false"/>
                <w:bCs w:val="false"/>
                <w:sz w:val="18"/>
                <w:szCs w:val="18"/>
              </w:rPr>
              <w:t xml:space="preserve">Accesibilidad</w:t>
            </w:r>
          </w:p>
        </w:tc>
        <w:tc>
          <w:tcPr>
            <w:tcW w:type="dxa" w:w="150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line="252"/>
            </w:pPr>
            <w:r>
              <w:rPr>
                <w:b w:val="false"/>
                <w:bCs w:val="false"/>
                <w:sz w:val="18"/>
                <w:szCs w:val="18"/>
              </w:rPr>
              <w:t xml:space="preserve">Errores y alertas</w:t>
            </w:r>
          </w:p>
        </w:tc>
        <w:tc>
          <w:tcPr>
            <w:tcW w:type="dxa" w:w="242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line="252"/>
            </w:pPr>
            <w:r>
              <w:rPr>
                <w:b w:val="false"/>
                <w:bCs w:val="false"/>
                <w:sz w:val="18"/>
                <w:szCs w:val="18"/>
              </w:rPr>
              <w:t xml:space="preserve">Igual que la anterior.</w:t>
            </w:r>
          </w:p>
        </w:tc>
      </w:tr>
      <w:tr>
        <w:trPr>
          <w:cantSplit/>
        </w:trPr>
        <w:tc>
          <w:tcPr>
            <w:tcW w:type="dxa" w:w="1700"/>
            <w:tcBorders>
              <w:top w:val="single" w:color="CBD5E1" w:sz="4"/>
              <w:left w:val="single" w:color="CBD5E1" w:sz="4"/>
              <w:bottom w:val="single" w:color="CBD5E1" w:sz="4"/>
              <w:right w:val="single" w:color="CBD5E1" w:sz="4"/>
            </w:tcBorders>
            <w:shd w:fill="F5F7FF" w:color="auto" w:val="clear"/>
            <w:tcMar>
              <w:top w:type="dxa" w:w="60"/>
              <w:left w:type="dxa" w:w="100"/>
              <w:bottom w:type="dxa" w:w="60"/>
              <w:right w:type="dxa" w:w="100"/>
            </w:tcMar>
          </w:tcPr>
          <w:p>
            <w:pPr>
              <w:spacing w:after="0" w:line="252"/>
            </w:pPr>
            <w:r>
              <w:rPr>
                <w:b w:val="false"/>
                <w:bCs w:val="false"/>
                <w:sz w:val="18"/>
                <w:szCs w:val="18"/>
              </w:rPr>
              <w:t xml:space="preserve">Evaluación heurística (Nielsen)</w:t>
            </w:r>
          </w:p>
        </w:tc>
        <w:tc>
          <w:tcPr>
            <w:tcW w:type="dxa" w:w="1300"/>
            <w:tcBorders>
              <w:top w:val="single" w:color="CBD5E1" w:sz="4"/>
              <w:left w:val="single" w:color="CBD5E1" w:sz="4"/>
              <w:bottom w:val="single" w:color="CBD5E1" w:sz="4"/>
              <w:right w:val="single" w:color="CBD5E1" w:sz="4"/>
            </w:tcBorders>
            <w:shd w:fill="F5F7FF" w:color="auto" w:val="clear"/>
            <w:tcMar>
              <w:top w:type="dxa" w:w="60"/>
              <w:left w:type="dxa" w:w="100"/>
              <w:bottom w:type="dxa" w:w="60"/>
              <w:right w:type="dxa" w:w="100"/>
            </w:tcMar>
          </w:tcPr>
          <w:p>
            <w:pPr>
              <w:spacing w:after="0" w:line="252"/>
            </w:pPr>
            <w:r>
              <w:rPr>
                <w:b w:val="false"/>
                <w:bCs w:val="false"/>
                <w:sz w:val="18"/>
                <w:szCs w:val="18"/>
              </w:rPr>
              <w:t xml:space="preserve">Experta</w:t>
            </w:r>
          </w:p>
        </w:tc>
        <w:tc>
          <w:tcPr>
            <w:tcW w:type="dxa" w:w="2100"/>
            <w:tcBorders>
              <w:top w:val="single" w:color="CBD5E1" w:sz="4"/>
              <w:left w:val="single" w:color="CBD5E1" w:sz="4"/>
              <w:bottom w:val="single" w:color="CBD5E1" w:sz="4"/>
              <w:right w:val="single" w:color="CBD5E1" w:sz="4"/>
            </w:tcBorders>
            <w:shd w:fill="F5F7FF" w:color="auto" w:val="clear"/>
            <w:tcMar>
              <w:top w:type="dxa" w:w="60"/>
              <w:left w:type="dxa" w:w="100"/>
              <w:bottom w:type="dxa" w:w="60"/>
              <w:right w:type="dxa" w:w="100"/>
            </w:tcMar>
          </w:tcPr>
          <w:p>
            <w:pPr>
              <w:spacing w:after="0" w:line="252"/>
            </w:pPr>
            <w:r>
              <w:rPr>
                <w:b w:val="false"/>
                <w:bCs w:val="false"/>
                <w:sz w:val="18"/>
                <w:szCs w:val="18"/>
              </w:rPr>
              <w:t xml:space="preserve">Usabilidad</w:t>
            </w:r>
          </w:p>
        </w:tc>
        <w:tc>
          <w:tcPr>
            <w:tcW w:type="dxa" w:w="1500"/>
            <w:tcBorders>
              <w:top w:val="single" w:color="CBD5E1" w:sz="4"/>
              <w:left w:val="single" w:color="CBD5E1" w:sz="4"/>
              <w:bottom w:val="single" w:color="CBD5E1" w:sz="4"/>
              <w:right w:val="single" w:color="CBD5E1" w:sz="4"/>
            </w:tcBorders>
            <w:shd w:fill="F5F7FF" w:color="auto" w:val="clear"/>
            <w:tcMar>
              <w:top w:type="dxa" w:w="60"/>
              <w:left w:type="dxa" w:w="100"/>
              <w:bottom w:type="dxa" w:w="60"/>
              <w:right w:type="dxa" w:w="100"/>
            </w:tcMar>
          </w:tcPr>
          <w:p>
            <w:pPr>
              <w:spacing w:after="0" w:line="252"/>
            </w:pPr>
            <w:r>
              <w:rPr>
                <w:b w:val="false"/>
                <w:bCs w:val="false"/>
                <w:sz w:val="18"/>
                <w:szCs w:val="18"/>
              </w:rPr>
              <w:t xml:space="preserve">Severidad 0–4 por problema</w:t>
            </w:r>
          </w:p>
        </w:tc>
        <w:tc>
          <w:tcPr>
            <w:tcW w:type="dxa" w:w="2426"/>
            <w:tcBorders>
              <w:top w:val="single" w:color="CBD5E1" w:sz="4"/>
              <w:left w:val="single" w:color="CBD5E1" w:sz="4"/>
              <w:bottom w:val="single" w:color="CBD5E1" w:sz="4"/>
              <w:right w:val="single" w:color="CBD5E1" w:sz="4"/>
            </w:tcBorders>
            <w:shd w:fill="F5F7FF" w:color="auto" w:val="clear"/>
            <w:tcMar>
              <w:top w:type="dxa" w:w="60"/>
              <w:left w:type="dxa" w:w="100"/>
              <w:bottom w:type="dxa" w:w="60"/>
              <w:right w:type="dxa" w:w="100"/>
            </w:tcMar>
          </w:tcPr>
          <w:p>
            <w:pPr>
              <w:spacing w:after="0" w:line="252"/>
            </w:pPr>
            <w:r>
              <w:rPr>
                <w:b w:val="false"/>
                <w:bCs w:val="false"/>
                <w:sz w:val="18"/>
                <w:szCs w:val="18"/>
              </w:rPr>
              <w:t xml:space="preserve">Subjetiva y lenta; depende del evaluador.</w:t>
            </w:r>
          </w:p>
        </w:tc>
      </w:tr>
      <w:tr>
        <w:trPr>
          <w:cantSplit/>
        </w:trPr>
        <w:tc>
          <w:tcPr>
            <w:tcW w:type="dxa" w:w="170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line="252"/>
            </w:pPr>
            <w:r>
              <w:rPr>
                <w:b w:val="false"/>
                <w:bCs w:val="false"/>
                <w:sz w:val="18"/>
                <w:szCs w:val="18"/>
              </w:rPr>
              <w:t xml:space="preserve">SUS / UEQ</w:t>
            </w:r>
          </w:p>
        </w:tc>
        <w:tc>
          <w:tcPr>
            <w:tcW w:type="dxa" w:w="130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line="252"/>
            </w:pPr>
            <w:r>
              <w:rPr>
                <w:b w:val="false"/>
                <w:bCs w:val="false"/>
                <w:sz w:val="18"/>
                <w:szCs w:val="18"/>
              </w:rPr>
              <w:t xml:space="preserve">Con usuarios</w:t>
            </w:r>
          </w:p>
        </w:tc>
        <w:tc>
          <w:tcPr>
            <w:tcW w:type="dxa" w:w="210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line="252"/>
            </w:pPr>
            <w:r>
              <w:rPr>
                <w:b w:val="false"/>
                <w:bCs w:val="false"/>
                <w:sz w:val="18"/>
                <w:szCs w:val="18"/>
              </w:rPr>
              <w:t xml:space="preserve">Satisfacción percibida</w:t>
            </w:r>
          </w:p>
        </w:tc>
        <w:tc>
          <w:tcPr>
            <w:tcW w:type="dxa" w:w="150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line="252"/>
            </w:pPr>
            <w:r>
              <w:rPr>
                <w:b w:val="false"/>
                <w:bCs w:val="false"/>
                <w:sz w:val="18"/>
                <w:szCs w:val="18"/>
              </w:rPr>
              <w:t xml:space="preserve">SUS 0–100</w:t>
            </w:r>
          </w:p>
        </w:tc>
        <w:tc>
          <w:tcPr>
            <w:tcW w:type="dxa" w:w="242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line="252"/>
            </w:pPr>
            <w:r>
              <w:rPr>
                <w:b w:val="false"/>
                <w:bCs w:val="false"/>
                <w:sz w:val="18"/>
                <w:szCs w:val="18"/>
              </w:rPr>
              <w:t xml:space="preserve">Requiere usuarios reales; no dice qué arreglar.</w:t>
            </w:r>
          </w:p>
        </w:tc>
      </w:tr>
      <w:tr>
        <w:trPr>
          <w:cantSplit/>
        </w:trPr>
        <w:tc>
          <w:tcPr>
            <w:tcW w:type="dxa" w:w="1700"/>
            <w:tcBorders>
              <w:top w:val="single" w:color="CBD5E1" w:sz="4"/>
              <w:left w:val="single" w:color="CBD5E1" w:sz="4"/>
              <w:bottom w:val="single" w:color="CBD5E1" w:sz="4"/>
              <w:right w:val="single" w:color="CBD5E1" w:sz="4"/>
            </w:tcBorders>
            <w:shd w:fill="F5F7FF" w:color="auto" w:val="clear"/>
            <w:tcMar>
              <w:top w:type="dxa" w:w="60"/>
              <w:left w:type="dxa" w:w="100"/>
              <w:bottom w:type="dxa" w:w="60"/>
              <w:right w:type="dxa" w:w="100"/>
            </w:tcMar>
          </w:tcPr>
          <w:p>
            <w:pPr>
              <w:spacing w:after="0" w:line="252"/>
            </w:pPr>
            <w:r>
              <w:rPr>
                <w:b w:val="false"/>
                <w:bCs w:val="false"/>
                <w:sz w:val="18"/>
                <w:szCs w:val="18"/>
              </w:rPr>
              <w:t xml:space="preserve">Maze, Hotjar, UserTesting</w:t>
            </w:r>
          </w:p>
        </w:tc>
        <w:tc>
          <w:tcPr>
            <w:tcW w:type="dxa" w:w="1300"/>
            <w:tcBorders>
              <w:top w:val="single" w:color="CBD5E1" w:sz="4"/>
              <w:left w:val="single" w:color="CBD5E1" w:sz="4"/>
              <w:bottom w:val="single" w:color="CBD5E1" w:sz="4"/>
              <w:right w:val="single" w:color="CBD5E1" w:sz="4"/>
            </w:tcBorders>
            <w:shd w:fill="F5F7FF" w:color="auto" w:val="clear"/>
            <w:tcMar>
              <w:top w:type="dxa" w:w="60"/>
              <w:left w:type="dxa" w:w="100"/>
              <w:bottom w:type="dxa" w:w="60"/>
              <w:right w:type="dxa" w:w="100"/>
            </w:tcMar>
          </w:tcPr>
          <w:p>
            <w:pPr>
              <w:spacing w:after="0" w:line="252"/>
            </w:pPr>
            <w:r>
              <w:rPr>
                <w:b w:val="false"/>
                <w:bCs w:val="false"/>
                <w:sz w:val="18"/>
                <w:szCs w:val="18"/>
              </w:rPr>
              <w:t xml:space="preserve">Analítica / test</w:t>
            </w:r>
          </w:p>
        </w:tc>
        <w:tc>
          <w:tcPr>
            <w:tcW w:type="dxa" w:w="2100"/>
            <w:tcBorders>
              <w:top w:val="single" w:color="CBD5E1" w:sz="4"/>
              <w:left w:val="single" w:color="CBD5E1" w:sz="4"/>
              <w:bottom w:val="single" w:color="CBD5E1" w:sz="4"/>
              <w:right w:val="single" w:color="CBD5E1" w:sz="4"/>
            </w:tcBorders>
            <w:shd w:fill="F5F7FF" w:color="auto" w:val="clear"/>
            <w:tcMar>
              <w:top w:type="dxa" w:w="60"/>
              <w:left w:type="dxa" w:w="100"/>
              <w:bottom w:type="dxa" w:w="60"/>
              <w:right w:type="dxa" w:w="100"/>
            </w:tcMar>
          </w:tcPr>
          <w:p>
            <w:pPr>
              <w:spacing w:after="0" w:line="252"/>
            </w:pPr>
            <w:r>
              <w:rPr>
                <w:b w:val="false"/>
                <w:bCs w:val="false"/>
                <w:sz w:val="18"/>
                <w:szCs w:val="18"/>
              </w:rPr>
              <w:t xml:space="preserve">Comportamiento real</w:t>
            </w:r>
          </w:p>
        </w:tc>
        <w:tc>
          <w:tcPr>
            <w:tcW w:type="dxa" w:w="1500"/>
            <w:tcBorders>
              <w:top w:val="single" w:color="CBD5E1" w:sz="4"/>
              <w:left w:val="single" w:color="CBD5E1" w:sz="4"/>
              <w:bottom w:val="single" w:color="CBD5E1" w:sz="4"/>
              <w:right w:val="single" w:color="CBD5E1" w:sz="4"/>
            </w:tcBorders>
            <w:shd w:fill="F5F7FF" w:color="auto" w:val="clear"/>
            <w:tcMar>
              <w:top w:type="dxa" w:w="60"/>
              <w:left w:type="dxa" w:w="100"/>
              <w:bottom w:type="dxa" w:w="60"/>
              <w:right w:type="dxa" w:w="100"/>
            </w:tcMar>
          </w:tcPr>
          <w:p>
            <w:pPr>
              <w:spacing w:after="0" w:line="252"/>
            </w:pPr>
            <w:r>
              <w:rPr>
                <w:b w:val="false"/>
                <w:bCs w:val="false"/>
                <w:sz w:val="18"/>
                <w:szCs w:val="18"/>
              </w:rPr>
              <w:t xml:space="preserve">Métricas de tarea</w:t>
            </w:r>
          </w:p>
        </w:tc>
        <w:tc>
          <w:tcPr>
            <w:tcW w:type="dxa" w:w="2426"/>
            <w:tcBorders>
              <w:top w:val="single" w:color="CBD5E1" w:sz="4"/>
              <w:left w:val="single" w:color="CBD5E1" w:sz="4"/>
              <w:bottom w:val="single" w:color="CBD5E1" w:sz="4"/>
              <w:right w:val="single" w:color="CBD5E1" w:sz="4"/>
            </w:tcBorders>
            <w:shd w:fill="F5F7FF" w:color="auto" w:val="clear"/>
            <w:tcMar>
              <w:top w:type="dxa" w:w="60"/>
              <w:left w:type="dxa" w:w="100"/>
              <w:bottom w:type="dxa" w:w="60"/>
              <w:right w:type="dxa" w:w="100"/>
            </w:tcMar>
          </w:tcPr>
          <w:p>
            <w:pPr>
              <w:spacing w:after="0" w:line="252"/>
            </w:pPr>
            <w:r>
              <w:rPr>
                <w:b w:val="false"/>
                <w:bCs w:val="false"/>
                <w:sz w:val="18"/>
                <w:szCs w:val="18"/>
              </w:rPr>
              <w:t xml:space="preserve">De pago; necesitan producto en producción.</w:t>
            </w:r>
          </w:p>
        </w:tc>
      </w:tr>
      <w:tr>
        <w:trPr>
          <w:cantSplit/>
        </w:trPr>
        <w:tc>
          <w:tcPr>
            <w:tcW w:type="dxa" w:w="170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line="252"/>
            </w:pPr>
            <w:r>
              <w:rPr>
                <w:b w:val="false"/>
                <w:bCs w:val="false"/>
                <w:sz w:val="18"/>
                <w:szCs w:val="18"/>
              </w:rPr>
              <w:t xml:space="preserve">UI UX Pro Max (skill)</w:t>
            </w:r>
          </w:p>
        </w:tc>
        <w:tc>
          <w:tcPr>
            <w:tcW w:type="dxa" w:w="130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line="252"/>
            </w:pPr>
            <w:r>
              <w:rPr>
                <w:b w:val="false"/>
                <w:bCs w:val="false"/>
                <w:sz w:val="18"/>
                <w:szCs w:val="18"/>
              </w:rPr>
              <w:t xml:space="preserve">Base de conocimiento para IA</w:t>
            </w:r>
          </w:p>
        </w:tc>
        <w:tc>
          <w:tcPr>
            <w:tcW w:type="dxa" w:w="210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line="252"/>
            </w:pPr>
            <w:r>
              <w:rPr>
                <w:b w:val="false"/>
                <w:bCs w:val="false"/>
                <w:sz w:val="18"/>
                <w:szCs w:val="18"/>
              </w:rPr>
              <w:t xml:space="preserve">Recomienda estilo, color, tipografía y reglas UX</w:t>
            </w:r>
          </w:p>
        </w:tc>
        <w:tc>
          <w:tcPr>
            <w:tcW w:type="dxa" w:w="150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line="252"/>
            </w:pPr>
            <w:r>
              <w:rPr>
                <w:b w:val="false"/>
                <w:bCs w:val="false"/>
                <w:sz w:val="18"/>
                <w:szCs w:val="18"/>
              </w:rPr>
              <w:t xml:space="preserve">No puntúa</w:t>
            </w:r>
          </w:p>
        </w:tc>
        <w:tc>
          <w:tcPr>
            <w:tcW w:type="dxa" w:w="242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line="252"/>
            </w:pPr>
            <w:r>
              <w:rPr>
                <w:b w:val="false"/>
                <w:bCs w:val="false"/>
                <w:sz w:val="18"/>
                <w:szCs w:val="18"/>
              </w:rPr>
              <w:t xml:space="preserve">Orientada a generar, no a auditar.</w:t>
            </w:r>
          </w:p>
        </w:tc>
      </w:tr>
    </w:tbl>
    <w:p>
      <w:pPr>
        <w:spacing w:after="200" w:before="60"/>
        <w:jc w:val="center"/>
      </w:pPr>
      <w:r>
        <w:rPr>
          <w:i/>
          <w:iCs/>
          <w:color w:val="475569"/>
          <w:sz w:val="18"/>
          <w:szCs w:val="18"/>
        </w:rPr>
        <w:t xml:space="preserve">Tabla 4. Herramientas del estado del arte.</w:t>
      </w:r>
    </w:p>
    <w:p>
      <w:pPr>
        <w:pStyle w:val="Heading2"/>
      </w:pPr>
      <w:r>
        <w:t xml:space="preserve">2.3 Huecos del estado del arte (análisis de carencias)</w:t>
      </w:r>
    </w:p>
    <w:p>
      <w:pPr>
        <w:spacing w:after="120" w:line="276"/>
      </w:pPr>
      <w:r>
        <w:t xml:space="preserve">Hemos analizado qué </w:t>
      </w:r>
      <w:r>
        <w:rPr>
          <w:b/>
          <w:bCs/>
        </w:rPr>
        <w:t xml:space="preserve">no</w:t>
      </w:r>
      <w:r>
        <w:t xml:space="preserve"> comprueban hoy las herramientas automáticas más usadas (Lighthouse, axe-core, WAVE, Pa11y). Tres datos lo resumen:</w:t>
      </w:r>
    </w:p>
    <w:p>
      <w:pPr>
        <w:pStyle w:val="ListParagraph"/>
        <w:numPr>
          <w:ilvl w:val="0"/>
          <w:numId w:val="2"/>
        </w:numPr>
        <w:spacing w:after="60" w:line="264"/>
      </w:pPr>
      <w:r>
        <w:t xml:space="preserve">Según el estudio de Deque sobre más de 13.000 páginas y casi 300.000 incidencias, las pruebas automáticas encuentran de media el </w:t>
      </w:r>
      <w:r>
        <w:rPr>
          <w:b/>
          <w:bCs/>
        </w:rPr>
        <w:t xml:space="preserve">57 %</w:t>
      </w:r>
      <w:r>
        <w:t xml:space="preserve"> de los problemas de accesibilidad, medidos por volumen. El resto exige pruebas de interacción o revisión humana.</w:t>
      </w:r>
    </w:p>
    <w:p>
      <w:pPr>
        <w:pStyle w:val="ListParagraph"/>
        <w:numPr>
          <w:ilvl w:val="0"/>
          <w:numId w:val="2"/>
        </w:numPr>
        <w:spacing w:after="60" w:line="264"/>
      </w:pPr>
      <w:r>
        <w:t xml:space="preserve">En el barrido de la Comisión Europea de 2023, </w:t>
      </w:r>
      <w:r>
        <w:rPr>
          <w:b/>
          <w:bCs/>
        </w:rPr>
        <w:t xml:space="preserve">148 de 399 tiendas online (≈ 40 %) usaban patrones oscuros</w:t>
      </w:r>
      <w:r>
        <w:t xml:space="preserve">: 42 con temporizadores falsos, 54 que dirigían al usuario hacia ciertas opciones y 70 que ocultaban información. Ninguna de las herramientas de la tabla 4 los detecta.</w:t>
      </w:r>
    </w:p>
    <w:p>
      <w:pPr>
        <w:pStyle w:val="ListParagraph"/>
        <w:numPr>
          <w:ilvl w:val="0"/>
          <w:numId w:val="2"/>
        </w:numPr>
        <w:spacing w:after="60" w:line="264"/>
      </w:pPr>
      <w:r>
        <w:t xml:space="preserve">La </w:t>
      </w:r>
      <w:r>
        <w:rPr>
          <w:b/>
          <w:bCs/>
        </w:rPr>
        <w:t xml:space="preserve">Guía de cookies de la AEPD</w:t>
      </w:r>
      <w:r>
        <w:t xml:space="preserve"> exige desde enero de 2024 que «Rechazar» esté al mismo nivel que «Aceptar». Ninguna herramienta de auditoría UX lo comprueba.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0"/>
        <w:gridCol w:w="1700"/>
        <w:gridCol w:w="2900"/>
        <w:gridCol w:w="3976"/>
      </w:tblGrid>
      <w:tr>
        <w:trPr>
          <w:tblHeader/>
        </w:trPr>
        <w:tc>
          <w:tcPr>
            <w:tcW w:type="dxa" w:w="450"/>
            <w:tcBorders>
              <w:top w:val="single" w:color="CBD5E1" w:sz="4"/>
              <w:left w:val="single" w:color="CBD5E1" w:sz="4"/>
              <w:bottom w:val="single" w:color="CBD5E1" w:sz="4"/>
              <w:right w:val="single" w:color="CBD5E1" w:sz="4"/>
            </w:tcBorders>
            <w:shd w:fill="E0E7FF" w:color="auto" w:val="clear"/>
            <w:tcMar>
              <w:top w:type="dxa" w:w="60"/>
              <w:left w:type="dxa" w:w="100"/>
              <w:bottom w:type="dxa" w:w="60"/>
              <w:right w:type="dxa" w:w="100"/>
            </w:tcMar>
          </w:tcPr>
          <w:p>
            <w:pPr>
              <w:spacing w:after="0" w:line="252"/>
            </w:pPr>
            <w:r>
              <w:rPr>
                <w:b/>
                <w:bCs/>
                <w:color w:val="1E1B4B"/>
                <w:sz w:val="18"/>
                <w:szCs w:val="18"/>
              </w:rPr>
              <w:t xml:space="preserve">#</w:t>
            </w:r>
          </w:p>
        </w:tc>
        <w:tc>
          <w:tcPr>
            <w:tcW w:type="dxa" w:w="1700"/>
            <w:tcBorders>
              <w:top w:val="single" w:color="CBD5E1" w:sz="4"/>
              <w:left w:val="single" w:color="CBD5E1" w:sz="4"/>
              <w:bottom w:val="single" w:color="CBD5E1" w:sz="4"/>
              <w:right w:val="single" w:color="CBD5E1" w:sz="4"/>
            </w:tcBorders>
            <w:shd w:fill="E0E7FF" w:color="auto" w:val="clear"/>
            <w:tcMar>
              <w:top w:type="dxa" w:w="60"/>
              <w:left w:type="dxa" w:w="100"/>
              <w:bottom w:type="dxa" w:w="60"/>
              <w:right w:type="dxa" w:w="100"/>
            </w:tcMar>
          </w:tcPr>
          <w:p>
            <w:pPr>
              <w:spacing w:after="0" w:line="252"/>
            </w:pPr>
            <w:r>
              <w:rPr>
                <w:b/>
                <w:bCs/>
                <w:color w:val="1E1B4B"/>
                <w:sz w:val="18"/>
                <w:szCs w:val="18"/>
              </w:rPr>
              <w:t xml:space="preserve">Hueco</w:t>
            </w:r>
          </w:p>
        </w:tc>
        <w:tc>
          <w:tcPr>
            <w:tcW w:type="dxa" w:w="2900"/>
            <w:tcBorders>
              <w:top w:val="single" w:color="CBD5E1" w:sz="4"/>
              <w:left w:val="single" w:color="CBD5E1" w:sz="4"/>
              <w:bottom w:val="single" w:color="CBD5E1" w:sz="4"/>
              <w:right w:val="single" w:color="CBD5E1" w:sz="4"/>
            </w:tcBorders>
            <w:shd w:fill="E0E7FF" w:color="auto" w:val="clear"/>
            <w:tcMar>
              <w:top w:type="dxa" w:w="60"/>
              <w:left w:type="dxa" w:w="100"/>
              <w:bottom w:type="dxa" w:w="60"/>
              <w:right w:type="dxa" w:w="100"/>
            </w:tcMar>
          </w:tcPr>
          <w:p>
            <w:pPr>
              <w:spacing w:after="0" w:line="252"/>
            </w:pPr>
            <w:r>
              <w:rPr>
                <w:b/>
                <w:bCs/>
                <w:color w:val="1E1B4B"/>
                <w:sz w:val="18"/>
                <w:szCs w:val="18"/>
              </w:rPr>
              <w:t xml:space="preserve">Qué hacen hoy las herramientas</w:t>
            </w:r>
          </w:p>
        </w:tc>
        <w:tc>
          <w:tcPr>
            <w:tcW w:type="dxa" w:w="3976"/>
            <w:tcBorders>
              <w:top w:val="single" w:color="CBD5E1" w:sz="4"/>
              <w:left w:val="single" w:color="CBD5E1" w:sz="4"/>
              <w:bottom w:val="single" w:color="CBD5E1" w:sz="4"/>
              <w:right w:val="single" w:color="CBD5E1" w:sz="4"/>
            </w:tcBorders>
            <w:shd w:fill="E0E7FF" w:color="auto" w:val="clear"/>
            <w:tcMar>
              <w:top w:type="dxa" w:w="60"/>
              <w:left w:type="dxa" w:w="100"/>
              <w:bottom w:type="dxa" w:w="60"/>
              <w:right w:type="dxa" w:w="100"/>
            </w:tcMar>
          </w:tcPr>
          <w:p>
            <w:pPr>
              <w:spacing w:after="0" w:line="252"/>
            </w:pPr>
            <w:r>
              <w:rPr>
                <w:b/>
                <w:bCs/>
                <w:color w:val="1E1B4B"/>
                <w:sz w:val="18"/>
                <w:szCs w:val="18"/>
              </w:rPr>
              <w:t xml:space="preserve">Cómo lo cubre nuestro auditor (regla)</w:t>
            </w:r>
          </w:p>
        </w:tc>
      </w:tr>
      <w:tr>
        <w:trPr>
          <w:cantSplit/>
        </w:trPr>
        <w:tc>
          <w:tcPr>
            <w:tcW w:type="dxa" w:w="45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line="252"/>
            </w:pPr>
            <w:r>
              <w:rPr>
                <w:b w:val="false"/>
                <w:bCs w:val="false"/>
                <w:sz w:val="18"/>
                <w:szCs w:val="18"/>
              </w:rPr>
              <w:t xml:space="preserve">1</w:t>
            </w:r>
          </w:p>
        </w:tc>
        <w:tc>
          <w:tcPr>
            <w:tcW w:type="dxa" w:w="170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line="252"/>
            </w:pPr>
            <w:r>
              <w:rPr>
                <w:b w:val="false"/>
                <w:bCs w:val="false"/>
                <w:sz w:val="18"/>
                <w:szCs w:val="18"/>
              </w:rPr>
              <w:t xml:space="preserve">Patrones oscuros</w:t>
            </w:r>
          </w:p>
        </w:tc>
        <w:tc>
          <w:tcPr>
            <w:tcW w:type="dxa" w:w="290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line="252"/>
            </w:pPr>
            <w:r>
              <w:rPr>
                <w:b w:val="false"/>
                <w:bCs w:val="false"/>
                <w:sz w:val="18"/>
                <w:szCs w:val="18"/>
              </w:rPr>
              <w:t xml:space="preserve">Nada: no forman parte de Lighthouse, axe ni WAVE.</w:t>
            </w:r>
          </w:p>
        </w:tc>
        <w:tc>
          <w:tcPr>
            <w:tcW w:type="dxa" w:w="397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line="252"/>
            </w:pPr>
            <w:r>
              <w:rPr>
                <w:b w:val="false"/>
                <w:bCs w:val="false"/>
                <w:sz w:val="18"/>
                <w:szCs w:val="18"/>
              </w:rPr>
              <w:t xml:space="preserve">Detecta banners de cookies sin «Rechazar» o con «Rechazar» menos visible, casillas premarcadas, textos que culpabilizan (confirmshaming) y cuentas atrás o escasez artificial (ETI-COOKIES-RECHAZO, ETI-PRESELECCION, ETI-CONFIRMSHAMING, ETI-URGENCIA).</w:t>
            </w:r>
          </w:p>
        </w:tc>
      </w:tr>
      <w:tr>
        <w:trPr>
          <w:cantSplit/>
        </w:trPr>
        <w:tc>
          <w:tcPr>
            <w:tcW w:type="dxa" w:w="450"/>
            <w:tcBorders>
              <w:top w:val="single" w:color="CBD5E1" w:sz="4"/>
              <w:left w:val="single" w:color="CBD5E1" w:sz="4"/>
              <w:bottom w:val="single" w:color="CBD5E1" w:sz="4"/>
              <w:right w:val="single" w:color="CBD5E1" w:sz="4"/>
            </w:tcBorders>
            <w:shd w:fill="F5F7FF" w:color="auto" w:val="clear"/>
            <w:tcMar>
              <w:top w:type="dxa" w:w="60"/>
              <w:left w:type="dxa" w:w="100"/>
              <w:bottom w:type="dxa" w:w="60"/>
              <w:right w:type="dxa" w:w="100"/>
            </w:tcMar>
          </w:tcPr>
          <w:p>
            <w:pPr>
              <w:spacing w:after="0" w:line="252"/>
            </w:pPr>
            <w:r>
              <w:rPr>
                <w:b w:val="false"/>
                <w:bCs w:val="false"/>
                <w:sz w:val="18"/>
                <w:szCs w:val="18"/>
              </w:rPr>
              <w:t xml:space="preserve">2</w:t>
            </w:r>
          </w:p>
        </w:tc>
        <w:tc>
          <w:tcPr>
            <w:tcW w:type="dxa" w:w="1700"/>
            <w:tcBorders>
              <w:top w:val="single" w:color="CBD5E1" w:sz="4"/>
              <w:left w:val="single" w:color="CBD5E1" w:sz="4"/>
              <w:bottom w:val="single" w:color="CBD5E1" w:sz="4"/>
              <w:right w:val="single" w:color="CBD5E1" w:sz="4"/>
            </w:tcBorders>
            <w:shd w:fill="F5F7FF" w:color="auto" w:val="clear"/>
            <w:tcMar>
              <w:top w:type="dxa" w:w="60"/>
              <w:left w:type="dxa" w:w="100"/>
              <w:bottom w:type="dxa" w:w="60"/>
              <w:right w:type="dxa" w:w="100"/>
            </w:tcMar>
          </w:tcPr>
          <w:p>
            <w:pPr>
              <w:spacing w:after="0" w:line="252"/>
            </w:pPr>
            <w:r>
              <w:rPr>
                <w:b w:val="false"/>
                <w:bCs w:val="false"/>
                <w:sz w:val="18"/>
                <w:szCs w:val="18"/>
              </w:rPr>
              <w:t xml:space="preserve">Rastreo antes del consentimiento</w:t>
            </w:r>
          </w:p>
        </w:tc>
        <w:tc>
          <w:tcPr>
            <w:tcW w:type="dxa" w:w="2900"/>
            <w:tcBorders>
              <w:top w:val="single" w:color="CBD5E1" w:sz="4"/>
              <w:left w:val="single" w:color="CBD5E1" w:sz="4"/>
              <w:bottom w:val="single" w:color="CBD5E1" w:sz="4"/>
              <w:right w:val="single" w:color="CBD5E1" w:sz="4"/>
            </w:tcBorders>
            <w:shd w:fill="F5F7FF" w:color="auto" w:val="clear"/>
            <w:tcMar>
              <w:top w:type="dxa" w:w="60"/>
              <w:left w:type="dxa" w:w="100"/>
              <w:bottom w:type="dxa" w:w="60"/>
              <w:right w:type="dxa" w:w="100"/>
            </w:tcMar>
          </w:tcPr>
          <w:p>
            <w:pPr>
              <w:spacing w:after="0" w:line="252"/>
            </w:pPr>
            <w:r>
              <w:rPr>
                <w:b w:val="false"/>
                <w:bCs w:val="false"/>
                <w:sz w:val="18"/>
                <w:szCs w:val="18"/>
              </w:rPr>
              <w:t xml:space="preserve">Lighthouse informa de las cookies de terceros, pero no de si se cargan antes de consentir.</w:t>
            </w:r>
          </w:p>
        </w:tc>
        <w:tc>
          <w:tcPr>
            <w:tcW w:type="dxa" w:w="3976"/>
            <w:tcBorders>
              <w:top w:val="single" w:color="CBD5E1" w:sz="4"/>
              <w:left w:val="single" w:color="CBD5E1" w:sz="4"/>
              <w:bottom w:val="single" w:color="CBD5E1" w:sz="4"/>
              <w:right w:val="single" w:color="CBD5E1" w:sz="4"/>
            </w:tcBorders>
            <w:shd w:fill="F5F7FF" w:color="auto" w:val="clear"/>
            <w:tcMar>
              <w:top w:type="dxa" w:w="60"/>
              <w:left w:type="dxa" w:w="100"/>
              <w:bottom w:type="dxa" w:w="60"/>
              <w:right w:type="dxa" w:w="100"/>
            </w:tcMar>
          </w:tcPr>
          <w:p>
            <w:pPr>
              <w:spacing w:after="0" w:line="252"/>
            </w:pPr>
            <w:r>
              <w:rPr>
                <w:b w:val="false"/>
                <w:bCs w:val="false"/>
                <w:sz w:val="18"/>
                <w:szCs w:val="18"/>
              </w:rPr>
              <w:t xml:space="preserve">Registra las peticiones a 40 dominios de analítica y publicidad y las cookies de seguimiento (_ga, _fbp…) que aparecen al cargar la página (ETI-RASTREO-PREVIO).</w:t>
            </w:r>
          </w:p>
        </w:tc>
      </w:tr>
      <w:tr>
        <w:trPr>
          <w:cantSplit/>
        </w:trPr>
        <w:tc>
          <w:tcPr>
            <w:tcW w:type="dxa" w:w="45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line="252"/>
            </w:pPr>
            <w:r>
              <w:rPr>
                <w:b w:val="false"/>
                <w:bCs w:val="false"/>
                <w:sz w:val="18"/>
                <w:szCs w:val="18"/>
              </w:rPr>
              <w:t xml:space="preserve">3</w:t>
            </w:r>
          </w:p>
        </w:tc>
        <w:tc>
          <w:tcPr>
            <w:tcW w:type="dxa" w:w="170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line="252"/>
            </w:pPr>
            <w:r>
              <w:rPr>
                <w:b w:val="false"/>
                <w:bCs w:val="false"/>
                <w:sz w:val="18"/>
                <w:szCs w:val="18"/>
              </w:rPr>
              <w:t xml:space="preserve">Calidad, no solo presencia</w:t>
            </w:r>
          </w:p>
        </w:tc>
        <w:tc>
          <w:tcPr>
            <w:tcW w:type="dxa" w:w="290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line="252"/>
            </w:pPr>
            <w:r>
              <w:rPr>
                <w:b w:val="false"/>
                <w:bCs w:val="false"/>
                <w:sz w:val="18"/>
                <w:szCs w:val="18"/>
              </w:rPr>
              <w:t xml:space="preserve">axe comprueba que exista un alt o un nombre, no que sirvan. Su regla de «nombre en la etiqueta» (2.5.3) es experimental y viene desactivada.</w:t>
            </w:r>
          </w:p>
        </w:tc>
        <w:tc>
          <w:tcPr>
            <w:tcW w:type="dxa" w:w="397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line="252"/>
            </w:pPr>
            <w:r>
              <w:rPr>
                <w:b w:val="false"/>
                <w:bCs w:val="false"/>
                <w:sz w:val="18"/>
                <w:szCs w:val="18"/>
              </w:rPr>
              <w:t xml:space="preserve">Detecta alt con nombre de fichero, genérico o redundante, y nombres accesibles que no contienen el texto visible (A11Y-CALIDAD-ALT, A11Y-NOMBRE-EN-ETIQUETA).</w:t>
            </w:r>
          </w:p>
        </w:tc>
      </w:tr>
      <w:tr>
        <w:trPr>
          <w:cantSplit/>
        </w:trPr>
        <w:tc>
          <w:tcPr>
            <w:tcW w:type="dxa" w:w="450"/>
            <w:tcBorders>
              <w:top w:val="single" w:color="CBD5E1" w:sz="4"/>
              <w:left w:val="single" w:color="CBD5E1" w:sz="4"/>
              <w:bottom w:val="single" w:color="CBD5E1" w:sz="4"/>
              <w:right w:val="single" w:color="CBD5E1" w:sz="4"/>
            </w:tcBorders>
            <w:shd w:fill="F5F7FF" w:color="auto" w:val="clear"/>
            <w:tcMar>
              <w:top w:type="dxa" w:w="60"/>
              <w:left w:type="dxa" w:w="100"/>
              <w:bottom w:type="dxa" w:w="60"/>
              <w:right w:type="dxa" w:w="100"/>
            </w:tcMar>
          </w:tcPr>
          <w:p>
            <w:pPr>
              <w:spacing w:after="0" w:line="252"/>
            </w:pPr>
            <w:r>
              <w:rPr>
                <w:b w:val="false"/>
                <w:bCs w:val="false"/>
                <w:sz w:val="18"/>
                <w:szCs w:val="18"/>
              </w:rPr>
              <w:t xml:space="preserve">4</w:t>
            </w:r>
          </w:p>
        </w:tc>
        <w:tc>
          <w:tcPr>
            <w:tcW w:type="dxa" w:w="1700"/>
            <w:tcBorders>
              <w:top w:val="single" w:color="CBD5E1" w:sz="4"/>
              <w:left w:val="single" w:color="CBD5E1" w:sz="4"/>
              <w:bottom w:val="single" w:color="CBD5E1" w:sz="4"/>
              <w:right w:val="single" w:color="CBD5E1" w:sz="4"/>
            </w:tcBorders>
            <w:shd w:fill="F5F7FF" w:color="auto" w:val="clear"/>
            <w:tcMar>
              <w:top w:type="dxa" w:w="60"/>
              <w:left w:type="dxa" w:w="100"/>
              <w:bottom w:type="dxa" w:w="60"/>
              <w:right w:type="dxa" w:w="100"/>
            </w:tcMar>
          </w:tcPr>
          <w:p>
            <w:pPr>
              <w:spacing w:after="0" w:line="252"/>
            </w:pPr>
            <w:r>
              <w:rPr>
                <w:b w:val="false"/>
                <w:bCs w:val="false"/>
                <w:sz w:val="18"/>
                <w:szCs w:val="18"/>
              </w:rPr>
              <w:t xml:space="preserve">Adaptación a las preferencias del usuario</w:t>
            </w:r>
          </w:p>
        </w:tc>
        <w:tc>
          <w:tcPr>
            <w:tcW w:type="dxa" w:w="2900"/>
            <w:tcBorders>
              <w:top w:val="single" w:color="CBD5E1" w:sz="4"/>
              <w:left w:val="single" w:color="CBD5E1" w:sz="4"/>
              <w:bottom w:val="single" w:color="CBD5E1" w:sz="4"/>
              <w:right w:val="single" w:color="CBD5E1" w:sz="4"/>
            </w:tcBorders>
            <w:shd w:fill="F5F7FF" w:color="auto" w:val="clear"/>
            <w:tcMar>
              <w:top w:type="dxa" w:w="60"/>
              <w:left w:type="dxa" w:w="100"/>
              <w:bottom w:type="dxa" w:w="60"/>
              <w:right w:type="dxa" w:w="100"/>
            </w:tcMar>
          </w:tcPr>
          <w:p>
            <w:pPr>
              <w:spacing w:after="0" w:line="252"/>
            </w:pPr>
            <w:r>
              <w:rPr>
                <w:b w:val="false"/>
                <w:bCs w:val="false"/>
                <w:sz w:val="18"/>
                <w:szCs w:val="18"/>
              </w:rPr>
              <w:t xml:space="preserve">Analizan la página tal como se ve por defecto.</w:t>
            </w:r>
          </w:p>
        </w:tc>
        <w:tc>
          <w:tcPr>
            <w:tcW w:type="dxa" w:w="3976"/>
            <w:tcBorders>
              <w:top w:val="single" w:color="CBD5E1" w:sz="4"/>
              <w:left w:val="single" w:color="CBD5E1" w:sz="4"/>
              <w:bottom w:val="single" w:color="CBD5E1" w:sz="4"/>
              <w:right w:val="single" w:color="CBD5E1" w:sz="4"/>
            </w:tcBorders>
            <w:shd w:fill="F5F7FF" w:color="auto" w:val="clear"/>
            <w:tcMar>
              <w:top w:type="dxa" w:w="60"/>
              <w:left w:type="dxa" w:w="100"/>
              <w:bottom w:type="dxa" w:w="60"/>
              <w:right w:type="dxa" w:w="100"/>
            </w:tcMar>
          </w:tcPr>
          <w:p>
            <w:pPr>
              <w:spacing w:after="0" w:line="252"/>
            </w:pPr>
            <w:r>
              <w:rPr>
                <w:b w:val="false"/>
                <w:bCs w:val="false"/>
                <w:sz w:val="18"/>
                <w:szCs w:val="18"/>
              </w:rPr>
              <w:t xml:space="preserve">Aplica el espaciado de texto de WCAG 1.4.12, sube la letra del navegador al 200 % y emula el alto contraste de Windows y el modo oscuro; después vuelve a medir (A11Y-ESPACIADO-TEXTO, A11Y-TAMANO-USUARIO, A11Y-ALTO-CONTRASTE, A11Y-MODO-OSCURO).</w:t>
            </w:r>
          </w:p>
        </w:tc>
      </w:tr>
      <w:tr>
        <w:trPr>
          <w:cantSplit/>
        </w:trPr>
        <w:tc>
          <w:tcPr>
            <w:tcW w:type="dxa" w:w="45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line="252"/>
            </w:pPr>
            <w:r>
              <w:rPr>
                <w:b w:val="false"/>
                <w:bCs w:val="false"/>
                <w:sz w:val="18"/>
                <w:szCs w:val="18"/>
              </w:rPr>
              <w:t xml:space="preserve">5</w:t>
            </w:r>
          </w:p>
        </w:tc>
        <w:tc>
          <w:tcPr>
            <w:tcW w:type="dxa" w:w="170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line="252"/>
            </w:pPr>
            <w:r>
              <w:rPr>
                <w:b w:val="false"/>
                <w:bCs w:val="false"/>
                <w:sz w:val="18"/>
                <w:szCs w:val="18"/>
              </w:rPr>
              <w:t xml:space="preserve">Interacción real con teclado</w:t>
            </w:r>
          </w:p>
        </w:tc>
        <w:tc>
          <w:tcPr>
            <w:tcW w:type="dxa" w:w="290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line="252"/>
            </w:pPr>
            <w:r>
              <w:rPr>
                <w:b w:val="false"/>
                <w:bCs w:val="false"/>
                <w:sz w:val="18"/>
                <w:szCs w:val="18"/>
              </w:rPr>
              <w:t xml:space="preserve">Análisis estático del DOM.</w:t>
            </w:r>
          </w:p>
        </w:tc>
        <w:tc>
          <w:tcPr>
            <w:tcW w:type="dxa" w:w="397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line="252"/>
            </w:pPr>
            <w:r>
              <w:rPr>
                <w:b w:val="false"/>
                <w:bCs w:val="false"/>
                <w:sz w:val="18"/>
                <w:szCs w:val="18"/>
              </w:rPr>
              <w:t xml:space="preserve">Pulsa Tab de verdad: detecta foco invisible, foco tapado, trampas, controles inalcanzables y saltos de orden (A11Y-ORDEN-FOCO y otras).</w:t>
            </w:r>
          </w:p>
        </w:tc>
      </w:tr>
      <w:tr>
        <w:trPr>
          <w:cantSplit/>
        </w:trPr>
        <w:tc>
          <w:tcPr>
            <w:tcW w:type="dxa" w:w="450"/>
            <w:tcBorders>
              <w:top w:val="single" w:color="CBD5E1" w:sz="4"/>
              <w:left w:val="single" w:color="CBD5E1" w:sz="4"/>
              <w:bottom w:val="single" w:color="CBD5E1" w:sz="4"/>
              <w:right w:val="single" w:color="CBD5E1" w:sz="4"/>
            </w:tcBorders>
            <w:shd w:fill="F5F7FF" w:color="auto" w:val="clear"/>
            <w:tcMar>
              <w:top w:type="dxa" w:w="60"/>
              <w:left w:type="dxa" w:w="100"/>
              <w:bottom w:type="dxa" w:w="60"/>
              <w:right w:type="dxa" w:w="100"/>
            </w:tcMar>
          </w:tcPr>
          <w:p>
            <w:pPr>
              <w:spacing w:after="0" w:line="252"/>
            </w:pPr>
            <w:r>
              <w:rPr>
                <w:b w:val="false"/>
                <w:bCs w:val="false"/>
                <w:sz w:val="18"/>
                <w:szCs w:val="18"/>
              </w:rPr>
              <w:t xml:space="preserve">6</w:t>
            </w:r>
          </w:p>
        </w:tc>
        <w:tc>
          <w:tcPr>
            <w:tcW w:type="dxa" w:w="1700"/>
            <w:tcBorders>
              <w:top w:val="single" w:color="CBD5E1" w:sz="4"/>
              <w:left w:val="single" w:color="CBD5E1" w:sz="4"/>
              <w:bottom w:val="single" w:color="CBD5E1" w:sz="4"/>
              <w:right w:val="single" w:color="CBD5E1" w:sz="4"/>
            </w:tcBorders>
            <w:shd w:fill="F5F7FF" w:color="auto" w:val="clear"/>
            <w:tcMar>
              <w:top w:type="dxa" w:w="60"/>
              <w:left w:type="dxa" w:w="100"/>
              <w:bottom w:type="dxa" w:w="60"/>
              <w:right w:type="dxa" w:w="100"/>
            </w:tcMar>
          </w:tcPr>
          <w:p>
            <w:pPr>
              <w:spacing w:after="0" w:line="252"/>
            </w:pPr>
            <w:r>
              <w:rPr>
                <w:b w:val="false"/>
                <w:bCs w:val="false"/>
                <w:sz w:val="18"/>
                <w:szCs w:val="18"/>
              </w:rPr>
              <w:t xml:space="preserve">Tamaños intermedios y orientación</w:t>
            </w:r>
          </w:p>
        </w:tc>
        <w:tc>
          <w:tcPr>
            <w:tcW w:type="dxa" w:w="2900"/>
            <w:tcBorders>
              <w:top w:val="single" w:color="CBD5E1" w:sz="4"/>
              <w:left w:val="single" w:color="CBD5E1" w:sz="4"/>
              <w:bottom w:val="single" w:color="CBD5E1" w:sz="4"/>
              <w:right w:val="single" w:color="CBD5E1" w:sz="4"/>
            </w:tcBorders>
            <w:shd w:fill="F5F7FF" w:color="auto" w:val="clear"/>
            <w:tcMar>
              <w:top w:type="dxa" w:w="60"/>
              <w:left w:type="dxa" w:w="100"/>
              <w:bottom w:type="dxa" w:w="60"/>
              <w:right w:type="dxa" w:w="100"/>
            </w:tcMar>
          </w:tcPr>
          <w:p>
            <w:pPr>
              <w:spacing w:after="0" w:line="252"/>
            </w:pPr>
            <w:r>
              <w:rPr>
                <w:b w:val="false"/>
                <w:bCs w:val="false"/>
                <w:sz w:val="18"/>
                <w:szCs w:val="18"/>
              </w:rPr>
              <w:t xml:space="preserve">Uno o dos tamaños de pantalla.</w:t>
            </w:r>
          </w:p>
        </w:tc>
        <w:tc>
          <w:tcPr>
            <w:tcW w:type="dxa" w:w="3976"/>
            <w:tcBorders>
              <w:top w:val="single" w:color="CBD5E1" w:sz="4"/>
              <w:left w:val="single" w:color="CBD5E1" w:sz="4"/>
              <w:bottom w:val="single" w:color="CBD5E1" w:sz="4"/>
              <w:right w:val="single" w:color="CBD5E1" w:sz="4"/>
            </w:tcBorders>
            <w:shd w:fill="F5F7FF" w:color="auto" w:val="clear"/>
            <w:tcMar>
              <w:top w:type="dxa" w:w="60"/>
              <w:left w:type="dxa" w:w="100"/>
              <w:bottom w:type="dxa" w:w="60"/>
              <w:right w:type="dxa" w:w="100"/>
            </w:tcMar>
          </w:tcPr>
          <w:p>
            <w:pPr>
              <w:spacing w:after="0" w:line="252"/>
            </w:pPr>
            <w:r>
              <w:rPr>
                <w:b w:val="false"/>
                <w:bCs w:val="false"/>
                <w:sz w:val="18"/>
                <w:szCs w:val="18"/>
              </w:rPr>
              <w:t xml:space="preserve">Prueba 320, 600, 768, 1024 y 1280 px y el móvil en horizontal (VIS-RESPONSIVE-INTERMEDIO, A11Y-ORIENTACION).</w:t>
            </w:r>
          </w:p>
        </w:tc>
      </w:tr>
      <w:tr>
        <w:trPr>
          <w:cantSplit/>
        </w:trPr>
        <w:tc>
          <w:tcPr>
            <w:tcW w:type="dxa" w:w="45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line="252"/>
            </w:pPr>
            <w:r>
              <w:rPr>
                <w:b w:val="false"/>
                <w:bCs w:val="false"/>
                <w:sz w:val="18"/>
                <w:szCs w:val="18"/>
              </w:rPr>
              <w:t xml:space="preserve">7</w:t>
            </w:r>
          </w:p>
        </w:tc>
        <w:tc>
          <w:tcPr>
            <w:tcW w:type="dxa" w:w="170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line="252"/>
            </w:pPr>
            <w:r>
              <w:rPr>
                <w:b w:val="false"/>
                <w:bCs w:val="false"/>
                <w:sz w:val="18"/>
                <w:szCs w:val="18"/>
              </w:rPr>
              <w:t xml:space="preserve">Accesibilidad cognitiva y lenguaje claro</w:t>
            </w:r>
          </w:p>
        </w:tc>
        <w:tc>
          <w:tcPr>
            <w:tcW w:type="dxa" w:w="290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line="252"/>
            </w:pPr>
            <w:r>
              <w:rPr>
                <w:b w:val="false"/>
                <w:bCs w:val="false"/>
                <w:sz w:val="18"/>
                <w:szCs w:val="18"/>
              </w:rPr>
              <w:t xml:space="preserve">No se mide.</w:t>
            </w:r>
          </w:p>
        </w:tc>
        <w:tc>
          <w:tcPr>
            <w:tcW w:type="dxa" w:w="397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line="252"/>
            </w:pPr>
            <w:r>
              <w:rPr>
                <w:b w:val="false"/>
                <w:bCs w:val="false"/>
                <w:sz w:val="18"/>
                <w:szCs w:val="18"/>
              </w:rPr>
              <w:t xml:space="preserve">Calcula el índice Fernández-Huerta (español) o Flesch (inglés) y detecta texto justificado, bloques en mayúsculas y cursiva larga (VIS-LEGIBILIDAD, VIS-TEXTO-COGNITIVO).</w:t>
            </w:r>
          </w:p>
        </w:tc>
      </w:tr>
      <w:tr>
        <w:trPr>
          <w:cantSplit/>
        </w:trPr>
        <w:tc>
          <w:tcPr>
            <w:tcW w:type="dxa" w:w="450"/>
            <w:tcBorders>
              <w:top w:val="single" w:color="CBD5E1" w:sz="4"/>
              <w:left w:val="single" w:color="CBD5E1" w:sz="4"/>
              <w:bottom w:val="single" w:color="CBD5E1" w:sz="4"/>
              <w:right w:val="single" w:color="CBD5E1" w:sz="4"/>
            </w:tcBorders>
            <w:shd w:fill="F5F7FF" w:color="auto" w:val="clear"/>
            <w:tcMar>
              <w:top w:type="dxa" w:w="60"/>
              <w:left w:type="dxa" w:w="100"/>
              <w:bottom w:type="dxa" w:w="60"/>
              <w:right w:type="dxa" w:w="100"/>
            </w:tcMar>
          </w:tcPr>
          <w:p>
            <w:pPr>
              <w:spacing w:after="0" w:line="252"/>
            </w:pPr>
            <w:r>
              <w:rPr>
                <w:b w:val="false"/>
                <w:bCs w:val="false"/>
                <w:sz w:val="18"/>
                <w:szCs w:val="18"/>
              </w:rPr>
              <w:t xml:space="preserve">8</w:t>
            </w:r>
          </w:p>
        </w:tc>
        <w:tc>
          <w:tcPr>
            <w:tcW w:type="dxa" w:w="1700"/>
            <w:tcBorders>
              <w:top w:val="single" w:color="CBD5E1" w:sz="4"/>
              <w:left w:val="single" w:color="CBD5E1" w:sz="4"/>
              <w:bottom w:val="single" w:color="CBD5E1" w:sz="4"/>
              <w:right w:val="single" w:color="CBD5E1" w:sz="4"/>
            </w:tcBorders>
            <w:shd w:fill="F5F7FF" w:color="auto" w:val="clear"/>
            <w:tcMar>
              <w:top w:type="dxa" w:w="60"/>
              <w:left w:type="dxa" w:w="100"/>
              <w:bottom w:type="dxa" w:w="60"/>
              <w:right w:type="dxa" w:w="100"/>
            </w:tcMar>
          </w:tcPr>
          <w:p>
            <w:pPr>
              <w:spacing w:after="0" w:line="252"/>
            </w:pPr>
            <w:r>
              <w:rPr>
                <w:b w:val="false"/>
                <w:bCs w:val="false"/>
                <w:sz w:val="18"/>
                <w:szCs w:val="18"/>
              </w:rPr>
              <w:t xml:space="preserve">Consistencia entre páginas</w:t>
            </w:r>
          </w:p>
        </w:tc>
        <w:tc>
          <w:tcPr>
            <w:tcW w:type="dxa" w:w="2900"/>
            <w:tcBorders>
              <w:top w:val="single" w:color="CBD5E1" w:sz="4"/>
              <w:left w:val="single" w:color="CBD5E1" w:sz="4"/>
              <w:bottom w:val="single" w:color="CBD5E1" w:sz="4"/>
              <w:right w:val="single" w:color="CBD5E1" w:sz="4"/>
            </w:tcBorders>
            <w:shd w:fill="F5F7FF" w:color="auto" w:val="clear"/>
            <w:tcMar>
              <w:top w:type="dxa" w:w="60"/>
              <w:left w:type="dxa" w:w="100"/>
              <w:bottom w:type="dxa" w:w="60"/>
              <w:right w:type="dxa" w:w="100"/>
            </w:tcMar>
          </w:tcPr>
          <w:p>
            <w:pPr>
              <w:spacing w:after="0" w:line="252"/>
            </w:pPr>
            <w:r>
              <w:rPr>
                <w:b w:val="false"/>
                <w:bCs w:val="false"/>
                <w:sz w:val="18"/>
                <w:szCs w:val="18"/>
              </w:rPr>
              <w:t xml:space="preserve">Se audita cada página por separado.</w:t>
            </w:r>
          </w:p>
        </w:tc>
        <w:tc>
          <w:tcPr>
            <w:tcW w:type="dxa" w:w="3976"/>
            <w:tcBorders>
              <w:top w:val="single" w:color="CBD5E1" w:sz="4"/>
              <w:left w:val="single" w:color="CBD5E1" w:sz="4"/>
              <w:bottom w:val="single" w:color="CBD5E1" w:sz="4"/>
              <w:right w:val="single" w:color="CBD5E1" w:sz="4"/>
            </w:tcBorders>
            <w:shd w:fill="F5F7FF" w:color="auto" w:val="clear"/>
            <w:tcMar>
              <w:top w:type="dxa" w:w="60"/>
              <w:left w:type="dxa" w:w="100"/>
              <w:bottom w:type="dxa" w:w="60"/>
              <w:right w:type="dxa" w:w="100"/>
            </w:tcMar>
          </w:tcPr>
          <w:p>
            <w:pPr>
              <w:spacing w:after="0" w:line="252"/>
            </w:pPr>
            <w:r>
              <w:rPr>
                <w:b w:val="false"/>
                <w:bCs w:val="false"/>
                <w:sz w:val="18"/>
                <w:szCs w:val="18"/>
              </w:rPr>
              <w:t xml:space="preserve">Compara el menú y el enlace de ayuda entre las páginas del mismo sitio, según WCAG 3.2.3, 3.2.4 y 3.2.6 (NAV-CONSISTENCIA).</w:t>
            </w:r>
          </w:p>
        </w:tc>
      </w:tr>
      <w:tr>
        <w:trPr>
          <w:cantSplit/>
        </w:trPr>
        <w:tc>
          <w:tcPr>
            <w:tcW w:type="dxa" w:w="45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line="252"/>
            </w:pPr>
            <w:r>
              <w:rPr>
                <w:b w:val="false"/>
                <w:bCs w:val="false"/>
                <w:sz w:val="18"/>
                <w:szCs w:val="18"/>
              </w:rPr>
              <w:t xml:space="preserve">9</w:t>
            </w:r>
          </w:p>
        </w:tc>
        <w:tc>
          <w:tcPr>
            <w:tcW w:type="dxa" w:w="170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line="252"/>
            </w:pPr>
            <w:r>
              <w:rPr>
                <w:b w:val="false"/>
                <w:bCs w:val="false"/>
                <w:sz w:val="18"/>
                <w:szCs w:val="18"/>
              </w:rPr>
              <w:t xml:space="preserve">Jerarquía visual y sobrecarga de decisiones</w:t>
            </w:r>
          </w:p>
        </w:tc>
        <w:tc>
          <w:tcPr>
            <w:tcW w:type="dxa" w:w="290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line="252"/>
            </w:pPr>
            <w:r>
              <w:rPr>
                <w:b w:val="false"/>
                <w:bCs w:val="false"/>
                <w:sz w:val="18"/>
                <w:szCs w:val="18"/>
              </w:rPr>
              <w:t xml:space="preserve">No se mide.</w:t>
            </w:r>
          </w:p>
        </w:tc>
        <w:tc>
          <w:tcPr>
            <w:tcW w:type="dxa" w:w="397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line="252"/>
            </w:pPr>
            <w:r>
              <w:rPr>
                <w:b w:val="false"/>
                <w:bCs w:val="false"/>
                <w:sz w:val="18"/>
                <w:szCs w:val="18"/>
              </w:rPr>
              <w:t xml:space="preserve">Cuenta las llamadas a la acción con el mismo peso visual en la primera pantalla (INT-CTA-COMPITEN).</w:t>
            </w:r>
          </w:p>
        </w:tc>
      </w:tr>
      <w:tr>
        <w:trPr>
          <w:cantSplit/>
        </w:trPr>
        <w:tc>
          <w:tcPr>
            <w:tcW w:type="dxa" w:w="450"/>
            <w:tcBorders>
              <w:top w:val="single" w:color="CBD5E1" w:sz="4"/>
              <w:left w:val="single" w:color="CBD5E1" w:sz="4"/>
              <w:bottom w:val="single" w:color="CBD5E1" w:sz="4"/>
              <w:right w:val="single" w:color="CBD5E1" w:sz="4"/>
            </w:tcBorders>
            <w:shd w:fill="F5F7FF" w:color="auto" w:val="clear"/>
            <w:tcMar>
              <w:top w:type="dxa" w:w="60"/>
              <w:left w:type="dxa" w:w="100"/>
              <w:bottom w:type="dxa" w:w="60"/>
              <w:right w:type="dxa" w:w="100"/>
            </w:tcMar>
          </w:tcPr>
          <w:p>
            <w:pPr>
              <w:spacing w:after="0" w:line="252"/>
            </w:pPr>
            <w:r>
              <w:rPr>
                <w:b w:val="false"/>
                <w:bCs w:val="false"/>
                <w:sz w:val="18"/>
                <w:szCs w:val="18"/>
              </w:rPr>
              <w:t xml:space="preserve">10</w:t>
            </w:r>
          </w:p>
        </w:tc>
        <w:tc>
          <w:tcPr>
            <w:tcW w:type="dxa" w:w="1700"/>
            <w:tcBorders>
              <w:top w:val="single" w:color="CBD5E1" w:sz="4"/>
              <w:left w:val="single" w:color="CBD5E1" w:sz="4"/>
              <w:bottom w:val="single" w:color="CBD5E1" w:sz="4"/>
              <w:right w:val="single" w:color="CBD5E1" w:sz="4"/>
            </w:tcBorders>
            <w:shd w:fill="F5F7FF" w:color="auto" w:val="clear"/>
            <w:tcMar>
              <w:top w:type="dxa" w:w="60"/>
              <w:left w:type="dxa" w:w="100"/>
              <w:bottom w:type="dxa" w:w="60"/>
              <w:right w:type="dxa" w:w="100"/>
            </w:tcMar>
          </w:tcPr>
          <w:p>
            <w:pPr>
              <w:spacing w:after="0" w:line="252"/>
            </w:pPr>
            <w:r>
              <w:rPr>
                <w:b w:val="false"/>
                <w:bCs w:val="false"/>
                <w:sz w:val="18"/>
                <w:szCs w:val="18"/>
              </w:rPr>
              <w:t xml:space="preserve">Sostenibilidad</w:t>
            </w:r>
          </w:p>
        </w:tc>
        <w:tc>
          <w:tcPr>
            <w:tcW w:type="dxa" w:w="2900"/>
            <w:tcBorders>
              <w:top w:val="single" w:color="CBD5E1" w:sz="4"/>
              <w:left w:val="single" w:color="CBD5E1" w:sz="4"/>
              <w:bottom w:val="single" w:color="CBD5E1" w:sz="4"/>
              <w:right w:val="single" w:color="CBD5E1" w:sz="4"/>
            </w:tcBorders>
            <w:shd w:fill="F5F7FF" w:color="auto" w:val="clear"/>
            <w:tcMar>
              <w:top w:type="dxa" w:w="60"/>
              <w:left w:type="dxa" w:w="100"/>
              <w:bottom w:type="dxa" w:w="60"/>
              <w:right w:type="dxa" w:w="100"/>
            </w:tcMar>
          </w:tcPr>
          <w:p>
            <w:pPr>
              <w:spacing w:after="0" w:line="252"/>
            </w:pPr>
            <w:r>
              <w:rPr>
                <w:b w:val="false"/>
                <w:bCs w:val="false"/>
                <w:sz w:val="18"/>
                <w:szCs w:val="18"/>
              </w:rPr>
              <w:t xml:space="preserve">Lighthouse da el peso de la página, no su impacto.</w:t>
            </w:r>
          </w:p>
        </w:tc>
        <w:tc>
          <w:tcPr>
            <w:tcW w:type="dxa" w:w="3976"/>
            <w:tcBorders>
              <w:top w:val="single" w:color="CBD5E1" w:sz="4"/>
              <w:left w:val="single" w:color="CBD5E1" w:sz="4"/>
              <w:bottom w:val="single" w:color="CBD5E1" w:sz="4"/>
              <w:right w:val="single" w:color="CBD5E1" w:sz="4"/>
            </w:tcBorders>
            <w:shd w:fill="F5F7FF" w:color="auto" w:val="clear"/>
            <w:tcMar>
              <w:top w:type="dxa" w:w="60"/>
              <w:left w:type="dxa" w:w="100"/>
              <w:bottom w:type="dxa" w:w="60"/>
              <w:right w:type="dxa" w:w="100"/>
            </w:tcMar>
          </w:tcPr>
          <w:p>
            <w:pPr>
              <w:spacing w:after="0" w:line="252"/>
            </w:pPr>
            <w:r>
              <w:rPr>
                <w:b w:val="false"/>
                <w:bCs w:val="false"/>
                <w:sz w:val="18"/>
                <w:szCs w:val="18"/>
              </w:rPr>
              <w:t xml:space="preserve">Calcula los gramos de CO2e por visita con el modelo Sustainable Web Design v4 (calificación A+–F) (ETI-CARBONO).</w:t>
            </w:r>
          </w:p>
        </w:tc>
      </w:tr>
      <w:tr>
        <w:trPr>
          <w:cantSplit/>
        </w:trPr>
        <w:tc>
          <w:tcPr>
            <w:tcW w:type="dxa" w:w="45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line="252"/>
            </w:pPr>
            <w:r>
              <w:rPr>
                <w:b w:val="false"/>
                <w:bCs w:val="false"/>
                <w:sz w:val="18"/>
                <w:szCs w:val="18"/>
              </w:rPr>
              <w:t xml:space="preserve">11</w:t>
            </w:r>
          </w:p>
        </w:tc>
        <w:tc>
          <w:tcPr>
            <w:tcW w:type="dxa" w:w="170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line="252"/>
            </w:pPr>
            <w:r>
              <w:rPr>
                <w:b w:val="false"/>
                <w:bCs w:val="false"/>
                <w:sz w:val="18"/>
                <w:szCs w:val="18"/>
              </w:rPr>
              <w:t xml:space="preserve">Multimedia y formularios</w:t>
            </w:r>
          </w:p>
        </w:tc>
        <w:tc>
          <w:tcPr>
            <w:tcW w:type="dxa" w:w="290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line="252"/>
            </w:pPr>
            <w:r>
              <w:rPr>
                <w:b w:val="false"/>
                <w:bCs w:val="false"/>
                <w:sz w:val="18"/>
                <w:szCs w:val="18"/>
              </w:rPr>
              <w:t xml:space="preserve">axe deja los subtítulos como «revisar manualmente».</w:t>
            </w:r>
          </w:p>
        </w:tc>
        <w:tc>
          <w:tcPr>
            <w:tcW w:type="dxa" w:w="397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line="252"/>
            </w:pPr>
            <w:r>
              <w:rPr>
                <w:b w:val="false"/>
                <w:bCs w:val="false"/>
                <w:sz w:val="18"/>
                <w:szCs w:val="18"/>
              </w:rPr>
              <w:t xml:space="preserve">Detecta reproducción automática con sonido, vídeos sin controles o sin subtítulos y campos obligatorios sin indicar (A11Y-MULTIMEDIA, FORM-OBLIGATORIOS).</w:t>
            </w:r>
          </w:p>
        </w:tc>
      </w:tr>
      <w:tr>
        <w:trPr>
          <w:cantSplit/>
        </w:trPr>
        <w:tc>
          <w:tcPr>
            <w:tcW w:type="dxa" w:w="450"/>
            <w:tcBorders>
              <w:top w:val="single" w:color="CBD5E1" w:sz="4"/>
              <w:left w:val="single" w:color="CBD5E1" w:sz="4"/>
              <w:bottom w:val="single" w:color="CBD5E1" w:sz="4"/>
              <w:right w:val="single" w:color="CBD5E1" w:sz="4"/>
            </w:tcBorders>
            <w:shd w:fill="F5F7FF" w:color="auto" w:val="clear"/>
            <w:tcMar>
              <w:top w:type="dxa" w:w="60"/>
              <w:left w:type="dxa" w:w="100"/>
              <w:bottom w:type="dxa" w:w="60"/>
              <w:right w:type="dxa" w:w="100"/>
            </w:tcMar>
          </w:tcPr>
          <w:p>
            <w:pPr>
              <w:spacing w:after="0" w:line="252"/>
            </w:pPr>
            <w:r>
              <w:rPr>
                <w:b w:val="false"/>
                <w:bCs w:val="false"/>
                <w:sz w:val="18"/>
                <w:szCs w:val="18"/>
              </w:rPr>
              <w:t xml:space="preserve">12</w:t>
            </w:r>
          </w:p>
        </w:tc>
        <w:tc>
          <w:tcPr>
            <w:tcW w:type="dxa" w:w="1700"/>
            <w:tcBorders>
              <w:top w:val="single" w:color="CBD5E1" w:sz="4"/>
              <w:left w:val="single" w:color="CBD5E1" w:sz="4"/>
              <w:bottom w:val="single" w:color="CBD5E1" w:sz="4"/>
              <w:right w:val="single" w:color="CBD5E1" w:sz="4"/>
            </w:tcBorders>
            <w:shd w:fill="F5F7FF" w:color="auto" w:val="clear"/>
            <w:tcMar>
              <w:top w:type="dxa" w:w="60"/>
              <w:left w:type="dxa" w:w="100"/>
              <w:bottom w:type="dxa" w:w="60"/>
              <w:right w:type="dxa" w:w="100"/>
            </w:tcMar>
          </w:tcPr>
          <w:p>
            <w:pPr>
              <w:spacing w:after="0" w:line="252"/>
            </w:pPr>
            <w:r>
              <w:rPr>
                <w:b w:val="false"/>
                <w:bCs w:val="false"/>
                <w:sz w:val="18"/>
                <w:szCs w:val="18"/>
              </w:rPr>
              <w:t xml:space="preserve">Lo que no se puede automatizar</w:t>
            </w:r>
          </w:p>
        </w:tc>
        <w:tc>
          <w:tcPr>
            <w:tcW w:type="dxa" w:w="2900"/>
            <w:tcBorders>
              <w:top w:val="single" w:color="CBD5E1" w:sz="4"/>
              <w:left w:val="single" w:color="CBD5E1" w:sz="4"/>
              <w:bottom w:val="single" w:color="CBD5E1" w:sz="4"/>
              <w:right w:val="single" w:color="CBD5E1" w:sz="4"/>
            </w:tcBorders>
            <w:shd w:fill="F5F7FF" w:color="auto" w:val="clear"/>
            <w:tcMar>
              <w:top w:type="dxa" w:w="60"/>
              <w:left w:type="dxa" w:w="100"/>
              <w:bottom w:type="dxa" w:w="60"/>
              <w:right w:type="dxa" w:w="100"/>
            </w:tcMar>
          </w:tcPr>
          <w:p>
            <w:pPr>
              <w:spacing w:after="0" w:line="252"/>
            </w:pPr>
            <w:r>
              <w:rPr>
                <w:b w:val="false"/>
                <w:bCs w:val="false"/>
                <w:sz w:val="18"/>
                <w:szCs w:val="18"/>
              </w:rPr>
              <w:t xml:space="preserve">Se ignora o se deja fuera.</w:t>
            </w:r>
          </w:p>
        </w:tc>
        <w:tc>
          <w:tcPr>
            <w:tcW w:type="dxa" w:w="3976"/>
            <w:tcBorders>
              <w:top w:val="single" w:color="CBD5E1" w:sz="4"/>
              <w:left w:val="single" w:color="CBD5E1" w:sz="4"/>
              <w:bottom w:val="single" w:color="CBD5E1" w:sz="4"/>
              <w:right w:val="single" w:color="CBD5E1" w:sz="4"/>
            </w:tcBorders>
            <w:shd w:fill="F5F7FF" w:color="auto" w:val="clear"/>
            <w:tcMar>
              <w:top w:type="dxa" w:w="60"/>
              <w:left w:type="dxa" w:w="100"/>
              <w:bottom w:type="dxa" w:w="60"/>
              <w:right w:type="dxa" w:w="100"/>
            </w:tcMar>
          </w:tcPr>
          <w:p>
            <w:pPr>
              <w:spacing w:after="0" w:line="252"/>
            </w:pPr>
            <w:r>
              <w:rPr>
                <w:b w:val="false"/>
                <w:bCs w:val="false"/>
                <w:sz w:val="18"/>
                <w:szCs w:val="18"/>
              </w:rPr>
              <w:t xml:space="preserve">Cuestionario experto de 21 preguntas: heurísticas de Nielsen, principios de Krug, gestión del foco en modales, contenido al pasar el ratón, costes ocultos, bajas y transparencia de IA. El informe muestra la cobertura alcanzada.</w:t>
            </w:r>
          </w:p>
        </w:tc>
      </w:tr>
      <w:tr>
        <w:trPr>
          <w:cantSplit/>
        </w:trPr>
        <w:tc>
          <w:tcPr>
            <w:tcW w:type="dxa" w:w="45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line="252"/>
            </w:pPr>
            <w:r>
              <w:rPr>
                <w:b w:val="false"/>
                <w:bCs w:val="false"/>
                <w:sz w:val="18"/>
                <w:szCs w:val="18"/>
              </w:rPr>
              <w:t xml:space="preserve">13</w:t>
            </w:r>
          </w:p>
        </w:tc>
        <w:tc>
          <w:tcPr>
            <w:tcW w:type="dxa" w:w="170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line="252"/>
            </w:pPr>
            <w:r>
              <w:rPr>
                <w:b w:val="false"/>
                <w:bCs w:val="false"/>
                <w:sz w:val="18"/>
                <w:szCs w:val="18"/>
              </w:rPr>
              <w:t xml:space="preserve">Notas complacientes</w:t>
            </w:r>
          </w:p>
        </w:tc>
        <w:tc>
          <w:tcPr>
            <w:tcW w:type="dxa" w:w="290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line="252"/>
            </w:pPr>
            <w:r>
              <w:rPr>
                <w:b w:val="false"/>
                <w:bCs w:val="false"/>
                <w:sz w:val="18"/>
                <w:szCs w:val="18"/>
              </w:rPr>
              <w:t xml:space="preserve">Lighthouse puede dar 100/100 a una web con problemas graves.</w:t>
            </w:r>
          </w:p>
        </w:tc>
        <w:tc>
          <w:tcPr>
            <w:tcW w:type="dxa" w:w="397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line="252"/>
            </w:pPr>
            <w:r>
              <w:rPr>
                <w:b/>
                <w:bCs/>
                <w:sz w:val="18"/>
                <w:szCs w:val="18"/>
              </w:rPr>
              <w:t xml:space="preserve">Modo estricto</w:t>
            </w:r>
            <w:r>
              <w:rPr>
                <w:b w:val="false"/>
                <w:bCs w:val="false"/>
                <w:sz w:val="18"/>
                <w:szCs w:val="18"/>
              </w:rPr>
              <w:t xml:space="preserve"> (apartado 03): techos de nota por fallos críticos o altos, y «Excelente» solo con la auditoría completa.</w:t>
            </w:r>
          </w:p>
        </w:tc>
      </w:tr>
      <w:tr>
        <w:trPr>
          <w:cantSplit/>
        </w:trPr>
        <w:tc>
          <w:tcPr>
            <w:tcW w:type="dxa" w:w="450"/>
            <w:tcBorders>
              <w:top w:val="single" w:color="CBD5E1" w:sz="4"/>
              <w:left w:val="single" w:color="CBD5E1" w:sz="4"/>
              <w:bottom w:val="single" w:color="CBD5E1" w:sz="4"/>
              <w:right w:val="single" w:color="CBD5E1" w:sz="4"/>
            </w:tcBorders>
            <w:shd w:fill="F5F7FF" w:color="auto" w:val="clear"/>
            <w:tcMar>
              <w:top w:type="dxa" w:w="60"/>
              <w:left w:type="dxa" w:w="100"/>
              <w:bottom w:type="dxa" w:w="60"/>
              <w:right w:type="dxa" w:w="100"/>
            </w:tcMar>
          </w:tcPr>
          <w:p>
            <w:pPr>
              <w:spacing w:after="0" w:line="252"/>
            </w:pPr>
            <w:r>
              <w:rPr>
                <w:b w:val="false"/>
                <w:bCs w:val="false"/>
                <w:sz w:val="18"/>
                <w:szCs w:val="18"/>
              </w:rPr>
              <w:t xml:space="preserve">14</w:t>
            </w:r>
          </w:p>
        </w:tc>
        <w:tc>
          <w:tcPr>
            <w:tcW w:type="dxa" w:w="1700"/>
            <w:tcBorders>
              <w:top w:val="single" w:color="CBD5E1" w:sz="4"/>
              <w:left w:val="single" w:color="CBD5E1" w:sz="4"/>
              <w:bottom w:val="single" w:color="CBD5E1" w:sz="4"/>
              <w:right w:val="single" w:color="CBD5E1" w:sz="4"/>
            </w:tcBorders>
            <w:shd w:fill="F5F7FF" w:color="auto" w:val="clear"/>
            <w:tcMar>
              <w:top w:type="dxa" w:w="60"/>
              <w:left w:type="dxa" w:w="100"/>
              <w:bottom w:type="dxa" w:w="60"/>
              <w:right w:type="dxa" w:w="100"/>
            </w:tcMar>
          </w:tcPr>
          <w:p>
            <w:pPr>
              <w:spacing w:after="0" w:line="252"/>
            </w:pPr>
            <w:r>
              <w:rPr>
                <w:b w:val="false"/>
                <w:bCs w:val="false"/>
                <w:sz w:val="18"/>
                <w:szCs w:val="18"/>
              </w:rPr>
              <w:t xml:space="preserve">Puntuaciones aisladas</w:t>
            </w:r>
          </w:p>
        </w:tc>
        <w:tc>
          <w:tcPr>
            <w:tcW w:type="dxa" w:w="2900"/>
            <w:tcBorders>
              <w:top w:val="single" w:color="CBD5E1" w:sz="4"/>
              <w:left w:val="single" w:color="CBD5E1" w:sz="4"/>
              <w:bottom w:val="single" w:color="CBD5E1" w:sz="4"/>
              <w:right w:val="single" w:color="CBD5E1" w:sz="4"/>
            </w:tcBorders>
            <w:shd w:fill="F5F7FF" w:color="auto" w:val="clear"/>
            <w:tcMar>
              <w:top w:type="dxa" w:w="60"/>
              <w:left w:type="dxa" w:w="100"/>
              <w:bottom w:type="dxa" w:w="60"/>
              <w:right w:type="dxa" w:w="100"/>
            </w:tcMar>
          </w:tcPr>
          <w:p>
            <w:pPr>
              <w:spacing w:after="0" w:line="252"/>
            </w:pPr>
            <w:r>
              <w:rPr>
                <w:b w:val="false"/>
                <w:bCs w:val="false"/>
                <w:sz w:val="18"/>
                <w:szCs w:val="18"/>
              </w:rPr>
              <w:t xml:space="preserve">Cada herramienta usa su propia escala.</w:t>
            </w:r>
          </w:p>
        </w:tc>
        <w:tc>
          <w:tcPr>
            <w:tcW w:type="dxa" w:w="3976"/>
            <w:tcBorders>
              <w:top w:val="single" w:color="CBD5E1" w:sz="4"/>
              <w:left w:val="single" w:color="CBD5E1" w:sz="4"/>
              <w:bottom w:val="single" w:color="CBD5E1" w:sz="4"/>
              <w:right w:val="single" w:color="CBD5E1" w:sz="4"/>
            </w:tcBorders>
            <w:shd w:fill="F5F7FF" w:color="auto" w:val="clear"/>
            <w:tcMar>
              <w:top w:type="dxa" w:w="60"/>
              <w:left w:type="dxa" w:w="100"/>
              <w:bottom w:type="dxa" w:w="60"/>
              <w:right w:type="dxa" w:w="100"/>
            </w:tcMar>
          </w:tcPr>
          <w:p>
            <w:pPr>
              <w:spacing w:after="0" w:line="252"/>
            </w:pPr>
            <w:r>
              <w:rPr>
                <w:b w:val="false"/>
                <w:bCs w:val="false"/>
                <w:sz w:val="18"/>
                <w:szCs w:val="18"/>
              </w:rPr>
              <w:t xml:space="preserve">Índice IUX único de 0 a 10 en 8 dimensiones, con la norma incumplida y la corrección de cada fallo.</w:t>
            </w:r>
          </w:p>
        </w:tc>
      </w:tr>
      <w:tr>
        <w:trPr>
          <w:cantSplit/>
        </w:trPr>
        <w:tc>
          <w:tcPr>
            <w:tcW w:type="dxa" w:w="45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line="252"/>
            </w:pPr>
            <w:r>
              <w:rPr>
                <w:b w:val="false"/>
                <w:bCs w:val="false"/>
                <w:sz w:val="18"/>
                <w:szCs w:val="18"/>
              </w:rPr>
              <w:t xml:space="preserve">15</w:t>
            </w:r>
          </w:p>
        </w:tc>
        <w:tc>
          <w:tcPr>
            <w:tcW w:type="dxa" w:w="170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line="252"/>
            </w:pPr>
            <w:r>
              <w:rPr>
                <w:b w:val="false"/>
                <w:bCs w:val="false"/>
                <w:sz w:val="18"/>
                <w:szCs w:val="18"/>
              </w:rPr>
              <w:t xml:space="preserve">Los principios clásicos de usabilidad (Krug) no se automatizan</w:t>
            </w:r>
          </w:p>
        </w:tc>
        <w:tc>
          <w:tcPr>
            <w:tcW w:type="dxa" w:w="290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line="252"/>
            </w:pPr>
            <w:r>
              <w:rPr>
                <w:b w:val="false"/>
                <w:bCs w:val="false"/>
                <w:sz w:val="18"/>
                <w:szCs w:val="18"/>
              </w:rPr>
              <w:t xml:space="preserve">La prueba del tronco, castigar formatos, el texto de relleno o los enlaces que no parecen enlaces se revisan siempre a mano.</w:t>
            </w:r>
          </w:p>
        </w:tc>
        <w:tc>
          <w:tcPr>
            <w:tcW w:type="dxa" w:w="397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line="252"/>
            </w:pPr>
            <w:r>
              <w:rPr>
                <w:b w:val="false"/>
                <w:bCs w:val="false"/>
                <w:sz w:val="18"/>
                <w:szCs w:val="18"/>
              </w:rPr>
              <w:t xml:space="preserve">Automatiza la prueba del tronco (NAV-PRUEBA-TRONCO), los formatos rígidos (FORM-FORMATO-LIBRE), las palabras innecesarias (VIS-PALABRAS-INNECESARIAS) y los enlaces indistinguibles (INT-ENLACES-DISTINGUIBLES); el resto, en el cuestionario.</w:t>
            </w:r>
          </w:p>
        </w:tc>
      </w:tr>
    </w:tbl>
    <w:p>
      <w:pPr>
        <w:spacing w:after="200" w:before="60"/>
        <w:jc w:val="center"/>
      </w:pPr>
      <w:r>
        <w:rPr>
          <w:i/>
          <w:iCs/>
          <w:color w:val="475569"/>
          <w:sz w:val="18"/>
          <w:szCs w:val="18"/>
        </w:rPr>
        <w:t xml:space="preserve">Tabla 5. Huecos del estado del arte y cómo los cubre el UX-Auditor.</w:t>
      </w:r>
    </w:p>
    <w:p>
      <w:pPr>
        <w:pBdr>
          <w:left w:val="single" w:color="4F46E5" w:sz="18" w:space="8"/>
        </w:pBdr>
        <w:shd w:fill="EEF2FF" w:color="auto" w:val="clear"/>
        <w:spacing w:after="160" w:before="80" w:line="264"/>
        <w:ind w:left="160"/>
      </w:pPr>
      <w:r>
        <w:rPr>
          <w:b/>
          <w:bCs/>
        </w:rPr>
        <w:t xml:space="preserve">Conclusión:</w:t>
      </w:r>
      <w:r>
        <w:t xml:space="preserve"> las herramientas actuales son buenas, pero están </w:t>
      </w:r>
      <w:r>
        <w:rPr>
          <w:b/>
          <w:bCs/>
        </w:rPr>
        <w:t xml:space="preserve">aisladas</w:t>
      </w:r>
      <w:r>
        <w:t xml:space="preserve">, solo miran la página en su estado inicial y </w:t>
      </w:r>
      <w:r>
        <w:rPr>
          <w:b/>
          <w:bCs/>
        </w:rPr>
        <w:t xml:space="preserve">no evalúan ética, privacidad, adaptación al usuario ni lenguaje</w:t>
      </w:r>
      <w:r>
        <w:t xml:space="preserve">. Nuestra métrica (03) y nuestro auditor (04) cubren estos 15 huecos con 23 comprobaciones automáticas nuevas, una dimensión nueva (D8 Ética, privacidad y sostenibilidad) y un modo de puntuación estricto.</w:t>
      </w:r>
    </w:p>
    <w:p>
      <w:pPr>
        <w:pStyle w:val="Heading1"/>
        <w:pageBreakBefore/>
      </w:pPr>
      <w:r>
        <w:t xml:space="preserve">03- Sistema de métrica</w:t>
      </w:r>
    </w:p>
    <w:p>
      <w:pPr>
        <w:spacing w:after="120" w:line="276"/>
      </w:pPr>
      <w:r>
        <w:t xml:space="preserve">Hemos diseñado el </w:t>
      </w:r>
      <w:r>
        <w:rPr>
          <w:b/>
          <w:bCs/>
        </w:rPr>
        <w:t xml:space="preserve">Índice de Experiencia de Usuario (IUX)</w:t>
      </w:r>
      <w:r>
        <w:t xml:space="preserve">, una puntuación de </w:t>
      </w:r>
      <w:r>
        <w:rPr>
          <w:b/>
          <w:bCs/>
        </w:rPr>
        <w:t xml:space="preserve">0 a 10</w:t>
      </w:r>
      <w:r>
        <w:t xml:space="preserve"> que resume la calidad UX de una web o aplicación. Se construye a partir de los estándares del apartado 01 y de las prácticas del apartado 02, y está pensado para que el auditor (04) la calcule de forma repetible.</w:t>
      </w:r>
    </w:p>
    <w:p>
      <w:pPr>
        <w:pStyle w:val="Heading2"/>
      </w:pPr>
      <w:r>
        <w:t xml:space="preserve">3.1 Dimensiones y pesos</w:t>
      </w:r>
    </w:p>
    <w:p>
      <w:pPr>
        <w:spacing w:after="120" w:line="276"/>
      </w:pPr>
      <w:r>
        <w:t xml:space="preserve">El orden y los pesos siguen la prioridad de impacto de la skill UI UX Pro Max (la accesibilidad y la interacción son «críticas») y el carácter obligatorio de WCAG 2.2 AA. La versión 2 añade la dimensión </w:t>
      </w:r>
      <w:r>
        <w:rPr>
          <w:b/>
          <w:bCs/>
        </w:rPr>
        <w:t xml:space="preserve">D8 Ética, privacidad y sostenibilidad</w:t>
      </w:r>
      <w:r>
        <w:t xml:space="preserve">, para cubrir los huecos del apartado 2.3.</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00"/>
        <w:gridCol w:w="1700"/>
        <w:gridCol w:w="700"/>
        <w:gridCol w:w="2200"/>
        <w:gridCol w:w="3926"/>
      </w:tblGrid>
      <w:tr>
        <w:trPr>
          <w:tblHeader/>
        </w:trPr>
        <w:tc>
          <w:tcPr>
            <w:tcW w:type="dxa" w:w="500"/>
            <w:tcBorders>
              <w:top w:val="single" w:color="CBD5E1" w:sz="4"/>
              <w:left w:val="single" w:color="CBD5E1" w:sz="4"/>
              <w:bottom w:val="single" w:color="CBD5E1" w:sz="4"/>
              <w:right w:val="single" w:color="CBD5E1" w:sz="4"/>
            </w:tcBorders>
            <w:shd w:fill="E0E7FF" w:color="auto" w:val="clear"/>
            <w:tcMar>
              <w:top w:type="dxa" w:w="60"/>
              <w:left w:type="dxa" w:w="100"/>
              <w:bottom w:type="dxa" w:w="60"/>
              <w:right w:type="dxa" w:w="100"/>
            </w:tcMar>
          </w:tcPr>
          <w:p>
            <w:pPr>
              <w:spacing w:after="0" w:line="252"/>
            </w:pPr>
            <w:r>
              <w:rPr>
                <w:b/>
                <w:bCs/>
                <w:color w:val="1E1B4B"/>
                <w:sz w:val="18"/>
                <w:szCs w:val="18"/>
              </w:rPr>
              <w:t xml:space="preserve">#</w:t>
            </w:r>
          </w:p>
        </w:tc>
        <w:tc>
          <w:tcPr>
            <w:tcW w:type="dxa" w:w="1700"/>
            <w:tcBorders>
              <w:top w:val="single" w:color="CBD5E1" w:sz="4"/>
              <w:left w:val="single" w:color="CBD5E1" w:sz="4"/>
              <w:bottom w:val="single" w:color="CBD5E1" w:sz="4"/>
              <w:right w:val="single" w:color="CBD5E1" w:sz="4"/>
            </w:tcBorders>
            <w:shd w:fill="E0E7FF" w:color="auto" w:val="clear"/>
            <w:tcMar>
              <w:top w:type="dxa" w:w="60"/>
              <w:left w:type="dxa" w:w="100"/>
              <w:bottom w:type="dxa" w:w="60"/>
              <w:right w:type="dxa" w:w="100"/>
            </w:tcMar>
          </w:tcPr>
          <w:p>
            <w:pPr>
              <w:spacing w:after="0" w:line="252"/>
            </w:pPr>
            <w:r>
              <w:rPr>
                <w:b/>
                <w:bCs/>
                <w:color w:val="1E1B4B"/>
                <w:sz w:val="18"/>
                <w:szCs w:val="18"/>
              </w:rPr>
              <w:t xml:space="preserve">Dimensión</w:t>
            </w:r>
          </w:p>
        </w:tc>
        <w:tc>
          <w:tcPr>
            <w:tcW w:type="dxa" w:w="700"/>
            <w:tcBorders>
              <w:top w:val="single" w:color="CBD5E1" w:sz="4"/>
              <w:left w:val="single" w:color="CBD5E1" w:sz="4"/>
              <w:bottom w:val="single" w:color="CBD5E1" w:sz="4"/>
              <w:right w:val="single" w:color="CBD5E1" w:sz="4"/>
            </w:tcBorders>
            <w:shd w:fill="E0E7FF" w:color="auto" w:val="clear"/>
            <w:tcMar>
              <w:top w:type="dxa" w:w="60"/>
              <w:left w:type="dxa" w:w="100"/>
              <w:bottom w:type="dxa" w:w="60"/>
              <w:right w:type="dxa" w:w="100"/>
            </w:tcMar>
          </w:tcPr>
          <w:p>
            <w:pPr>
              <w:spacing w:after="0" w:line="252"/>
            </w:pPr>
            <w:r>
              <w:rPr>
                <w:b/>
                <w:bCs/>
                <w:color w:val="1E1B4B"/>
                <w:sz w:val="18"/>
                <w:szCs w:val="18"/>
              </w:rPr>
              <w:t xml:space="preserve">Peso</w:t>
            </w:r>
          </w:p>
        </w:tc>
        <w:tc>
          <w:tcPr>
            <w:tcW w:type="dxa" w:w="2200"/>
            <w:tcBorders>
              <w:top w:val="single" w:color="CBD5E1" w:sz="4"/>
              <w:left w:val="single" w:color="CBD5E1" w:sz="4"/>
              <w:bottom w:val="single" w:color="CBD5E1" w:sz="4"/>
              <w:right w:val="single" w:color="CBD5E1" w:sz="4"/>
            </w:tcBorders>
            <w:shd w:fill="E0E7FF" w:color="auto" w:val="clear"/>
            <w:tcMar>
              <w:top w:type="dxa" w:w="60"/>
              <w:left w:type="dxa" w:w="100"/>
              <w:bottom w:type="dxa" w:w="60"/>
              <w:right w:type="dxa" w:w="100"/>
            </w:tcMar>
          </w:tcPr>
          <w:p>
            <w:pPr>
              <w:spacing w:after="0" w:line="252"/>
            </w:pPr>
            <w:r>
              <w:rPr>
                <w:b/>
                <w:bCs/>
                <w:color w:val="1E1B4B"/>
                <w:sz w:val="18"/>
                <w:szCs w:val="18"/>
              </w:rPr>
              <w:t xml:space="preserve">Fundamento (01/02)</w:t>
            </w:r>
          </w:p>
        </w:tc>
        <w:tc>
          <w:tcPr>
            <w:tcW w:type="dxa" w:w="3926"/>
            <w:tcBorders>
              <w:top w:val="single" w:color="CBD5E1" w:sz="4"/>
              <w:left w:val="single" w:color="CBD5E1" w:sz="4"/>
              <w:bottom w:val="single" w:color="CBD5E1" w:sz="4"/>
              <w:right w:val="single" w:color="CBD5E1" w:sz="4"/>
            </w:tcBorders>
            <w:shd w:fill="E0E7FF" w:color="auto" w:val="clear"/>
            <w:tcMar>
              <w:top w:type="dxa" w:w="60"/>
              <w:left w:type="dxa" w:w="100"/>
              <w:bottom w:type="dxa" w:w="60"/>
              <w:right w:type="dxa" w:w="100"/>
            </w:tcMar>
          </w:tcPr>
          <w:p>
            <w:pPr>
              <w:spacing w:after="0" w:line="252"/>
            </w:pPr>
            <w:r>
              <w:rPr>
                <w:b/>
                <w:bCs/>
                <w:color w:val="1E1B4B"/>
                <w:sz w:val="18"/>
                <w:szCs w:val="18"/>
              </w:rPr>
              <w:t xml:space="preserve">Qué se comprueba (ejemplos)</w:t>
            </w:r>
          </w:p>
        </w:tc>
      </w:tr>
      <w:tr>
        <w:trPr>
          <w:cantSplit/>
        </w:trPr>
        <w:tc>
          <w:tcPr>
            <w:tcW w:type="dxa" w:w="50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line="252"/>
            </w:pPr>
            <w:r>
              <w:rPr>
                <w:b w:val="false"/>
                <w:bCs w:val="false"/>
                <w:sz w:val="18"/>
                <w:szCs w:val="18"/>
              </w:rPr>
              <w:t xml:space="preserve">D1</w:t>
            </w:r>
          </w:p>
        </w:tc>
        <w:tc>
          <w:tcPr>
            <w:tcW w:type="dxa" w:w="170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line="252"/>
            </w:pPr>
            <w:r>
              <w:rPr>
                <w:b w:val="false"/>
                <w:bCs w:val="false"/>
                <w:sz w:val="18"/>
                <w:szCs w:val="18"/>
              </w:rPr>
              <w:t xml:space="preserve">Accesibilidad</w:t>
            </w:r>
          </w:p>
        </w:tc>
        <w:tc>
          <w:tcPr>
            <w:tcW w:type="dxa" w:w="70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line="252"/>
            </w:pPr>
            <w:r>
              <w:rPr>
                <w:b w:val="false"/>
                <w:bCs w:val="false"/>
                <w:sz w:val="18"/>
                <w:szCs w:val="18"/>
              </w:rPr>
              <w:t xml:space="preserve">25 %</w:t>
            </w:r>
          </w:p>
        </w:tc>
        <w:tc>
          <w:tcPr>
            <w:tcW w:type="dxa" w:w="220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line="252"/>
            </w:pPr>
            <w:r>
              <w:rPr>
                <w:b w:val="false"/>
                <w:bCs w:val="false"/>
                <w:sz w:val="18"/>
                <w:szCs w:val="18"/>
              </w:rPr>
              <w:t xml:space="preserve">WCAG 2.2 AA, EN 301 549, EAA</w:t>
            </w:r>
          </w:p>
        </w:tc>
        <w:tc>
          <w:tcPr>
            <w:tcW w:type="dxa" w:w="392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line="252"/>
            </w:pPr>
            <w:r>
              <w:rPr>
                <w:b w:val="false"/>
                <w:bCs w:val="false"/>
                <w:sz w:val="18"/>
                <w:szCs w:val="18"/>
              </w:rPr>
              <w:t xml:space="preserve">Contraste, texto alternativo útil, teclado real (orden, trampas, foco visible y no tapado), reflujo, espaciado de texto, letra del usuario al 200 %, alto contraste, modo oscuro, orientación, multimedia.</w:t>
            </w:r>
          </w:p>
        </w:tc>
      </w:tr>
      <w:tr>
        <w:trPr>
          <w:cantSplit/>
        </w:trPr>
        <w:tc>
          <w:tcPr>
            <w:tcW w:type="dxa" w:w="500"/>
            <w:tcBorders>
              <w:top w:val="single" w:color="CBD5E1" w:sz="4"/>
              <w:left w:val="single" w:color="CBD5E1" w:sz="4"/>
              <w:bottom w:val="single" w:color="CBD5E1" w:sz="4"/>
              <w:right w:val="single" w:color="CBD5E1" w:sz="4"/>
            </w:tcBorders>
            <w:shd w:fill="F5F7FF" w:color="auto" w:val="clear"/>
            <w:tcMar>
              <w:top w:type="dxa" w:w="60"/>
              <w:left w:type="dxa" w:w="100"/>
              <w:bottom w:type="dxa" w:w="60"/>
              <w:right w:type="dxa" w:w="100"/>
            </w:tcMar>
          </w:tcPr>
          <w:p>
            <w:pPr>
              <w:spacing w:after="0" w:line="252"/>
            </w:pPr>
            <w:r>
              <w:rPr>
                <w:b w:val="false"/>
                <w:bCs w:val="false"/>
                <w:sz w:val="18"/>
                <w:szCs w:val="18"/>
              </w:rPr>
              <w:t xml:space="preserve">D2</w:t>
            </w:r>
          </w:p>
        </w:tc>
        <w:tc>
          <w:tcPr>
            <w:tcW w:type="dxa" w:w="1700"/>
            <w:tcBorders>
              <w:top w:val="single" w:color="CBD5E1" w:sz="4"/>
              <w:left w:val="single" w:color="CBD5E1" w:sz="4"/>
              <w:bottom w:val="single" w:color="CBD5E1" w:sz="4"/>
              <w:right w:val="single" w:color="CBD5E1" w:sz="4"/>
            </w:tcBorders>
            <w:shd w:fill="F5F7FF" w:color="auto" w:val="clear"/>
            <w:tcMar>
              <w:top w:type="dxa" w:w="60"/>
              <w:left w:type="dxa" w:w="100"/>
              <w:bottom w:type="dxa" w:w="60"/>
              <w:right w:type="dxa" w:w="100"/>
            </w:tcMar>
          </w:tcPr>
          <w:p>
            <w:pPr>
              <w:spacing w:after="0" w:line="252"/>
            </w:pPr>
            <w:r>
              <w:rPr>
                <w:b w:val="false"/>
                <w:bCs w:val="false"/>
                <w:sz w:val="18"/>
                <w:szCs w:val="18"/>
              </w:rPr>
              <w:t xml:space="preserve">Usabilidad e interacción</w:t>
            </w:r>
          </w:p>
        </w:tc>
        <w:tc>
          <w:tcPr>
            <w:tcW w:type="dxa" w:w="700"/>
            <w:tcBorders>
              <w:top w:val="single" w:color="CBD5E1" w:sz="4"/>
              <w:left w:val="single" w:color="CBD5E1" w:sz="4"/>
              <w:bottom w:val="single" w:color="CBD5E1" w:sz="4"/>
              <w:right w:val="single" w:color="CBD5E1" w:sz="4"/>
            </w:tcBorders>
            <w:shd w:fill="F5F7FF" w:color="auto" w:val="clear"/>
            <w:tcMar>
              <w:top w:type="dxa" w:w="60"/>
              <w:left w:type="dxa" w:w="100"/>
              <w:bottom w:type="dxa" w:w="60"/>
              <w:right w:type="dxa" w:w="100"/>
            </w:tcMar>
          </w:tcPr>
          <w:p>
            <w:pPr>
              <w:spacing w:after="0" w:line="252"/>
            </w:pPr>
            <w:r>
              <w:rPr>
                <w:b w:val="false"/>
                <w:bCs w:val="false"/>
                <w:sz w:val="18"/>
                <w:szCs w:val="18"/>
              </w:rPr>
              <w:t xml:space="preserve">15 %</w:t>
            </w:r>
          </w:p>
        </w:tc>
        <w:tc>
          <w:tcPr>
            <w:tcW w:type="dxa" w:w="2200"/>
            <w:tcBorders>
              <w:top w:val="single" w:color="CBD5E1" w:sz="4"/>
              <w:left w:val="single" w:color="CBD5E1" w:sz="4"/>
              <w:bottom w:val="single" w:color="CBD5E1" w:sz="4"/>
              <w:right w:val="single" w:color="CBD5E1" w:sz="4"/>
            </w:tcBorders>
            <w:shd w:fill="F5F7FF" w:color="auto" w:val="clear"/>
            <w:tcMar>
              <w:top w:type="dxa" w:w="60"/>
              <w:left w:type="dxa" w:w="100"/>
              <w:bottom w:type="dxa" w:w="60"/>
              <w:right w:type="dxa" w:w="100"/>
            </w:tcMar>
          </w:tcPr>
          <w:p>
            <w:pPr>
              <w:spacing w:after="0" w:line="252"/>
            </w:pPr>
            <w:r>
              <w:rPr>
                <w:b w:val="false"/>
                <w:bCs w:val="false"/>
                <w:sz w:val="18"/>
                <w:szCs w:val="18"/>
              </w:rPr>
              <w:t xml:space="preserve">ISO 9241-110, Nielsen, Krug, leyes de Fitts y Hick</w:t>
            </w:r>
          </w:p>
        </w:tc>
        <w:tc>
          <w:tcPr>
            <w:tcW w:type="dxa" w:w="3926"/>
            <w:tcBorders>
              <w:top w:val="single" w:color="CBD5E1" w:sz="4"/>
              <w:left w:val="single" w:color="CBD5E1" w:sz="4"/>
              <w:bottom w:val="single" w:color="CBD5E1" w:sz="4"/>
              <w:right w:val="single" w:color="CBD5E1" w:sz="4"/>
            </w:tcBorders>
            <w:shd w:fill="F5F7FF" w:color="auto" w:val="clear"/>
            <w:tcMar>
              <w:top w:type="dxa" w:w="60"/>
              <w:left w:type="dxa" w:w="100"/>
              <w:bottom w:type="dxa" w:w="60"/>
              <w:right w:type="dxa" w:w="100"/>
            </w:tcMar>
          </w:tcPr>
          <w:p>
            <w:pPr>
              <w:spacing w:after="0" w:line="252"/>
            </w:pPr>
            <w:r>
              <w:rPr>
                <w:b w:val="false"/>
                <w:bCs w:val="false"/>
                <w:sz w:val="18"/>
                <w:szCs w:val="18"/>
              </w:rPr>
              <w:t xml:space="preserve">Objetivos táctiles ≥ 44 px, que lo clicable se vea clicable, una llamada a la acción principal, «No me hagas pensar», reserva de buena voluntad.</w:t>
            </w:r>
          </w:p>
        </w:tc>
      </w:tr>
      <w:tr>
        <w:trPr>
          <w:cantSplit/>
        </w:trPr>
        <w:tc>
          <w:tcPr>
            <w:tcW w:type="dxa" w:w="50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line="252"/>
            </w:pPr>
            <w:r>
              <w:rPr>
                <w:b w:val="false"/>
                <w:bCs w:val="false"/>
                <w:sz w:val="18"/>
                <w:szCs w:val="18"/>
              </w:rPr>
              <w:t xml:space="preserve">D3</w:t>
            </w:r>
          </w:p>
        </w:tc>
        <w:tc>
          <w:tcPr>
            <w:tcW w:type="dxa" w:w="170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line="252"/>
            </w:pPr>
            <w:r>
              <w:rPr>
                <w:b w:val="false"/>
                <w:bCs w:val="false"/>
                <w:sz w:val="18"/>
                <w:szCs w:val="18"/>
              </w:rPr>
              <w:t xml:space="preserve">Rendimiento percibido</w:t>
            </w:r>
          </w:p>
        </w:tc>
        <w:tc>
          <w:tcPr>
            <w:tcW w:type="dxa" w:w="70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line="252"/>
            </w:pPr>
            <w:r>
              <w:rPr>
                <w:b w:val="false"/>
                <w:bCs w:val="false"/>
                <w:sz w:val="18"/>
                <w:szCs w:val="18"/>
              </w:rPr>
              <w:t xml:space="preserve">15 %</w:t>
            </w:r>
          </w:p>
        </w:tc>
        <w:tc>
          <w:tcPr>
            <w:tcW w:type="dxa" w:w="220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line="252"/>
            </w:pPr>
            <w:r>
              <w:rPr>
                <w:b w:val="false"/>
                <w:bCs w:val="false"/>
                <w:sz w:val="18"/>
                <w:szCs w:val="18"/>
              </w:rPr>
              <w:t xml:space="preserve">Core Web Vitals, umbral de Doherty</w:t>
            </w:r>
          </w:p>
        </w:tc>
        <w:tc>
          <w:tcPr>
            <w:tcW w:type="dxa" w:w="392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line="252"/>
            </w:pPr>
            <w:r>
              <w:rPr>
                <w:b w:val="false"/>
                <w:bCs w:val="false"/>
                <w:sz w:val="18"/>
                <w:szCs w:val="18"/>
              </w:rPr>
              <w:t xml:space="preserve">LCP, CLS, TBT (aproximación de INP en laboratorio), peso, imágenes y fuentes.</w:t>
            </w:r>
          </w:p>
        </w:tc>
      </w:tr>
      <w:tr>
        <w:trPr>
          <w:cantSplit/>
        </w:trPr>
        <w:tc>
          <w:tcPr>
            <w:tcW w:type="dxa" w:w="500"/>
            <w:tcBorders>
              <w:top w:val="single" w:color="CBD5E1" w:sz="4"/>
              <w:left w:val="single" w:color="CBD5E1" w:sz="4"/>
              <w:bottom w:val="single" w:color="CBD5E1" w:sz="4"/>
              <w:right w:val="single" w:color="CBD5E1" w:sz="4"/>
            </w:tcBorders>
            <w:shd w:fill="F5F7FF" w:color="auto" w:val="clear"/>
            <w:tcMar>
              <w:top w:type="dxa" w:w="60"/>
              <w:left w:type="dxa" w:w="100"/>
              <w:bottom w:type="dxa" w:w="60"/>
              <w:right w:type="dxa" w:w="100"/>
            </w:tcMar>
          </w:tcPr>
          <w:p>
            <w:pPr>
              <w:spacing w:after="0" w:line="252"/>
            </w:pPr>
            <w:r>
              <w:rPr>
                <w:b w:val="false"/>
                <w:bCs w:val="false"/>
                <w:sz w:val="18"/>
                <w:szCs w:val="18"/>
              </w:rPr>
              <w:t xml:space="preserve">D4</w:t>
            </w:r>
          </w:p>
        </w:tc>
        <w:tc>
          <w:tcPr>
            <w:tcW w:type="dxa" w:w="1700"/>
            <w:tcBorders>
              <w:top w:val="single" w:color="CBD5E1" w:sz="4"/>
              <w:left w:val="single" w:color="CBD5E1" w:sz="4"/>
              <w:bottom w:val="single" w:color="CBD5E1" w:sz="4"/>
              <w:right w:val="single" w:color="CBD5E1" w:sz="4"/>
            </w:tcBorders>
            <w:shd w:fill="F5F7FF" w:color="auto" w:val="clear"/>
            <w:tcMar>
              <w:top w:type="dxa" w:w="60"/>
              <w:left w:type="dxa" w:w="100"/>
              <w:bottom w:type="dxa" w:w="60"/>
              <w:right w:type="dxa" w:w="100"/>
            </w:tcMar>
          </w:tcPr>
          <w:p>
            <w:pPr>
              <w:spacing w:after="0" w:line="252"/>
            </w:pPr>
            <w:r>
              <w:rPr>
                <w:b w:val="false"/>
                <w:bCs w:val="false"/>
                <w:sz w:val="18"/>
                <w:szCs w:val="18"/>
              </w:rPr>
              <w:t xml:space="preserve">Diseño visual y contenido</w:t>
            </w:r>
          </w:p>
        </w:tc>
        <w:tc>
          <w:tcPr>
            <w:tcW w:type="dxa" w:w="700"/>
            <w:tcBorders>
              <w:top w:val="single" w:color="CBD5E1" w:sz="4"/>
              <w:left w:val="single" w:color="CBD5E1" w:sz="4"/>
              <w:bottom w:val="single" w:color="CBD5E1" w:sz="4"/>
              <w:right w:val="single" w:color="CBD5E1" w:sz="4"/>
            </w:tcBorders>
            <w:shd w:fill="F5F7FF" w:color="auto" w:val="clear"/>
            <w:tcMar>
              <w:top w:type="dxa" w:w="60"/>
              <w:left w:type="dxa" w:w="100"/>
              <w:bottom w:type="dxa" w:w="60"/>
              <w:right w:type="dxa" w:w="100"/>
            </w:tcMar>
          </w:tcPr>
          <w:p>
            <w:pPr>
              <w:spacing w:after="0" w:line="252"/>
            </w:pPr>
            <w:r>
              <w:rPr>
                <w:b w:val="false"/>
                <w:bCs w:val="false"/>
                <w:sz w:val="18"/>
                <w:szCs w:val="18"/>
              </w:rPr>
              <w:t xml:space="preserve">10 %</w:t>
            </w:r>
          </w:p>
        </w:tc>
        <w:tc>
          <w:tcPr>
            <w:tcW w:type="dxa" w:w="2200"/>
            <w:tcBorders>
              <w:top w:val="single" w:color="CBD5E1" w:sz="4"/>
              <w:left w:val="single" w:color="CBD5E1" w:sz="4"/>
              <w:bottom w:val="single" w:color="CBD5E1" w:sz="4"/>
              <w:right w:val="single" w:color="CBD5E1" w:sz="4"/>
            </w:tcBorders>
            <w:shd w:fill="F5F7FF" w:color="auto" w:val="clear"/>
            <w:tcMar>
              <w:top w:type="dxa" w:w="60"/>
              <w:left w:type="dxa" w:w="100"/>
              <w:bottom w:type="dxa" w:w="60"/>
              <w:right w:type="dxa" w:w="100"/>
            </w:tcMar>
          </w:tcPr>
          <w:p>
            <w:pPr>
              <w:spacing w:after="0" w:line="252"/>
            </w:pPr>
            <w:r>
              <w:rPr>
                <w:b w:val="false"/>
                <w:bCs w:val="false"/>
                <w:sz w:val="18"/>
                <w:szCs w:val="18"/>
              </w:rPr>
              <w:t xml:space="preserve">Gestalt, Krug, ISO 24495-1, COGA</w:t>
            </w:r>
          </w:p>
        </w:tc>
        <w:tc>
          <w:tcPr>
            <w:tcW w:type="dxa" w:w="3926"/>
            <w:tcBorders>
              <w:top w:val="single" w:color="CBD5E1" w:sz="4"/>
              <w:left w:val="single" w:color="CBD5E1" w:sz="4"/>
              <w:bottom w:val="single" w:color="CBD5E1" w:sz="4"/>
              <w:right w:val="single" w:color="CBD5E1" w:sz="4"/>
            </w:tcBorders>
            <w:shd w:fill="F5F7FF" w:color="auto" w:val="clear"/>
            <w:tcMar>
              <w:top w:type="dxa" w:w="60"/>
              <w:left w:type="dxa" w:w="100"/>
              <w:bottom w:type="dxa" w:w="60"/>
              <w:right w:type="dxa" w:w="100"/>
            </w:tcMar>
          </w:tcPr>
          <w:p>
            <w:pPr>
              <w:spacing w:after="0" w:line="252"/>
            </w:pPr>
            <w:r>
              <w:rPr>
                <w:b w:val="false"/>
                <w:bCs w:val="false"/>
                <w:sz w:val="18"/>
                <w:szCs w:val="18"/>
              </w:rPr>
              <w:t xml:space="preserve">Tamaño de texto e interlineado, tamaños intermedios sin roturas, legibilidad, sin palabras innecesarias, sin texto justificado ni en mayúsculas.</w:t>
            </w:r>
          </w:p>
        </w:tc>
      </w:tr>
      <w:tr>
        <w:trPr>
          <w:cantSplit/>
        </w:trPr>
        <w:tc>
          <w:tcPr>
            <w:tcW w:type="dxa" w:w="50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line="252"/>
            </w:pPr>
            <w:r>
              <w:rPr>
                <w:b w:val="false"/>
                <w:bCs w:val="false"/>
                <w:sz w:val="18"/>
                <w:szCs w:val="18"/>
              </w:rPr>
              <w:t xml:space="preserve">D5</w:t>
            </w:r>
          </w:p>
        </w:tc>
        <w:tc>
          <w:tcPr>
            <w:tcW w:type="dxa" w:w="170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line="252"/>
            </w:pPr>
            <w:r>
              <w:rPr>
                <w:b w:val="false"/>
                <w:bCs w:val="false"/>
                <w:sz w:val="18"/>
                <w:szCs w:val="18"/>
              </w:rPr>
              <w:t xml:space="preserve">Formularios y feedback</w:t>
            </w:r>
          </w:p>
        </w:tc>
        <w:tc>
          <w:tcPr>
            <w:tcW w:type="dxa" w:w="70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line="252"/>
            </w:pPr>
            <w:r>
              <w:rPr>
                <w:b w:val="false"/>
                <w:bCs w:val="false"/>
                <w:sz w:val="18"/>
                <w:szCs w:val="18"/>
              </w:rPr>
              <w:t xml:space="preserve">10 %</w:t>
            </w:r>
          </w:p>
        </w:tc>
        <w:tc>
          <w:tcPr>
            <w:tcW w:type="dxa" w:w="220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line="252"/>
            </w:pPr>
            <w:r>
              <w:rPr>
                <w:b w:val="false"/>
                <w:bCs w:val="false"/>
                <w:sz w:val="18"/>
                <w:szCs w:val="18"/>
              </w:rPr>
              <w:t xml:space="preserve">Heurísticas 1, 5 y 9 de Nielsen; GOV.UK</w:t>
            </w:r>
          </w:p>
        </w:tc>
        <w:tc>
          <w:tcPr>
            <w:tcW w:type="dxa" w:w="392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line="252"/>
            </w:pPr>
            <w:r>
              <w:rPr>
                <w:b w:val="false"/>
                <w:bCs w:val="false"/>
                <w:sz w:val="18"/>
                <w:szCs w:val="18"/>
              </w:rPr>
              <w:t xml:space="preserve">Etiquetas visibles, campos obligatorios indicados, autocompletado, permitir pegar contraseñas, resumen de errores.</w:t>
            </w:r>
          </w:p>
        </w:tc>
      </w:tr>
      <w:tr>
        <w:trPr>
          <w:cantSplit/>
        </w:trPr>
        <w:tc>
          <w:tcPr>
            <w:tcW w:type="dxa" w:w="500"/>
            <w:tcBorders>
              <w:top w:val="single" w:color="CBD5E1" w:sz="4"/>
              <w:left w:val="single" w:color="CBD5E1" w:sz="4"/>
              <w:bottom w:val="single" w:color="CBD5E1" w:sz="4"/>
              <w:right w:val="single" w:color="CBD5E1" w:sz="4"/>
            </w:tcBorders>
            <w:shd w:fill="F5F7FF" w:color="auto" w:val="clear"/>
            <w:tcMar>
              <w:top w:type="dxa" w:w="60"/>
              <w:left w:type="dxa" w:w="100"/>
              <w:bottom w:type="dxa" w:w="60"/>
              <w:right w:type="dxa" w:w="100"/>
            </w:tcMar>
          </w:tcPr>
          <w:p>
            <w:pPr>
              <w:spacing w:after="0" w:line="252"/>
            </w:pPr>
            <w:r>
              <w:rPr>
                <w:b w:val="false"/>
                <w:bCs w:val="false"/>
                <w:sz w:val="18"/>
                <w:szCs w:val="18"/>
              </w:rPr>
              <w:t xml:space="preserve">D6</w:t>
            </w:r>
          </w:p>
        </w:tc>
        <w:tc>
          <w:tcPr>
            <w:tcW w:type="dxa" w:w="1700"/>
            <w:tcBorders>
              <w:top w:val="single" w:color="CBD5E1" w:sz="4"/>
              <w:left w:val="single" w:color="CBD5E1" w:sz="4"/>
              <w:bottom w:val="single" w:color="CBD5E1" w:sz="4"/>
              <w:right w:val="single" w:color="CBD5E1" w:sz="4"/>
            </w:tcBorders>
            <w:shd w:fill="F5F7FF" w:color="auto" w:val="clear"/>
            <w:tcMar>
              <w:top w:type="dxa" w:w="60"/>
              <w:left w:type="dxa" w:w="100"/>
              <w:bottom w:type="dxa" w:w="60"/>
              <w:right w:type="dxa" w:w="100"/>
            </w:tcMar>
          </w:tcPr>
          <w:p>
            <w:pPr>
              <w:spacing w:after="0" w:line="252"/>
            </w:pPr>
            <w:r>
              <w:rPr>
                <w:b w:val="false"/>
                <w:bCs w:val="false"/>
                <w:sz w:val="18"/>
                <w:szCs w:val="18"/>
              </w:rPr>
              <w:t xml:space="preserve">Navegación y arquitectura de la información</w:t>
            </w:r>
          </w:p>
        </w:tc>
        <w:tc>
          <w:tcPr>
            <w:tcW w:type="dxa" w:w="700"/>
            <w:tcBorders>
              <w:top w:val="single" w:color="CBD5E1" w:sz="4"/>
              <w:left w:val="single" w:color="CBD5E1" w:sz="4"/>
              <w:bottom w:val="single" w:color="CBD5E1" w:sz="4"/>
              <w:right w:val="single" w:color="CBD5E1" w:sz="4"/>
            </w:tcBorders>
            <w:shd w:fill="F5F7FF" w:color="auto" w:val="clear"/>
            <w:tcMar>
              <w:top w:type="dxa" w:w="60"/>
              <w:left w:type="dxa" w:w="100"/>
              <w:bottom w:type="dxa" w:w="60"/>
              <w:right w:type="dxa" w:w="100"/>
            </w:tcMar>
          </w:tcPr>
          <w:p>
            <w:pPr>
              <w:spacing w:after="0" w:line="252"/>
            </w:pPr>
            <w:r>
              <w:rPr>
                <w:b w:val="false"/>
                <w:bCs w:val="false"/>
                <w:sz w:val="18"/>
                <w:szCs w:val="18"/>
              </w:rPr>
              <w:t xml:space="preserve">10 %</w:t>
            </w:r>
          </w:p>
        </w:tc>
        <w:tc>
          <w:tcPr>
            <w:tcW w:type="dxa" w:w="2200"/>
            <w:tcBorders>
              <w:top w:val="single" w:color="CBD5E1" w:sz="4"/>
              <w:left w:val="single" w:color="CBD5E1" w:sz="4"/>
              <w:bottom w:val="single" w:color="CBD5E1" w:sz="4"/>
              <w:right w:val="single" w:color="CBD5E1" w:sz="4"/>
            </w:tcBorders>
            <w:shd w:fill="F5F7FF" w:color="auto" w:val="clear"/>
            <w:tcMar>
              <w:top w:type="dxa" w:w="60"/>
              <w:left w:type="dxa" w:w="100"/>
              <w:bottom w:type="dxa" w:w="60"/>
              <w:right w:type="dxa" w:w="100"/>
            </w:tcMar>
          </w:tcPr>
          <w:p>
            <w:pPr>
              <w:spacing w:after="0" w:line="252"/>
            </w:pPr>
            <w:r>
              <w:rPr>
                <w:b w:val="false"/>
                <w:bCs w:val="false"/>
                <w:sz w:val="18"/>
                <w:szCs w:val="18"/>
              </w:rPr>
              <w:t xml:space="preserve">Ley de Jakob, Krug (prueba del tronco), WCAG 3.2.3</w:t>
            </w:r>
          </w:p>
        </w:tc>
        <w:tc>
          <w:tcPr>
            <w:tcW w:type="dxa" w:w="3926"/>
            <w:tcBorders>
              <w:top w:val="single" w:color="CBD5E1" w:sz="4"/>
              <w:left w:val="single" w:color="CBD5E1" w:sz="4"/>
              <w:bottom w:val="single" w:color="CBD5E1" w:sz="4"/>
              <w:right w:val="single" w:color="CBD5E1" w:sz="4"/>
            </w:tcBorders>
            <w:shd w:fill="F5F7FF" w:color="auto" w:val="clear"/>
            <w:tcMar>
              <w:top w:type="dxa" w:w="60"/>
              <w:left w:type="dxa" w:w="100"/>
              <w:bottom w:type="dxa" w:w="60"/>
              <w:right w:type="dxa" w:w="100"/>
            </w:tcMar>
          </w:tcPr>
          <w:p>
            <w:pPr>
              <w:spacing w:after="0" w:line="252"/>
            </w:pPr>
            <w:r>
              <w:rPr>
                <w:b w:val="false"/>
                <w:bCs w:val="false"/>
                <w:sz w:val="18"/>
                <w:szCs w:val="18"/>
              </w:rPr>
              <w:t xml:space="preserve">Prueba del tronco, título, regiones, «saltar al contenido», texto de enlaces, menús ≤ 7, consistencia entre páginas.</w:t>
            </w:r>
          </w:p>
        </w:tc>
      </w:tr>
      <w:tr>
        <w:trPr>
          <w:cantSplit/>
        </w:trPr>
        <w:tc>
          <w:tcPr>
            <w:tcW w:type="dxa" w:w="50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line="252"/>
            </w:pPr>
            <w:r>
              <w:rPr>
                <w:b w:val="false"/>
                <w:bCs w:val="false"/>
                <w:sz w:val="18"/>
                <w:szCs w:val="18"/>
              </w:rPr>
              <w:t xml:space="preserve">D7</w:t>
            </w:r>
          </w:p>
        </w:tc>
        <w:tc>
          <w:tcPr>
            <w:tcW w:type="dxa" w:w="170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line="252"/>
            </w:pPr>
            <w:r>
              <w:rPr>
                <w:b w:val="false"/>
                <w:bCs w:val="false"/>
                <w:sz w:val="18"/>
                <w:szCs w:val="18"/>
              </w:rPr>
              <w:t xml:space="preserve">Satisfacción percibida (opcional)</w:t>
            </w:r>
          </w:p>
        </w:tc>
        <w:tc>
          <w:tcPr>
            <w:tcW w:type="dxa" w:w="70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line="252"/>
            </w:pPr>
            <w:r>
              <w:rPr>
                <w:b w:val="false"/>
                <w:bCs w:val="false"/>
                <w:sz w:val="18"/>
                <w:szCs w:val="18"/>
              </w:rPr>
              <w:t xml:space="preserve">5 %</w:t>
            </w:r>
          </w:p>
        </w:tc>
        <w:tc>
          <w:tcPr>
            <w:tcW w:type="dxa" w:w="220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line="252"/>
            </w:pPr>
            <w:r>
              <w:rPr>
                <w:b w:val="false"/>
                <w:bCs w:val="false"/>
                <w:sz w:val="18"/>
                <w:szCs w:val="18"/>
              </w:rPr>
              <w:t xml:space="preserve">SUS, ISO 9241-11</w:t>
            </w:r>
          </w:p>
        </w:tc>
        <w:tc>
          <w:tcPr>
            <w:tcW w:type="dxa" w:w="392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line="252"/>
            </w:pPr>
            <w:r>
              <w:rPr>
                <w:b w:val="false"/>
                <w:bCs w:val="false"/>
                <w:sz w:val="18"/>
                <w:szCs w:val="18"/>
              </w:rPr>
              <w:t xml:space="preserve">Puntuación SUS de una prueba con al menos 5 usuarios.</w:t>
            </w:r>
          </w:p>
        </w:tc>
      </w:tr>
      <w:tr>
        <w:trPr>
          <w:cantSplit/>
        </w:trPr>
        <w:tc>
          <w:tcPr>
            <w:tcW w:type="dxa" w:w="500"/>
            <w:tcBorders>
              <w:top w:val="single" w:color="CBD5E1" w:sz="4"/>
              <w:left w:val="single" w:color="CBD5E1" w:sz="4"/>
              <w:bottom w:val="single" w:color="CBD5E1" w:sz="4"/>
              <w:right w:val="single" w:color="CBD5E1" w:sz="4"/>
            </w:tcBorders>
            <w:shd w:fill="F5F7FF" w:color="auto" w:val="clear"/>
            <w:tcMar>
              <w:top w:type="dxa" w:w="60"/>
              <w:left w:type="dxa" w:w="100"/>
              <w:bottom w:type="dxa" w:w="60"/>
              <w:right w:type="dxa" w:w="100"/>
            </w:tcMar>
          </w:tcPr>
          <w:p>
            <w:pPr>
              <w:spacing w:after="0" w:line="252"/>
            </w:pPr>
            <w:r>
              <w:rPr>
                <w:b w:val="false"/>
                <w:bCs w:val="false"/>
                <w:sz w:val="18"/>
                <w:szCs w:val="18"/>
              </w:rPr>
              <w:t xml:space="preserve">D8</w:t>
            </w:r>
          </w:p>
        </w:tc>
        <w:tc>
          <w:tcPr>
            <w:tcW w:type="dxa" w:w="1700"/>
            <w:tcBorders>
              <w:top w:val="single" w:color="CBD5E1" w:sz="4"/>
              <w:left w:val="single" w:color="CBD5E1" w:sz="4"/>
              <w:bottom w:val="single" w:color="CBD5E1" w:sz="4"/>
              <w:right w:val="single" w:color="CBD5E1" w:sz="4"/>
            </w:tcBorders>
            <w:shd w:fill="F5F7FF" w:color="auto" w:val="clear"/>
            <w:tcMar>
              <w:top w:type="dxa" w:w="60"/>
              <w:left w:type="dxa" w:w="100"/>
              <w:bottom w:type="dxa" w:w="60"/>
              <w:right w:type="dxa" w:w="100"/>
            </w:tcMar>
          </w:tcPr>
          <w:p>
            <w:pPr>
              <w:spacing w:after="0" w:line="252"/>
            </w:pPr>
            <w:r>
              <w:rPr>
                <w:b w:val="false"/>
                <w:bCs w:val="false"/>
                <w:sz w:val="18"/>
                <w:szCs w:val="18"/>
              </w:rPr>
              <w:t xml:space="preserve">Ética, privacidad y sostenibilidad</w:t>
            </w:r>
          </w:p>
        </w:tc>
        <w:tc>
          <w:tcPr>
            <w:tcW w:type="dxa" w:w="700"/>
            <w:tcBorders>
              <w:top w:val="single" w:color="CBD5E1" w:sz="4"/>
              <w:left w:val="single" w:color="CBD5E1" w:sz="4"/>
              <w:bottom w:val="single" w:color="CBD5E1" w:sz="4"/>
              <w:right w:val="single" w:color="CBD5E1" w:sz="4"/>
            </w:tcBorders>
            <w:shd w:fill="F5F7FF" w:color="auto" w:val="clear"/>
            <w:tcMar>
              <w:top w:type="dxa" w:w="60"/>
              <w:left w:type="dxa" w:w="100"/>
              <w:bottom w:type="dxa" w:w="60"/>
              <w:right w:type="dxa" w:w="100"/>
            </w:tcMar>
          </w:tcPr>
          <w:p>
            <w:pPr>
              <w:spacing w:after="0" w:line="252"/>
            </w:pPr>
            <w:r>
              <w:rPr>
                <w:b w:val="false"/>
                <w:bCs w:val="false"/>
                <w:sz w:val="18"/>
                <w:szCs w:val="18"/>
              </w:rPr>
              <w:t xml:space="preserve">10 %</w:t>
            </w:r>
          </w:p>
        </w:tc>
        <w:tc>
          <w:tcPr>
            <w:tcW w:type="dxa" w:w="2200"/>
            <w:tcBorders>
              <w:top w:val="single" w:color="CBD5E1" w:sz="4"/>
              <w:left w:val="single" w:color="CBD5E1" w:sz="4"/>
              <w:bottom w:val="single" w:color="CBD5E1" w:sz="4"/>
              <w:right w:val="single" w:color="CBD5E1" w:sz="4"/>
            </w:tcBorders>
            <w:shd w:fill="F5F7FF" w:color="auto" w:val="clear"/>
            <w:tcMar>
              <w:top w:type="dxa" w:w="60"/>
              <w:left w:type="dxa" w:w="100"/>
              <w:bottom w:type="dxa" w:w="60"/>
              <w:right w:type="dxa" w:w="100"/>
            </w:tcMar>
          </w:tcPr>
          <w:p>
            <w:pPr>
              <w:spacing w:after="0" w:line="252"/>
            </w:pPr>
            <w:r>
              <w:rPr>
                <w:b w:val="false"/>
                <w:bCs w:val="false"/>
                <w:sz w:val="18"/>
                <w:szCs w:val="18"/>
              </w:rPr>
              <w:t xml:space="preserve">RGPD, Guía de cookies AEPD, DSA art. 25, Reglamento de IA, W3C WSG</w:t>
            </w:r>
          </w:p>
        </w:tc>
        <w:tc>
          <w:tcPr>
            <w:tcW w:type="dxa" w:w="3926"/>
            <w:tcBorders>
              <w:top w:val="single" w:color="CBD5E1" w:sz="4"/>
              <w:left w:val="single" w:color="CBD5E1" w:sz="4"/>
              <w:bottom w:val="single" w:color="CBD5E1" w:sz="4"/>
              <w:right w:val="single" w:color="CBD5E1" w:sz="4"/>
            </w:tcBorders>
            <w:shd w:fill="F5F7FF" w:color="auto" w:val="clear"/>
            <w:tcMar>
              <w:top w:type="dxa" w:w="60"/>
              <w:left w:type="dxa" w:w="100"/>
              <w:bottom w:type="dxa" w:w="60"/>
              <w:right w:type="dxa" w:w="100"/>
            </w:tcMar>
          </w:tcPr>
          <w:p>
            <w:pPr>
              <w:spacing w:after="0" w:line="252"/>
            </w:pPr>
            <w:r>
              <w:rPr>
                <w:b w:val="false"/>
                <w:bCs w:val="false"/>
                <w:sz w:val="18"/>
                <w:szCs w:val="18"/>
              </w:rPr>
              <w:t xml:space="preserve">Rechazar cookies tan fácil como aceptarlas, sin rastreo previo, sin casillas premarcadas, sin confirmshaming ni urgencia falsa, costes visibles, baja fácil, CO2 por visita.</w:t>
            </w:r>
          </w:p>
        </w:tc>
      </w:tr>
    </w:tbl>
    <w:p>
      <w:pPr>
        <w:spacing w:after="200" w:before="60"/>
        <w:jc w:val="center"/>
      </w:pPr>
      <w:r>
        <w:rPr>
          <w:i/>
          <w:iCs/>
          <w:color w:val="475569"/>
          <w:sz w:val="18"/>
          <w:szCs w:val="18"/>
        </w:rPr>
        <w:t xml:space="preserve">Tabla 6. Dimensiones del Índice IUX (versión 2).</w:t>
      </w:r>
    </w:p>
    <w:p>
      <w:pPr>
        <w:pStyle w:val="Heading2"/>
      </w:pPr>
      <w:r>
        <w:t xml:space="preserve">3.2 Cálculo de cada dimensión</w:t>
      </w:r>
    </w:p>
    <w:p>
      <w:pPr>
        <w:spacing w:after="120" w:line="276"/>
      </w:pPr>
      <w:r>
        <w:t xml:space="preserve">Cada dimensión contiene una lista de </w:t>
      </w:r>
      <w:r>
        <w:rPr>
          <w:b/>
          <w:bCs/>
        </w:rPr>
        <w:t xml:space="preserve">comprobaciones</w:t>
      </w:r>
      <w:r>
        <w:t xml:space="preserve"> (reglas). Cada regla tiene una </w:t>
      </w:r>
      <w:r>
        <w:rPr>
          <w:b/>
          <w:bCs/>
        </w:rPr>
        <w:t xml:space="preserve">severidad</w:t>
      </w:r>
      <w:r>
        <w:t xml:space="preserve"> que fija su peso, tomada de la clasificación de la base de datos de UI UX Pro Max:</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1200"/>
        <w:gridCol w:w="6026"/>
      </w:tblGrid>
      <w:tr>
        <w:trPr>
          <w:tblHeader/>
        </w:trPr>
        <w:tc>
          <w:tcPr>
            <w:tcW w:type="dxa" w:w="1800"/>
            <w:tcBorders>
              <w:top w:val="single" w:color="CBD5E1" w:sz="4"/>
              <w:left w:val="single" w:color="CBD5E1" w:sz="4"/>
              <w:bottom w:val="single" w:color="CBD5E1" w:sz="4"/>
              <w:right w:val="single" w:color="CBD5E1" w:sz="4"/>
            </w:tcBorders>
            <w:shd w:fill="E0E7FF" w:color="auto" w:val="clear"/>
            <w:tcMar>
              <w:top w:type="dxa" w:w="60"/>
              <w:left w:type="dxa" w:w="100"/>
              <w:bottom w:type="dxa" w:w="60"/>
              <w:right w:type="dxa" w:w="100"/>
            </w:tcMar>
          </w:tcPr>
          <w:p>
            <w:pPr>
              <w:spacing w:after="0" w:line="252"/>
            </w:pPr>
            <w:r>
              <w:rPr>
                <w:b/>
                <w:bCs/>
                <w:color w:val="1E1B4B"/>
                <w:sz w:val="18"/>
                <w:szCs w:val="18"/>
              </w:rPr>
              <w:t xml:space="preserve">Severidad</w:t>
            </w:r>
          </w:p>
        </w:tc>
        <w:tc>
          <w:tcPr>
            <w:tcW w:type="dxa" w:w="1200"/>
            <w:tcBorders>
              <w:top w:val="single" w:color="CBD5E1" w:sz="4"/>
              <w:left w:val="single" w:color="CBD5E1" w:sz="4"/>
              <w:bottom w:val="single" w:color="CBD5E1" w:sz="4"/>
              <w:right w:val="single" w:color="CBD5E1" w:sz="4"/>
            </w:tcBorders>
            <w:shd w:fill="E0E7FF" w:color="auto" w:val="clear"/>
            <w:tcMar>
              <w:top w:type="dxa" w:w="60"/>
              <w:left w:type="dxa" w:w="100"/>
              <w:bottom w:type="dxa" w:w="60"/>
              <w:right w:type="dxa" w:w="100"/>
            </w:tcMar>
          </w:tcPr>
          <w:p>
            <w:pPr>
              <w:spacing w:after="0" w:line="252"/>
            </w:pPr>
            <w:r>
              <w:rPr>
                <w:b/>
                <w:bCs/>
                <w:color w:val="1E1B4B"/>
                <w:sz w:val="18"/>
                <w:szCs w:val="18"/>
              </w:rPr>
              <w:t xml:space="preserve">Peso w</w:t>
            </w:r>
          </w:p>
        </w:tc>
        <w:tc>
          <w:tcPr>
            <w:tcW w:type="dxa" w:w="6026"/>
            <w:tcBorders>
              <w:top w:val="single" w:color="CBD5E1" w:sz="4"/>
              <w:left w:val="single" w:color="CBD5E1" w:sz="4"/>
              <w:bottom w:val="single" w:color="CBD5E1" w:sz="4"/>
              <w:right w:val="single" w:color="CBD5E1" w:sz="4"/>
            </w:tcBorders>
            <w:shd w:fill="E0E7FF" w:color="auto" w:val="clear"/>
            <w:tcMar>
              <w:top w:type="dxa" w:w="60"/>
              <w:left w:type="dxa" w:w="100"/>
              <w:bottom w:type="dxa" w:w="60"/>
              <w:right w:type="dxa" w:w="100"/>
            </w:tcMar>
          </w:tcPr>
          <w:p>
            <w:pPr>
              <w:spacing w:after="0" w:line="252"/>
            </w:pPr>
            <w:r>
              <w:rPr>
                <w:b/>
                <w:bCs/>
                <w:color w:val="1E1B4B"/>
                <w:sz w:val="18"/>
                <w:szCs w:val="18"/>
              </w:rPr>
              <w:t xml:space="preserve">Significado</w:t>
            </w:r>
          </w:p>
        </w:tc>
      </w:tr>
      <w:tr>
        <w:trPr>
          <w:cantSplit/>
        </w:trPr>
        <w:tc>
          <w:tcPr>
            <w:tcW w:type="dxa" w:w="180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line="252"/>
            </w:pPr>
            <w:r>
              <w:rPr>
                <w:b w:val="false"/>
                <w:bCs w:val="false"/>
                <w:sz w:val="18"/>
                <w:szCs w:val="18"/>
              </w:rPr>
              <w:t xml:space="preserve">Crítica</w:t>
            </w:r>
          </w:p>
        </w:tc>
        <w:tc>
          <w:tcPr>
            <w:tcW w:type="dxa" w:w="120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line="252"/>
            </w:pPr>
            <w:r>
              <w:rPr>
                <w:b w:val="false"/>
                <w:bCs w:val="false"/>
                <w:sz w:val="18"/>
                <w:szCs w:val="18"/>
              </w:rPr>
              <w:t xml:space="preserve">4</w:t>
            </w:r>
          </w:p>
        </w:tc>
        <w:tc>
          <w:tcPr>
            <w:tcW w:type="dxa" w:w="602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line="252"/>
            </w:pPr>
            <w:r>
              <w:rPr>
                <w:b w:val="false"/>
                <w:bCs w:val="false"/>
                <w:sz w:val="18"/>
                <w:szCs w:val="18"/>
              </w:rPr>
              <w:t xml:space="preserve">Impide completar una tarea o excluye a un grupo de usuarios.</w:t>
            </w:r>
          </w:p>
        </w:tc>
      </w:tr>
      <w:tr>
        <w:trPr>
          <w:cantSplit/>
        </w:trPr>
        <w:tc>
          <w:tcPr>
            <w:tcW w:type="dxa" w:w="1800"/>
            <w:tcBorders>
              <w:top w:val="single" w:color="CBD5E1" w:sz="4"/>
              <w:left w:val="single" w:color="CBD5E1" w:sz="4"/>
              <w:bottom w:val="single" w:color="CBD5E1" w:sz="4"/>
              <w:right w:val="single" w:color="CBD5E1" w:sz="4"/>
            </w:tcBorders>
            <w:shd w:fill="F5F7FF" w:color="auto" w:val="clear"/>
            <w:tcMar>
              <w:top w:type="dxa" w:w="60"/>
              <w:left w:type="dxa" w:w="100"/>
              <w:bottom w:type="dxa" w:w="60"/>
              <w:right w:type="dxa" w:w="100"/>
            </w:tcMar>
          </w:tcPr>
          <w:p>
            <w:pPr>
              <w:spacing w:after="0" w:line="252"/>
            </w:pPr>
            <w:r>
              <w:rPr>
                <w:b w:val="false"/>
                <w:bCs w:val="false"/>
                <w:sz w:val="18"/>
                <w:szCs w:val="18"/>
              </w:rPr>
              <w:t xml:space="preserve">Alta</w:t>
            </w:r>
          </w:p>
        </w:tc>
        <w:tc>
          <w:tcPr>
            <w:tcW w:type="dxa" w:w="1200"/>
            <w:tcBorders>
              <w:top w:val="single" w:color="CBD5E1" w:sz="4"/>
              <w:left w:val="single" w:color="CBD5E1" w:sz="4"/>
              <w:bottom w:val="single" w:color="CBD5E1" w:sz="4"/>
              <w:right w:val="single" w:color="CBD5E1" w:sz="4"/>
            </w:tcBorders>
            <w:shd w:fill="F5F7FF" w:color="auto" w:val="clear"/>
            <w:tcMar>
              <w:top w:type="dxa" w:w="60"/>
              <w:left w:type="dxa" w:w="100"/>
              <w:bottom w:type="dxa" w:w="60"/>
              <w:right w:type="dxa" w:w="100"/>
            </w:tcMar>
          </w:tcPr>
          <w:p>
            <w:pPr>
              <w:spacing w:after="0" w:line="252"/>
            </w:pPr>
            <w:r>
              <w:rPr>
                <w:b w:val="false"/>
                <w:bCs w:val="false"/>
                <w:sz w:val="18"/>
                <w:szCs w:val="18"/>
              </w:rPr>
              <w:t xml:space="preserve">3</w:t>
            </w:r>
          </w:p>
        </w:tc>
        <w:tc>
          <w:tcPr>
            <w:tcW w:type="dxa" w:w="6026"/>
            <w:tcBorders>
              <w:top w:val="single" w:color="CBD5E1" w:sz="4"/>
              <w:left w:val="single" w:color="CBD5E1" w:sz="4"/>
              <w:bottom w:val="single" w:color="CBD5E1" w:sz="4"/>
              <w:right w:val="single" w:color="CBD5E1" w:sz="4"/>
            </w:tcBorders>
            <w:shd w:fill="F5F7FF" w:color="auto" w:val="clear"/>
            <w:tcMar>
              <w:top w:type="dxa" w:w="60"/>
              <w:left w:type="dxa" w:w="100"/>
              <w:bottom w:type="dxa" w:w="60"/>
              <w:right w:type="dxa" w:w="100"/>
            </w:tcMar>
          </w:tcPr>
          <w:p>
            <w:pPr>
              <w:spacing w:after="0" w:line="252"/>
            </w:pPr>
            <w:r>
              <w:rPr>
                <w:b w:val="false"/>
                <w:bCs w:val="false"/>
                <w:sz w:val="18"/>
                <w:szCs w:val="18"/>
              </w:rPr>
              <w:t xml:space="preserve">Dificulta seriamente la tarea o incumple WCAG AA.</w:t>
            </w:r>
          </w:p>
        </w:tc>
      </w:tr>
      <w:tr>
        <w:trPr>
          <w:cantSplit/>
        </w:trPr>
        <w:tc>
          <w:tcPr>
            <w:tcW w:type="dxa" w:w="180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line="252"/>
            </w:pPr>
            <w:r>
              <w:rPr>
                <w:b w:val="false"/>
                <w:bCs w:val="false"/>
                <w:sz w:val="18"/>
                <w:szCs w:val="18"/>
              </w:rPr>
              <w:t xml:space="preserve">Media</w:t>
            </w:r>
          </w:p>
        </w:tc>
        <w:tc>
          <w:tcPr>
            <w:tcW w:type="dxa" w:w="120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line="252"/>
            </w:pPr>
            <w:r>
              <w:rPr>
                <w:b w:val="false"/>
                <w:bCs w:val="false"/>
                <w:sz w:val="18"/>
                <w:szCs w:val="18"/>
              </w:rPr>
              <w:t xml:space="preserve">2</w:t>
            </w:r>
          </w:p>
        </w:tc>
        <w:tc>
          <w:tcPr>
            <w:tcW w:type="dxa" w:w="602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line="252"/>
            </w:pPr>
            <w:r>
              <w:rPr>
                <w:b w:val="false"/>
                <w:bCs w:val="false"/>
                <w:sz w:val="18"/>
                <w:szCs w:val="18"/>
              </w:rPr>
              <w:t xml:space="preserve">Molestia evidente, el usuario la supera con esfuerzo.</w:t>
            </w:r>
          </w:p>
        </w:tc>
      </w:tr>
      <w:tr>
        <w:trPr>
          <w:cantSplit/>
        </w:trPr>
        <w:tc>
          <w:tcPr>
            <w:tcW w:type="dxa" w:w="1800"/>
            <w:tcBorders>
              <w:top w:val="single" w:color="CBD5E1" w:sz="4"/>
              <w:left w:val="single" w:color="CBD5E1" w:sz="4"/>
              <w:bottom w:val="single" w:color="CBD5E1" w:sz="4"/>
              <w:right w:val="single" w:color="CBD5E1" w:sz="4"/>
            </w:tcBorders>
            <w:shd w:fill="F5F7FF" w:color="auto" w:val="clear"/>
            <w:tcMar>
              <w:top w:type="dxa" w:w="60"/>
              <w:left w:type="dxa" w:w="100"/>
              <w:bottom w:type="dxa" w:w="60"/>
              <w:right w:type="dxa" w:w="100"/>
            </w:tcMar>
          </w:tcPr>
          <w:p>
            <w:pPr>
              <w:spacing w:after="0" w:line="252"/>
            </w:pPr>
            <w:r>
              <w:rPr>
                <w:b w:val="false"/>
                <w:bCs w:val="false"/>
                <w:sz w:val="18"/>
                <w:szCs w:val="18"/>
              </w:rPr>
              <w:t xml:space="preserve">Baja</w:t>
            </w:r>
          </w:p>
        </w:tc>
        <w:tc>
          <w:tcPr>
            <w:tcW w:type="dxa" w:w="1200"/>
            <w:tcBorders>
              <w:top w:val="single" w:color="CBD5E1" w:sz="4"/>
              <w:left w:val="single" w:color="CBD5E1" w:sz="4"/>
              <w:bottom w:val="single" w:color="CBD5E1" w:sz="4"/>
              <w:right w:val="single" w:color="CBD5E1" w:sz="4"/>
            </w:tcBorders>
            <w:shd w:fill="F5F7FF" w:color="auto" w:val="clear"/>
            <w:tcMar>
              <w:top w:type="dxa" w:w="60"/>
              <w:left w:type="dxa" w:w="100"/>
              <w:bottom w:type="dxa" w:w="60"/>
              <w:right w:type="dxa" w:w="100"/>
            </w:tcMar>
          </w:tcPr>
          <w:p>
            <w:pPr>
              <w:spacing w:after="0" w:line="252"/>
            </w:pPr>
            <w:r>
              <w:rPr>
                <w:b w:val="false"/>
                <w:bCs w:val="false"/>
                <w:sz w:val="18"/>
                <w:szCs w:val="18"/>
              </w:rPr>
              <w:t xml:space="preserve">1</w:t>
            </w:r>
          </w:p>
        </w:tc>
        <w:tc>
          <w:tcPr>
            <w:tcW w:type="dxa" w:w="6026"/>
            <w:tcBorders>
              <w:top w:val="single" w:color="CBD5E1" w:sz="4"/>
              <w:left w:val="single" w:color="CBD5E1" w:sz="4"/>
              <w:bottom w:val="single" w:color="CBD5E1" w:sz="4"/>
              <w:right w:val="single" w:color="CBD5E1" w:sz="4"/>
            </w:tcBorders>
            <w:shd w:fill="F5F7FF" w:color="auto" w:val="clear"/>
            <w:tcMar>
              <w:top w:type="dxa" w:w="60"/>
              <w:left w:type="dxa" w:w="100"/>
              <w:bottom w:type="dxa" w:w="60"/>
              <w:right w:type="dxa" w:w="100"/>
            </w:tcMar>
          </w:tcPr>
          <w:p>
            <w:pPr>
              <w:spacing w:after="0" w:line="252"/>
            </w:pPr>
            <w:r>
              <w:rPr>
                <w:b w:val="false"/>
                <w:bCs w:val="false"/>
                <w:sz w:val="18"/>
                <w:szCs w:val="18"/>
              </w:rPr>
              <w:t xml:space="preserve">Detalle de calidad o de pulido.</w:t>
            </w:r>
          </w:p>
        </w:tc>
      </w:tr>
    </w:tbl>
    <w:p>
      <w:pPr>
        <w:spacing w:after="120"/>
      </w:pPr>
    </w:p>
    <w:p>
      <w:pPr>
        <w:spacing w:after="120" w:line="276"/>
      </w:pPr>
      <w:r>
        <w:t xml:space="preserve">Cada regla se evalúa como </w:t>
      </w:r>
      <w:r>
        <w:rPr>
          <w:b/>
          <w:bCs/>
        </w:rPr>
        <w:t xml:space="preserve">Cumple (1)</w:t>
      </w:r>
      <w:r>
        <w:t xml:space="preserve">, </w:t>
      </w:r>
      <w:r>
        <w:rPr>
          <w:b/>
          <w:bCs/>
        </w:rPr>
        <w:t xml:space="preserve">Cumple parcialmente (0,5)</w:t>
      </w:r>
      <w:r>
        <w:t xml:space="preserve">, </w:t>
      </w:r>
      <w:r>
        <w:rPr>
          <w:b/>
          <w:bCs/>
        </w:rPr>
        <w:t xml:space="preserve">No cumple (0)</w:t>
      </w:r>
      <w:r>
        <w:t xml:space="preserve"> o </w:t>
      </w:r>
      <w:r>
        <w:rPr>
          <w:b/>
          <w:bCs/>
        </w:rPr>
        <w:t xml:space="preserve">No aplica</w:t>
      </w:r>
      <w:r>
        <w:t xml:space="preserve"> (se excluye del cálculo). En las reglas que cuentan elementos, «parcial» exige que al menos el </w:t>
      </w:r>
      <w:r>
        <w:rPr>
          <w:b/>
          <w:bCs/>
        </w:rPr>
        <w:t xml:space="preserve">90 %</w:t>
      </w:r>
      <w:r>
        <w:t xml:space="preserve"> de los elementos sean correctos (el </w:t>
      </w:r>
      <w:r>
        <w:rPr>
          <w:b/>
          <w:bCs/>
        </w:rPr>
        <w:t xml:space="preserve">95 %</w:t>
      </w:r>
      <w:r>
        <w:t xml:space="preserve"> en modo estricto). La nota de la dimensión es:</w:t>
      </w:r>
    </w:p>
    <w:p>
      <w:pPr>
        <w:shd w:fill="F1F5F9" w:color="auto" w:val="clear"/>
        <w:spacing w:after="160" w:line="240"/>
        <w:ind w:left="200" w:right="200"/>
      </w:pPr>
      <w:r>
        <w:rPr>
          <w:rFonts w:ascii="Consolas" w:cs="Consolas" w:eastAsia="Consolas" w:hAnsi="Consolas"/>
          <w:color w:val="0F172A"/>
          <w:sz w:val="17"/>
          <w:szCs w:val="17"/>
        </w:rPr>
        <w:t xml:space="preserve">Nota(Dk) = 10 × Σ (wᵢ × resultadoᵢ) / Σ wᵢ        (solo reglas aplicables)</w:t>
      </w:r>
    </w:p>
    <w:p>
      <w:pPr>
        <w:spacing w:after="120" w:line="276"/>
      </w:pPr>
      <w:r>
        <w:rPr>
          <w:b/>
          <w:bCs/>
        </w:rPr>
        <w:t xml:space="preserve">Reglas de métrica:</w:t>
      </w:r>
      <w:r>
        <w:t xml:space="preserve"> se puntúan con una escala continua por tramos (interpolación lineal entre 10, 5 y 0 puntos). El modo estricto exige más. Por ejemplo, el «bueno» de Google solo da 5 puntos: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900"/>
        <w:gridCol w:w="3063"/>
        <w:gridCol w:w="3063"/>
      </w:tblGrid>
      <w:tr>
        <w:trPr>
          <w:tblHeader/>
        </w:trPr>
        <w:tc>
          <w:tcPr>
            <w:tcW w:type="dxa" w:w="2900"/>
            <w:tcBorders>
              <w:top w:val="single" w:color="CBD5E1" w:sz="4"/>
              <w:left w:val="single" w:color="CBD5E1" w:sz="4"/>
              <w:bottom w:val="single" w:color="CBD5E1" w:sz="4"/>
              <w:right w:val="single" w:color="CBD5E1" w:sz="4"/>
            </w:tcBorders>
            <w:shd w:fill="E0E7FF" w:color="auto" w:val="clear"/>
            <w:tcMar>
              <w:top w:type="dxa" w:w="60"/>
              <w:left w:type="dxa" w:w="100"/>
              <w:bottom w:type="dxa" w:w="60"/>
              <w:right w:type="dxa" w:w="100"/>
            </w:tcMar>
          </w:tcPr>
          <w:p>
            <w:pPr>
              <w:spacing w:after="0" w:line="252"/>
            </w:pPr>
            <w:r>
              <w:rPr>
                <w:b/>
                <w:bCs/>
                <w:color w:val="1E1B4B"/>
                <w:sz w:val="18"/>
                <w:szCs w:val="18"/>
              </w:rPr>
              <w:t xml:space="preserve">Métrica</w:t>
            </w:r>
          </w:p>
        </w:tc>
        <w:tc>
          <w:tcPr>
            <w:tcW w:type="dxa" w:w="3063"/>
            <w:tcBorders>
              <w:top w:val="single" w:color="CBD5E1" w:sz="4"/>
              <w:left w:val="single" w:color="CBD5E1" w:sz="4"/>
              <w:bottom w:val="single" w:color="CBD5E1" w:sz="4"/>
              <w:right w:val="single" w:color="CBD5E1" w:sz="4"/>
            </w:tcBorders>
            <w:shd w:fill="E0E7FF" w:color="auto" w:val="clear"/>
            <w:tcMar>
              <w:top w:type="dxa" w:w="60"/>
              <w:left w:type="dxa" w:w="100"/>
              <w:bottom w:type="dxa" w:w="60"/>
              <w:right w:type="dxa" w:w="100"/>
            </w:tcMar>
          </w:tcPr>
          <w:p>
            <w:pPr>
              <w:spacing w:after="0" w:line="252"/>
            </w:pPr>
            <w:r>
              <w:rPr>
                <w:b/>
                <w:bCs/>
                <w:color w:val="1E1B4B"/>
                <w:sz w:val="18"/>
                <w:szCs w:val="18"/>
              </w:rPr>
              <w:t xml:space="preserve">Estándar: 10 · 5 · 0 puntos</w:t>
            </w:r>
          </w:p>
        </w:tc>
        <w:tc>
          <w:tcPr>
            <w:tcW w:type="dxa" w:w="3063"/>
            <w:tcBorders>
              <w:top w:val="single" w:color="CBD5E1" w:sz="4"/>
              <w:left w:val="single" w:color="CBD5E1" w:sz="4"/>
              <w:bottom w:val="single" w:color="CBD5E1" w:sz="4"/>
              <w:right w:val="single" w:color="CBD5E1" w:sz="4"/>
            </w:tcBorders>
            <w:shd w:fill="E0E7FF" w:color="auto" w:val="clear"/>
            <w:tcMar>
              <w:top w:type="dxa" w:w="60"/>
              <w:left w:type="dxa" w:w="100"/>
              <w:bottom w:type="dxa" w:w="60"/>
              <w:right w:type="dxa" w:w="100"/>
            </w:tcMar>
          </w:tcPr>
          <w:p>
            <w:pPr>
              <w:spacing w:after="0" w:line="252"/>
            </w:pPr>
            <w:r>
              <w:rPr>
                <w:b/>
                <w:bCs/>
                <w:color w:val="1E1B4B"/>
                <w:sz w:val="18"/>
                <w:szCs w:val="18"/>
              </w:rPr>
              <w:t xml:space="preserve">Estricto: 10 · 5 · 0 puntos</w:t>
            </w:r>
          </w:p>
        </w:tc>
      </w:tr>
      <w:tr>
        <w:trPr>
          <w:cantSplit/>
        </w:trPr>
        <w:tc>
          <w:tcPr>
            <w:tcW w:type="dxa" w:w="290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line="252"/>
            </w:pPr>
            <w:r>
              <w:rPr>
                <w:b w:val="false"/>
                <w:bCs w:val="false"/>
                <w:sz w:val="18"/>
                <w:szCs w:val="18"/>
              </w:rPr>
              <w:t xml:space="preserve">LCP (carga)</w:t>
            </w:r>
          </w:p>
        </w:tc>
        <w:tc>
          <w:tcPr>
            <w:tcW w:type="dxa" w:w="3063"/>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line="252"/>
            </w:pPr>
            <w:r>
              <w:rPr>
                <w:b w:val="false"/>
                <w:bCs w:val="false"/>
                <w:sz w:val="18"/>
                <w:szCs w:val="18"/>
              </w:rPr>
              <w:t xml:space="preserve">2,5 s · 4,0 s · 6,0 s</w:t>
            </w:r>
          </w:p>
        </w:tc>
        <w:tc>
          <w:tcPr>
            <w:tcW w:type="dxa" w:w="3063"/>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line="252"/>
            </w:pPr>
            <w:r>
              <w:rPr>
                <w:b w:val="false"/>
                <w:bCs w:val="false"/>
                <w:sz w:val="18"/>
                <w:szCs w:val="18"/>
              </w:rPr>
              <w:t xml:space="preserve">1,8 s · 2,5 s · 4,0 s</w:t>
            </w:r>
          </w:p>
        </w:tc>
      </w:tr>
      <w:tr>
        <w:trPr>
          <w:cantSplit/>
        </w:trPr>
        <w:tc>
          <w:tcPr>
            <w:tcW w:type="dxa" w:w="2900"/>
            <w:tcBorders>
              <w:top w:val="single" w:color="CBD5E1" w:sz="4"/>
              <w:left w:val="single" w:color="CBD5E1" w:sz="4"/>
              <w:bottom w:val="single" w:color="CBD5E1" w:sz="4"/>
              <w:right w:val="single" w:color="CBD5E1" w:sz="4"/>
            </w:tcBorders>
            <w:shd w:fill="F5F7FF" w:color="auto" w:val="clear"/>
            <w:tcMar>
              <w:top w:type="dxa" w:w="60"/>
              <w:left w:type="dxa" w:w="100"/>
              <w:bottom w:type="dxa" w:w="60"/>
              <w:right w:type="dxa" w:w="100"/>
            </w:tcMar>
          </w:tcPr>
          <w:p>
            <w:pPr>
              <w:spacing w:after="0" w:line="252"/>
            </w:pPr>
            <w:r>
              <w:rPr>
                <w:b w:val="false"/>
                <w:bCs w:val="false"/>
                <w:sz w:val="18"/>
                <w:szCs w:val="18"/>
              </w:rPr>
              <w:t xml:space="preserve">CLS (estabilidad)</w:t>
            </w:r>
          </w:p>
        </w:tc>
        <w:tc>
          <w:tcPr>
            <w:tcW w:type="dxa" w:w="3063"/>
            <w:tcBorders>
              <w:top w:val="single" w:color="CBD5E1" w:sz="4"/>
              <w:left w:val="single" w:color="CBD5E1" w:sz="4"/>
              <w:bottom w:val="single" w:color="CBD5E1" w:sz="4"/>
              <w:right w:val="single" w:color="CBD5E1" w:sz="4"/>
            </w:tcBorders>
            <w:shd w:fill="F5F7FF" w:color="auto" w:val="clear"/>
            <w:tcMar>
              <w:top w:type="dxa" w:w="60"/>
              <w:left w:type="dxa" w:w="100"/>
              <w:bottom w:type="dxa" w:w="60"/>
              <w:right w:type="dxa" w:w="100"/>
            </w:tcMar>
          </w:tcPr>
          <w:p>
            <w:pPr>
              <w:spacing w:after="0" w:line="252"/>
            </w:pPr>
            <w:r>
              <w:rPr>
                <w:b w:val="false"/>
                <w:bCs w:val="false"/>
                <w:sz w:val="18"/>
                <w:szCs w:val="18"/>
              </w:rPr>
              <w:t xml:space="preserve">0,10 · 0,25 · 0,40</w:t>
            </w:r>
          </w:p>
        </w:tc>
        <w:tc>
          <w:tcPr>
            <w:tcW w:type="dxa" w:w="3063"/>
            <w:tcBorders>
              <w:top w:val="single" w:color="CBD5E1" w:sz="4"/>
              <w:left w:val="single" w:color="CBD5E1" w:sz="4"/>
              <w:bottom w:val="single" w:color="CBD5E1" w:sz="4"/>
              <w:right w:val="single" w:color="CBD5E1" w:sz="4"/>
            </w:tcBorders>
            <w:shd w:fill="F5F7FF" w:color="auto" w:val="clear"/>
            <w:tcMar>
              <w:top w:type="dxa" w:w="60"/>
              <w:left w:type="dxa" w:w="100"/>
              <w:bottom w:type="dxa" w:w="60"/>
              <w:right w:type="dxa" w:w="100"/>
            </w:tcMar>
          </w:tcPr>
          <w:p>
            <w:pPr>
              <w:spacing w:after="0" w:line="252"/>
            </w:pPr>
            <w:r>
              <w:rPr>
                <w:b w:val="false"/>
                <w:bCs w:val="false"/>
                <w:sz w:val="18"/>
                <w:szCs w:val="18"/>
              </w:rPr>
              <w:t xml:space="preserve">0,05 · 0,10 · 0,25</w:t>
            </w:r>
          </w:p>
        </w:tc>
      </w:tr>
      <w:tr>
        <w:trPr>
          <w:cantSplit/>
        </w:trPr>
        <w:tc>
          <w:tcPr>
            <w:tcW w:type="dxa" w:w="290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line="252"/>
            </w:pPr>
            <w:r>
              <w:rPr>
                <w:b w:val="false"/>
                <w:bCs w:val="false"/>
                <w:sz w:val="18"/>
                <w:szCs w:val="18"/>
              </w:rPr>
              <w:t xml:space="preserve">TBT (≈ INP)</w:t>
            </w:r>
          </w:p>
        </w:tc>
        <w:tc>
          <w:tcPr>
            <w:tcW w:type="dxa" w:w="3063"/>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line="252"/>
            </w:pPr>
            <w:r>
              <w:rPr>
                <w:b w:val="false"/>
                <w:bCs w:val="false"/>
                <w:sz w:val="18"/>
                <w:szCs w:val="18"/>
              </w:rPr>
              <w:t xml:space="preserve">200 · 600 · 1000 ms</w:t>
            </w:r>
          </w:p>
        </w:tc>
        <w:tc>
          <w:tcPr>
            <w:tcW w:type="dxa" w:w="3063"/>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line="252"/>
            </w:pPr>
            <w:r>
              <w:rPr>
                <w:b w:val="false"/>
                <w:bCs w:val="false"/>
                <w:sz w:val="18"/>
                <w:szCs w:val="18"/>
              </w:rPr>
              <w:t xml:space="preserve">100 · 200 · 600 ms</w:t>
            </w:r>
          </w:p>
        </w:tc>
      </w:tr>
      <w:tr>
        <w:trPr>
          <w:cantSplit/>
        </w:trPr>
        <w:tc>
          <w:tcPr>
            <w:tcW w:type="dxa" w:w="2900"/>
            <w:tcBorders>
              <w:top w:val="single" w:color="CBD5E1" w:sz="4"/>
              <w:left w:val="single" w:color="CBD5E1" w:sz="4"/>
              <w:bottom w:val="single" w:color="CBD5E1" w:sz="4"/>
              <w:right w:val="single" w:color="CBD5E1" w:sz="4"/>
            </w:tcBorders>
            <w:shd w:fill="F5F7FF" w:color="auto" w:val="clear"/>
            <w:tcMar>
              <w:top w:type="dxa" w:w="60"/>
              <w:left w:type="dxa" w:w="100"/>
              <w:bottom w:type="dxa" w:w="60"/>
              <w:right w:type="dxa" w:w="100"/>
            </w:tcMar>
          </w:tcPr>
          <w:p>
            <w:pPr>
              <w:spacing w:after="0" w:line="252"/>
            </w:pPr>
            <w:r>
              <w:rPr>
                <w:b w:val="false"/>
                <w:bCs w:val="false"/>
                <w:sz w:val="18"/>
                <w:szCs w:val="18"/>
              </w:rPr>
              <w:t xml:space="preserve">Peso de la página</w:t>
            </w:r>
          </w:p>
        </w:tc>
        <w:tc>
          <w:tcPr>
            <w:tcW w:type="dxa" w:w="3063"/>
            <w:tcBorders>
              <w:top w:val="single" w:color="CBD5E1" w:sz="4"/>
              <w:left w:val="single" w:color="CBD5E1" w:sz="4"/>
              <w:bottom w:val="single" w:color="CBD5E1" w:sz="4"/>
              <w:right w:val="single" w:color="CBD5E1" w:sz="4"/>
            </w:tcBorders>
            <w:shd w:fill="F5F7FF" w:color="auto" w:val="clear"/>
            <w:tcMar>
              <w:top w:type="dxa" w:w="60"/>
              <w:left w:type="dxa" w:w="100"/>
              <w:bottom w:type="dxa" w:w="60"/>
              <w:right w:type="dxa" w:w="100"/>
            </w:tcMar>
          </w:tcPr>
          <w:p>
            <w:pPr>
              <w:spacing w:after="0" w:line="252"/>
            </w:pPr>
            <w:r>
              <w:rPr>
                <w:b w:val="false"/>
                <w:bCs w:val="false"/>
                <w:sz w:val="18"/>
                <w:szCs w:val="18"/>
              </w:rPr>
              <w:t xml:space="preserve">1,6 · 3,0 · 5,0 MB</w:t>
            </w:r>
          </w:p>
        </w:tc>
        <w:tc>
          <w:tcPr>
            <w:tcW w:type="dxa" w:w="3063"/>
            <w:tcBorders>
              <w:top w:val="single" w:color="CBD5E1" w:sz="4"/>
              <w:left w:val="single" w:color="CBD5E1" w:sz="4"/>
              <w:bottom w:val="single" w:color="CBD5E1" w:sz="4"/>
              <w:right w:val="single" w:color="CBD5E1" w:sz="4"/>
            </w:tcBorders>
            <w:shd w:fill="F5F7FF" w:color="auto" w:val="clear"/>
            <w:tcMar>
              <w:top w:type="dxa" w:w="60"/>
              <w:left w:type="dxa" w:w="100"/>
              <w:bottom w:type="dxa" w:w="60"/>
              <w:right w:type="dxa" w:w="100"/>
            </w:tcMar>
          </w:tcPr>
          <w:p>
            <w:pPr>
              <w:spacing w:after="0" w:line="252"/>
            </w:pPr>
            <w:r>
              <w:rPr>
                <w:b w:val="false"/>
                <w:bCs w:val="false"/>
                <w:sz w:val="18"/>
                <w:szCs w:val="18"/>
              </w:rPr>
              <w:t xml:space="preserve">1,0 · 1,6 · 3,0 MB</w:t>
            </w:r>
          </w:p>
        </w:tc>
      </w:tr>
      <w:tr>
        <w:trPr>
          <w:cantSplit/>
        </w:trPr>
        <w:tc>
          <w:tcPr>
            <w:tcW w:type="dxa" w:w="290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line="252"/>
            </w:pPr>
            <w:r>
              <w:rPr>
                <w:b w:val="false"/>
                <w:bCs w:val="false"/>
                <w:sz w:val="18"/>
                <w:szCs w:val="18"/>
              </w:rPr>
              <w:t xml:space="preserve">CO2e por visita (SWD v4)</w:t>
            </w:r>
          </w:p>
        </w:tc>
        <w:tc>
          <w:tcPr>
            <w:tcW w:type="dxa" w:w="3063"/>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line="252"/>
            </w:pPr>
            <w:r>
              <w:rPr>
                <w:b w:val="false"/>
                <w:bCs w:val="false"/>
                <w:sz w:val="18"/>
                <w:szCs w:val="18"/>
              </w:rPr>
              <w:t xml:space="preserve">0,079 · 0,209 · 0,359 g (A · C · E)</w:t>
            </w:r>
          </w:p>
        </w:tc>
        <w:tc>
          <w:tcPr>
            <w:tcW w:type="dxa" w:w="3063"/>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line="252"/>
            </w:pPr>
            <w:r>
              <w:rPr>
                <w:b w:val="false"/>
                <w:bCs w:val="false"/>
                <w:sz w:val="18"/>
                <w:szCs w:val="18"/>
              </w:rPr>
              <w:t xml:space="preserve">0,040 · 0,145 · 0,278 g (A+ · B · D)</w:t>
            </w:r>
          </w:p>
        </w:tc>
      </w:tr>
      <w:tr>
        <w:trPr>
          <w:cantSplit/>
        </w:trPr>
        <w:tc>
          <w:tcPr>
            <w:tcW w:type="dxa" w:w="2900"/>
            <w:tcBorders>
              <w:top w:val="single" w:color="CBD5E1" w:sz="4"/>
              <w:left w:val="single" w:color="CBD5E1" w:sz="4"/>
              <w:bottom w:val="single" w:color="CBD5E1" w:sz="4"/>
              <w:right w:val="single" w:color="CBD5E1" w:sz="4"/>
            </w:tcBorders>
            <w:shd w:fill="F5F7FF" w:color="auto" w:val="clear"/>
            <w:tcMar>
              <w:top w:type="dxa" w:w="60"/>
              <w:left w:type="dxa" w:w="100"/>
              <w:bottom w:type="dxa" w:w="60"/>
              <w:right w:type="dxa" w:w="100"/>
            </w:tcMar>
          </w:tcPr>
          <w:p>
            <w:pPr>
              <w:spacing w:after="0" w:line="252"/>
            </w:pPr>
            <w:r>
              <w:rPr>
                <w:b w:val="false"/>
                <w:bCs w:val="false"/>
                <w:sz w:val="18"/>
                <w:szCs w:val="18"/>
              </w:rPr>
              <w:t xml:space="preserve">Legibilidad Fernández-Huerta (español, más alto = mejor)</w:t>
            </w:r>
          </w:p>
        </w:tc>
        <w:tc>
          <w:tcPr>
            <w:tcW w:type="dxa" w:w="3063"/>
            <w:tcBorders>
              <w:top w:val="single" w:color="CBD5E1" w:sz="4"/>
              <w:left w:val="single" w:color="CBD5E1" w:sz="4"/>
              <w:bottom w:val="single" w:color="CBD5E1" w:sz="4"/>
              <w:right w:val="single" w:color="CBD5E1" w:sz="4"/>
            </w:tcBorders>
            <w:shd w:fill="F5F7FF" w:color="auto" w:val="clear"/>
            <w:tcMar>
              <w:top w:type="dxa" w:w="60"/>
              <w:left w:type="dxa" w:w="100"/>
              <w:bottom w:type="dxa" w:w="60"/>
              <w:right w:type="dxa" w:w="100"/>
            </w:tcMar>
          </w:tcPr>
          <w:p>
            <w:pPr>
              <w:spacing w:after="0" w:line="252"/>
            </w:pPr>
            <w:r>
              <w:rPr>
                <w:b w:val="false"/>
                <w:bCs w:val="false"/>
                <w:sz w:val="18"/>
                <w:szCs w:val="18"/>
              </w:rPr>
              <w:t xml:space="preserve">70 · 60 · 50</w:t>
            </w:r>
          </w:p>
        </w:tc>
        <w:tc>
          <w:tcPr>
            <w:tcW w:type="dxa" w:w="3063"/>
            <w:tcBorders>
              <w:top w:val="single" w:color="CBD5E1" w:sz="4"/>
              <w:left w:val="single" w:color="CBD5E1" w:sz="4"/>
              <w:bottom w:val="single" w:color="CBD5E1" w:sz="4"/>
              <w:right w:val="single" w:color="CBD5E1" w:sz="4"/>
            </w:tcBorders>
            <w:shd w:fill="F5F7FF" w:color="auto" w:val="clear"/>
            <w:tcMar>
              <w:top w:type="dxa" w:w="60"/>
              <w:left w:type="dxa" w:w="100"/>
              <w:bottom w:type="dxa" w:w="60"/>
              <w:right w:type="dxa" w:w="100"/>
            </w:tcMar>
          </w:tcPr>
          <w:p>
            <w:pPr>
              <w:spacing w:after="0" w:line="252"/>
            </w:pPr>
            <w:r>
              <w:rPr>
                <w:b w:val="false"/>
                <w:bCs w:val="false"/>
                <w:sz w:val="18"/>
                <w:szCs w:val="18"/>
              </w:rPr>
              <w:t xml:space="preserve">75 · 65 · 55</w:t>
            </w:r>
          </w:p>
        </w:tc>
      </w:tr>
    </w:tbl>
    <w:p>
      <w:pPr>
        <w:spacing w:after="120"/>
      </w:pPr>
    </w:p>
    <w:p>
      <w:pPr>
        <w:spacing w:after="120" w:line="276"/>
      </w:pPr>
      <w:r>
        <w:rPr>
          <w:b/>
          <w:bCs/>
        </w:rPr>
        <w:t xml:space="preserve">Caso especial de D7 (satisfacción):</w:t>
      </w:r>
      <w:r>
        <w:t xml:space="preserve"> Nota(D7) = SUS / 10. Si no se hace prueba con usuarios, D7 se omite y los pesos restantes se </w:t>
      </w:r>
      <w:r>
        <w:rPr>
          <w:b/>
          <w:bCs/>
        </w:rPr>
        <w:t xml:space="preserve">reescalan</w:t>
      </w:r>
      <w:r>
        <w:t xml:space="preserve"> para sumar el 100 %.</w:t>
      </w:r>
    </w:p>
    <w:p>
      <w:pPr>
        <w:pStyle w:val="Heading2"/>
      </w:pPr>
      <w:r>
        <w:t xml:space="preserve">3.3 Índice global, techos y modo estricto</w:t>
      </w:r>
    </w:p>
    <w:p>
      <w:pPr>
        <w:shd w:fill="F1F5F9" w:color="auto" w:val="clear"/>
        <w:spacing w:after="0" w:line="240"/>
        <w:ind w:left="200" w:right="200"/>
      </w:pPr>
      <w:r>
        <w:rPr>
          <w:rFonts w:ascii="Consolas" w:cs="Consolas" w:eastAsia="Consolas" w:hAnsi="Consolas"/>
          <w:color w:val="0F172A"/>
          <w:sz w:val="17"/>
          <w:szCs w:val="17"/>
        </w:rPr>
        <w:t xml:space="preserve">IUX = Σ (Pesoₖ × Nota(Dk)) / Σ Pesoₖ          (solo dimensiones con datos)</w:t>
      </w:r>
    </w:p>
    <w:p>
      <w:pPr>
        <w:shd w:fill="F1F5F9" w:color="auto" w:val="clear"/>
        <w:spacing w:after="160" w:line="240"/>
        <w:ind w:left="200" w:right="200"/>
      </w:pPr>
      <w:r>
        <w:rPr>
          <w:rFonts w:ascii="Consolas" w:cs="Consolas" w:eastAsia="Consolas" w:hAnsi="Consolas"/>
          <w:color w:val="0F172A"/>
          <w:sz w:val="17"/>
          <w:szCs w:val="17"/>
        </w:rPr>
        <w:t xml:space="preserve">IUX_final = mín(IUX, techos aplicables)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400"/>
        <w:gridCol w:w="3826"/>
      </w:tblGrid>
      <w:tr>
        <w:trPr>
          <w:tblHeader/>
        </w:trPr>
        <w:tc>
          <w:tcPr>
            <w:tcW w:type="dxa" w:w="2800"/>
            <w:tcBorders>
              <w:top w:val="single" w:color="CBD5E1" w:sz="4"/>
              <w:left w:val="single" w:color="CBD5E1" w:sz="4"/>
              <w:bottom w:val="single" w:color="CBD5E1" w:sz="4"/>
              <w:right w:val="single" w:color="CBD5E1" w:sz="4"/>
            </w:tcBorders>
            <w:shd w:fill="E0E7FF" w:color="auto" w:val="clear"/>
            <w:tcMar>
              <w:top w:type="dxa" w:w="60"/>
              <w:left w:type="dxa" w:w="100"/>
              <w:bottom w:type="dxa" w:w="60"/>
              <w:right w:type="dxa" w:w="100"/>
            </w:tcMar>
          </w:tcPr>
          <w:p>
            <w:pPr>
              <w:spacing w:after="0" w:line="252"/>
            </w:pPr>
            <w:r>
              <w:rPr>
                <w:b/>
                <w:bCs/>
                <w:color w:val="1E1B4B"/>
                <w:sz w:val="18"/>
                <w:szCs w:val="18"/>
              </w:rPr>
              <w:t xml:space="preserve">Techo</w:t>
            </w:r>
          </w:p>
        </w:tc>
        <w:tc>
          <w:tcPr>
            <w:tcW w:type="dxa" w:w="2400"/>
            <w:tcBorders>
              <w:top w:val="single" w:color="CBD5E1" w:sz="4"/>
              <w:left w:val="single" w:color="CBD5E1" w:sz="4"/>
              <w:bottom w:val="single" w:color="CBD5E1" w:sz="4"/>
              <w:right w:val="single" w:color="CBD5E1" w:sz="4"/>
            </w:tcBorders>
            <w:shd w:fill="E0E7FF" w:color="auto" w:val="clear"/>
            <w:tcMar>
              <w:top w:type="dxa" w:w="60"/>
              <w:left w:type="dxa" w:w="100"/>
              <w:bottom w:type="dxa" w:w="60"/>
              <w:right w:type="dxa" w:w="100"/>
            </w:tcMar>
          </w:tcPr>
          <w:p>
            <w:pPr>
              <w:spacing w:after="0" w:line="252"/>
            </w:pPr>
            <w:r>
              <w:rPr>
                <w:b/>
                <w:bCs/>
                <w:color w:val="1E1B4B"/>
                <w:sz w:val="18"/>
                <w:szCs w:val="18"/>
              </w:rPr>
              <w:t xml:space="preserve">Modo estándar</w:t>
            </w:r>
          </w:p>
        </w:tc>
        <w:tc>
          <w:tcPr>
            <w:tcW w:type="dxa" w:w="3826"/>
            <w:tcBorders>
              <w:top w:val="single" w:color="CBD5E1" w:sz="4"/>
              <w:left w:val="single" w:color="CBD5E1" w:sz="4"/>
              <w:bottom w:val="single" w:color="CBD5E1" w:sz="4"/>
              <w:right w:val="single" w:color="CBD5E1" w:sz="4"/>
            </w:tcBorders>
            <w:shd w:fill="E0E7FF" w:color="auto" w:val="clear"/>
            <w:tcMar>
              <w:top w:type="dxa" w:w="60"/>
              <w:left w:type="dxa" w:w="100"/>
              <w:bottom w:type="dxa" w:w="60"/>
              <w:right w:type="dxa" w:w="100"/>
            </w:tcMar>
          </w:tcPr>
          <w:p>
            <w:pPr>
              <w:spacing w:after="0" w:line="252"/>
            </w:pPr>
            <w:r>
              <w:rPr>
                <w:b/>
                <w:bCs/>
                <w:color w:val="1E1B4B"/>
                <w:sz w:val="18"/>
                <w:szCs w:val="18"/>
              </w:rPr>
              <w:t xml:space="preserve">Modo estricto (por defecto)</w:t>
            </w:r>
          </w:p>
        </w:tc>
      </w:tr>
      <w:tr>
        <w:trPr>
          <w:cantSplit/>
        </w:trPr>
        <w:tc>
          <w:tcPr>
            <w:tcW w:type="dxa" w:w="280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line="252"/>
            </w:pPr>
            <w:r>
              <w:rPr>
                <w:b w:val="false"/>
                <w:bCs w:val="false"/>
                <w:sz w:val="18"/>
                <w:szCs w:val="18"/>
              </w:rPr>
              <w:t xml:space="preserve">Fallo de severidad </w:t>
            </w:r>
            <w:r>
              <w:rPr>
                <w:b/>
                <w:bCs/>
                <w:sz w:val="18"/>
                <w:szCs w:val="18"/>
              </w:rPr>
              <w:t xml:space="preserve">crítica</w:t>
            </w:r>
          </w:p>
        </w:tc>
        <w:tc>
          <w:tcPr>
            <w:tcW w:type="dxa" w:w="240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line="252"/>
            </w:pPr>
            <w:r>
              <w:rPr>
                <w:b w:val="false"/>
                <w:bCs w:val="false"/>
                <w:sz w:val="18"/>
                <w:szCs w:val="18"/>
              </w:rPr>
              <w:t xml:space="preserve">Solo en D1 → máx. 4,9</w:t>
            </w:r>
          </w:p>
        </w:tc>
        <w:tc>
          <w:tcPr>
            <w:tcW w:type="dxa" w:w="382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line="252"/>
            </w:pPr>
            <w:r>
              <w:rPr>
                <w:b w:val="false"/>
                <w:bCs w:val="false"/>
                <w:sz w:val="18"/>
                <w:szCs w:val="18"/>
              </w:rPr>
              <w:t xml:space="preserve">En </w:t>
            </w:r>
            <w:r>
              <w:rPr>
                <w:b/>
                <w:bCs/>
                <w:sz w:val="18"/>
                <w:szCs w:val="18"/>
              </w:rPr>
              <w:t xml:space="preserve">cualquier</w:t>
            </w:r>
            <w:r>
              <w:rPr>
                <w:b w:val="false"/>
                <w:bCs w:val="false"/>
                <w:sz w:val="18"/>
                <w:szCs w:val="18"/>
              </w:rPr>
              <w:t xml:space="preserve"> dimensión → máx. 4,9</w:t>
            </w:r>
          </w:p>
        </w:tc>
      </w:tr>
      <w:tr>
        <w:trPr>
          <w:cantSplit/>
        </w:trPr>
        <w:tc>
          <w:tcPr>
            <w:tcW w:type="dxa" w:w="2800"/>
            <w:tcBorders>
              <w:top w:val="single" w:color="CBD5E1" w:sz="4"/>
              <w:left w:val="single" w:color="CBD5E1" w:sz="4"/>
              <w:bottom w:val="single" w:color="CBD5E1" w:sz="4"/>
              <w:right w:val="single" w:color="CBD5E1" w:sz="4"/>
            </w:tcBorders>
            <w:shd w:fill="F5F7FF" w:color="auto" w:val="clear"/>
            <w:tcMar>
              <w:top w:type="dxa" w:w="60"/>
              <w:left w:type="dxa" w:w="100"/>
              <w:bottom w:type="dxa" w:w="60"/>
              <w:right w:type="dxa" w:w="100"/>
            </w:tcMar>
          </w:tcPr>
          <w:p>
            <w:pPr>
              <w:spacing w:after="0" w:line="252"/>
            </w:pPr>
            <w:r>
              <w:rPr>
                <w:b w:val="false"/>
                <w:bCs w:val="false"/>
                <w:sz w:val="18"/>
                <w:szCs w:val="18"/>
              </w:rPr>
              <w:t xml:space="preserve">Fallo de severidad </w:t>
            </w:r>
            <w:r>
              <w:rPr>
                <w:b/>
                <w:bCs/>
                <w:sz w:val="18"/>
                <w:szCs w:val="18"/>
              </w:rPr>
              <w:t xml:space="preserve">alta</w:t>
            </w:r>
            <w:r>
              <w:rPr>
                <w:b w:val="false"/>
                <w:bCs w:val="false"/>
                <w:sz w:val="18"/>
                <w:szCs w:val="18"/>
              </w:rPr>
              <w:t xml:space="preserve"> en accesibilidad (D1)</w:t>
            </w:r>
          </w:p>
        </w:tc>
        <w:tc>
          <w:tcPr>
            <w:tcW w:type="dxa" w:w="2400"/>
            <w:tcBorders>
              <w:top w:val="single" w:color="CBD5E1" w:sz="4"/>
              <w:left w:val="single" w:color="CBD5E1" w:sz="4"/>
              <w:bottom w:val="single" w:color="CBD5E1" w:sz="4"/>
              <w:right w:val="single" w:color="CBD5E1" w:sz="4"/>
            </w:tcBorders>
            <w:shd w:fill="F5F7FF" w:color="auto" w:val="clear"/>
            <w:tcMar>
              <w:top w:type="dxa" w:w="60"/>
              <w:left w:type="dxa" w:w="100"/>
              <w:bottom w:type="dxa" w:w="60"/>
              <w:right w:type="dxa" w:w="100"/>
            </w:tcMar>
          </w:tcPr>
          <w:p>
            <w:pPr>
              <w:spacing w:after="0" w:line="252"/>
            </w:pPr>
            <w:r>
              <w:rPr>
                <w:b w:val="false"/>
                <w:bCs w:val="false"/>
                <w:sz w:val="18"/>
                <w:szCs w:val="18"/>
              </w:rPr>
              <w:t xml:space="preserve">—</w:t>
            </w:r>
          </w:p>
        </w:tc>
        <w:tc>
          <w:tcPr>
            <w:tcW w:type="dxa" w:w="3826"/>
            <w:tcBorders>
              <w:top w:val="single" w:color="CBD5E1" w:sz="4"/>
              <w:left w:val="single" w:color="CBD5E1" w:sz="4"/>
              <w:bottom w:val="single" w:color="CBD5E1" w:sz="4"/>
              <w:right w:val="single" w:color="CBD5E1" w:sz="4"/>
            </w:tcBorders>
            <w:shd w:fill="F5F7FF" w:color="auto" w:val="clear"/>
            <w:tcMar>
              <w:top w:type="dxa" w:w="60"/>
              <w:left w:type="dxa" w:w="100"/>
              <w:bottom w:type="dxa" w:w="60"/>
              <w:right w:type="dxa" w:w="100"/>
            </w:tcMar>
          </w:tcPr>
          <w:p>
            <w:pPr>
              <w:spacing w:after="0" w:line="252"/>
            </w:pPr>
            <w:r>
              <w:rPr>
                <w:b w:val="false"/>
                <w:bCs w:val="false"/>
                <w:sz w:val="18"/>
                <w:szCs w:val="18"/>
              </w:rPr>
              <w:t xml:space="preserve">Máx. 6,9 (no cumple WCAG AA)</w:t>
            </w:r>
          </w:p>
        </w:tc>
      </w:tr>
      <w:tr>
        <w:trPr>
          <w:cantSplit/>
        </w:trPr>
        <w:tc>
          <w:tcPr>
            <w:tcW w:type="dxa" w:w="280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line="252"/>
            </w:pPr>
            <w:r>
              <w:rPr>
                <w:b w:val="false"/>
                <w:bCs w:val="false"/>
                <w:sz w:val="18"/>
                <w:szCs w:val="18"/>
              </w:rPr>
              <w:t xml:space="preserve">Nivel </w:t>
            </w:r>
            <w:r>
              <w:rPr>
                <w:b/>
                <w:bCs/>
                <w:sz w:val="18"/>
                <w:szCs w:val="18"/>
              </w:rPr>
              <w:t xml:space="preserve">Excelente</w:t>
            </w:r>
            <w:r>
              <w:rPr>
                <w:b w:val="false"/>
                <w:bCs w:val="false"/>
                <w:sz w:val="18"/>
                <w:szCs w:val="18"/>
              </w:rPr>
              <w:t xml:space="preserve"> (≥ 9)</w:t>
            </w:r>
          </w:p>
        </w:tc>
        <w:tc>
          <w:tcPr>
            <w:tcW w:type="dxa" w:w="240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line="252"/>
            </w:pPr>
            <w:r>
              <w:rPr>
                <w:b w:val="false"/>
                <w:bCs w:val="false"/>
                <w:sz w:val="18"/>
                <w:szCs w:val="18"/>
              </w:rPr>
              <w:t xml:space="preserve">Sin condiciones</w:t>
            </w:r>
          </w:p>
        </w:tc>
        <w:tc>
          <w:tcPr>
            <w:tcW w:type="dxa" w:w="382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line="252"/>
            </w:pPr>
            <w:r>
              <w:rPr>
                <w:b w:val="false"/>
                <w:bCs w:val="false"/>
                <w:sz w:val="18"/>
                <w:szCs w:val="18"/>
              </w:rPr>
              <w:t xml:space="preserve">Exige cobertura ≥ 90 %, el cuestionario experto completo y ninguna regla alta o crítica incumplida, ni parcialmente. Si no se cumple, máx. 8,9.</w:t>
            </w:r>
          </w:p>
        </w:tc>
      </w:tr>
    </w:tbl>
    <w:p>
      <w:pPr>
        <w:spacing w:after="120" w:line="276"/>
      </w:pPr>
      <w:r>
        <w:t xml:space="preserve">Los techos evitan que una web bonita y rápida saque buena nota si, por ejemplo, no se puede usar con teclado o instala rastreadores sin permiso. El modo estricto es el predeterminado porque refleja obligaciones legales (EAA, RGPD, DSA) y porque las pruebas automáticas solo ven parte de los problemas: no se puede dar un «Excelente» sin la revisión experta. El informe explica siempre qué techo se ha aplicado y por qué.</w:t>
      </w:r>
    </w:p>
    <w:p>
      <w:pPr>
        <w:pStyle w:val="Heading2"/>
      </w:pPr>
      <w:r>
        <w:t xml:space="preserve">3.4 Escala de interpretación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1600"/>
        <w:gridCol w:w="5826"/>
      </w:tblGrid>
      <w:tr>
        <w:trPr>
          <w:tblHeader/>
        </w:trPr>
        <w:tc>
          <w:tcPr>
            <w:tcW w:type="dxa" w:w="1600"/>
            <w:tcBorders>
              <w:top w:val="single" w:color="CBD5E1" w:sz="4"/>
              <w:left w:val="single" w:color="CBD5E1" w:sz="4"/>
              <w:bottom w:val="single" w:color="CBD5E1" w:sz="4"/>
              <w:right w:val="single" w:color="CBD5E1" w:sz="4"/>
            </w:tcBorders>
            <w:shd w:fill="E0E7FF" w:color="auto" w:val="clear"/>
            <w:tcMar>
              <w:top w:type="dxa" w:w="60"/>
              <w:left w:type="dxa" w:w="100"/>
              <w:bottom w:type="dxa" w:w="60"/>
              <w:right w:type="dxa" w:w="100"/>
            </w:tcMar>
          </w:tcPr>
          <w:p>
            <w:pPr>
              <w:spacing w:after="0" w:line="252"/>
            </w:pPr>
            <w:r>
              <w:rPr>
                <w:b/>
                <w:bCs/>
                <w:color w:val="1E1B4B"/>
                <w:sz w:val="18"/>
                <w:szCs w:val="18"/>
              </w:rPr>
              <w:t xml:space="preserve">IUX</w:t>
            </w:r>
          </w:p>
        </w:tc>
        <w:tc>
          <w:tcPr>
            <w:tcW w:type="dxa" w:w="1600"/>
            <w:tcBorders>
              <w:top w:val="single" w:color="CBD5E1" w:sz="4"/>
              <w:left w:val="single" w:color="CBD5E1" w:sz="4"/>
              <w:bottom w:val="single" w:color="CBD5E1" w:sz="4"/>
              <w:right w:val="single" w:color="CBD5E1" w:sz="4"/>
            </w:tcBorders>
            <w:shd w:fill="E0E7FF" w:color="auto" w:val="clear"/>
            <w:tcMar>
              <w:top w:type="dxa" w:w="60"/>
              <w:left w:type="dxa" w:w="100"/>
              <w:bottom w:type="dxa" w:w="60"/>
              <w:right w:type="dxa" w:w="100"/>
            </w:tcMar>
          </w:tcPr>
          <w:p>
            <w:pPr>
              <w:spacing w:after="0" w:line="252"/>
            </w:pPr>
            <w:r>
              <w:rPr>
                <w:b/>
                <w:bCs/>
                <w:color w:val="1E1B4B"/>
                <w:sz w:val="18"/>
                <w:szCs w:val="18"/>
              </w:rPr>
              <w:t xml:space="preserve">Nivel</w:t>
            </w:r>
          </w:p>
        </w:tc>
        <w:tc>
          <w:tcPr>
            <w:tcW w:type="dxa" w:w="5826"/>
            <w:tcBorders>
              <w:top w:val="single" w:color="CBD5E1" w:sz="4"/>
              <w:left w:val="single" w:color="CBD5E1" w:sz="4"/>
              <w:bottom w:val="single" w:color="CBD5E1" w:sz="4"/>
              <w:right w:val="single" w:color="CBD5E1" w:sz="4"/>
            </w:tcBorders>
            <w:shd w:fill="E0E7FF" w:color="auto" w:val="clear"/>
            <w:tcMar>
              <w:top w:type="dxa" w:w="60"/>
              <w:left w:type="dxa" w:w="100"/>
              <w:bottom w:type="dxa" w:w="60"/>
              <w:right w:type="dxa" w:w="100"/>
            </w:tcMar>
          </w:tcPr>
          <w:p>
            <w:pPr>
              <w:spacing w:after="0" w:line="252"/>
            </w:pPr>
            <w:r>
              <w:rPr>
                <w:b/>
                <w:bCs/>
                <w:color w:val="1E1B4B"/>
                <w:sz w:val="18"/>
                <w:szCs w:val="18"/>
              </w:rPr>
              <w:t xml:space="preserve">Interpretación</w:t>
            </w:r>
          </w:p>
        </w:tc>
      </w:tr>
      <w:tr>
        <w:trPr>
          <w:cantSplit/>
        </w:trPr>
        <w:tc>
          <w:tcPr>
            <w:tcW w:type="dxa" w:w="160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line="252"/>
            </w:pPr>
            <w:r>
              <w:rPr>
                <w:b w:val="false"/>
                <w:bCs w:val="false"/>
                <w:sz w:val="18"/>
                <w:szCs w:val="18"/>
              </w:rPr>
              <w:t xml:space="preserve">9,0 – 10</w:t>
            </w:r>
          </w:p>
        </w:tc>
        <w:tc>
          <w:tcPr>
            <w:tcW w:type="dxa" w:w="160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line="252"/>
            </w:pPr>
            <w:r>
              <w:rPr>
                <w:b w:val="false"/>
                <w:bCs w:val="false"/>
                <w:sz w:val="18"/>
                <w:szCs w:val="18"/>
              </w:rPr>
              <w:t xml:space="preserve">Excelente</w:t>
            </w:r>
          </w:p>
        </w:tc>
        <w:tc>
          <w:tcPr>
            <w:tcW w:type="dxa" w:w="582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line="252"/>
            </w:pPr>
            <w:r>
              <w:rPr>
                <w:b w:val="false"/>
                <w:bCs w:val="false"/>
                <w:sz w:val="18"/>
                <w:szCs w:val="18"/>
              </w:rPr>
              <w:t xml:space="preserve">Referente de buena práctica; cumple WCAG 2.2 AA.</w:t>
            </w:r>
          </w:p>
        </w:tc>
      </w:tr>
      <w:tr>
        <w:trPr>
          <w:cantSplit/>
        </w:trPr>
        <w:tc>
          <w:tcPr>
            <w:tcW w:type="dxa" w:w="1600"/>
            <w:tcBorders>
              <w:top w:val="single" w:color="CBD5E1" w:sz="4"/>
              <w:left w:val="single" w:color="CBD5E1" w:sz="4"/>
              <w:bottom w:val="single" w:color="CBD5E1" w:sz="4"/>
              <w:right w:val="single" w:color="CBD5E1" w:sz="4"/>
            </w:tcBorders>
            <w:shd w:fill="F5F7FF" w:color="auto" w:val="clear"/>
            <w:tcMar>
              <w:top w:type="dxa" w:w="60"/>
              <w:left w:type="dxa" w:w="100"/>
              <w:bottom w:type="dxa" w:w="60"/>
              <w:right w:type="dxa" w:w="100"/>
            </w:tcMar>
          </w:tcPr>
          <w:p>
            <w:pPr>
              <w:spacing w:after="0" w:line="252"/>
            </w:pPr>
            <w:r>
              <w:rPr>
                <w:b w:val="false"/>
                <w:bCs w:val="false"/>
                <w:sz w:val="18"/>
                <w:szCs w:val="18"/>
              </w:rPr>
              <w:t xml:space="preserve">7,0 – 8,9</w:t>
            </w:r>
          </w:p>
        </w:tc>
        <w:tc>
          <w:tcPr>
            <w:tcW w:type="dxa" w:w="1600"/>
            <w:tcBorders>
              <w:top w:val="single" w:color="CBD5E1" w:sz="4"/>
              <w:left w:val="single" w:color="CBD5E1" w:sz="4"/>
              <w:bottom w:val="single" w:color="CBD5E1" w:sz="4"/>
              <w:right w:val="single" w:color="CBD5E1" w:sz="4"/>
            </w:tcBorders>
            <w:shd w:fill="F5F7FF" w:color="auto" w:val="clear"/>
            <w:tcMar>
              <w:top w:type="dxa" w:w="60"/>
              <w:left w:type="dxa" w:w="100"/>
              <w:bottom w:type="dxa" w:w="60"/>
              <w:right w:type="dxa" w:w="100"/>
            </w:tcMar>
          </w:tcPr>
          <w:p>
            <w:pPr>
              <w:spacing w:after="0" w:line="252"/>
            </w:pPr>
            <w:r>
              <w:rPr>
                <w:b w:val="false"/>
                <w:bCs w:val="false"/>
                <w:sz w:val="18"/>
                <w:szCs w:val="18"/>
              </w:rPr>
              <w:t xml:space="preserve">Buena</w:t>
            </w:r>
          </w:p>
        </w:tc>
        <w:tc>
          <w:tcPr>
            <w:tcW w:type="dxa" w:w="5826"/>
            <w:tcBorders>
              <w:top w:val="single" w:color="CBD5E1" w:sz="4"/>
              <w:left w:val="single" w:color="CBD5E1" w:sz="4"/>
              <w:bottom w:val="single" w:color="CBD5E1" w:sz="4"/>
              <w:right w:val="single" w:color="CBD5E1" w:sz="4"/>
            </w:tcBorders>
            <w:shd w:fill="F5F7FF" w:color="auto" w:val="clear"/>
            <w:tcMar>
              <w:top w:type="dxa" w:w="60"/>
              <w:left w:type="dxa" w:w="100"/>
              <w:bottom w:type="dxa" w:w="60"/>
              <w:right w:type="dxa" w:w="100"/>
            </w:tcMar>
          </w:tcPr>
          <w:p>
            <w:pPr>
              <w:spacing w:after="0" w:line="252"/>
            </w:pPr>
            <w:r>
              <w:rPr>
                <w:b w:val="false"/>
                <w:bCs w:val="false"/>
                <w:sz w:val="18"/>
                <w:szCs w:val="18"/>
              </w:rPr>
              <w:t xml:space="preserve">Experiencia sólida con mejoras menores.</w:t>
            </w:r>
          </w:p>
        </w:tc>
      </w:tr>
      <w:tr>
        <w:trPr>
          <w:cantSplit/>
        </w:trPr>
        <w:tc>
          <w:tcPr>
            <w:tcW w:type="dxa" w:w="160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line="252"/>
            </w:pPr>
            <w:r>
              <w:rPr>
                <w:b w:val="false"/>
                <w:bCs w:val="false"/>
                <w:sz w:val="18"/>
                <w:szCs w:val="18"/>
              </w:rPr>
              <w:t xml:space="preserve">5,0 – 6,9</w:t>
            </w:r>
          </w:p>
        </w:tc>
        <w:tc>
          <w:tcPr>
            <w:tcW w:type="dxa" w:w="160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line="252"/>
            </w:pPr>
            <w:r>
              <w:rPr>
                <w:b w:val="false"/>
                <w:bCs w:val="false"/>
                <w:sz w:val="18"/>
                <w:szCs w:val="18"/>
              </w:rPr>
              <w:t xml:space="preserve">Aceptable</w:t>
            </w:r>
          </w:p>
        </w:tc>
        <w:tc>
          <w:tcPr>
            <w:tcW w:type="dxa" w:w="582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line="252"/>
            </w:pPr>
            <w:r>
              <w:rPr>
                <w:b w:val="false"/>
                <w:bCs w:val="false"/>
                <w:sz w:val="18"/>
                <w:szCs w:val="18"/>
              </w:rPr>
              <w:t xml:space="preserve">Usable, pero con problemas que afectan a parte de los usuarios.</w:t>
            </w:r>
          </w:p>
        </w:tc>
      </w:tr>
      <w:tr>
        <w:trPr>
          <w:cantSplit/>
        </w:trPr>
        <w:tc>
          <w:tcPr>
            <w:tcW w:type="dxa" w:w="1600"/>
            <w:tcBorders>
              <w:top w:val="single" w:color="CBD5E1" w:sz="4"/>
              <w:left w:val="single" w:color="CBD5E1" w:sz="4"/>
              <w:bottom w:val="single" w:color="CBD5E1" w:sz="4"/>
              <w:right w:val="single" w:color="CBD5E1" w:sz="4"/>
            </w:tcBorders>
            <w:shd w:fill="F5F7FF" w:color="auto" w:val="clear"/>
            <w:tcMar>
              <w:top w:type="dxa" w:w="60"/>
              <w:left w:type="dxa" w:w="100"/>
              <w:bottom w:type="dxa" w:w="60"/>
              <w:right w:type="dxa" w:w="100"/>
            </w:tcMar>
          </w:tcPr>
          <w:p>
            <w:pPr>
              <w:spacing w:after="0" w:line="252"/>
            </w:pPr>
            <w:r>
              <w:rPr>
                <w:b w:val="false"/>
                <w:bCs w:val="false"/>
                <w:sz w:val="18"/>
                <w:szCs w:val="18"/>
              </w:rPr>
              <w:t xml:space="preserve">3,0 – 4,9</w:t>
            </w:r>
          </w:p>
        </w:tc>
        <w:tc>
          <w:tcPr>
            <w:tcW w:type="dxa" w:w="1600"/>
            <w:tcBorders>
              <w:top w:val="single" w:color="CBD5E1" w:sz="4"/>
              <w:left w:val="single" w:color="CBD5E1" w:sz="4"/>
              <w:bottom w:val="single" w:color="CBD5E1" w:sz="4"/>
              <w:right w:val="single" w:color="CBD5E1" w:sz="4"/>
            </w:tcBorders>
            <w:shd w:fill="F5F7FF" w:color="auto" w:val="clear"/>
            <w:tcMar>
              <w:top w:type="dxa" w:w="60"/>
              <w:left w:type="dxa" w:w="100"/>
              <w:bottom w:type="dxa" w:w="60"/>
              <w:right w:type="dxa" w:w="100"/>
            </w:tcMar>
          </w:tcPr>
          <w:p>
            <w:pPr>
              <w:spacing w:after="0" w:line="252"/>
            </w:pPr>
            <w:r>
              <w:rPr>
                <w:b w:val="false"/>
                <w:bCs w:val="false"/>
                <w:sz w:val="18"/>
                <w:szCs w:val="18"/>
              </w:rPr>
              <w:t xml:space="preserve">Deficiente</w:t>
            </w:r>
          </w:p>
        </w:tc>
        <w:tc>
          <w:tcPr>
            <w:tcW w:type="dxa" w:w="5826"/>
            <w:tcBorders>
              <w:top w:val="single" w:color="CBD5E1" w:sz="4"/>
              <w:left w:val="single" w:color="CBD5E1" w:sz="4"/>
              <w:bottom w:val="single" w:color="CBD5E1" w:sz="4"/>
              <w:right w:val="single" w:color="CBD5E1" w:sz="4"/>
            </w:tcBorders>
            <w:shd w:fill="F5F7FF" w:color="auto" w:val="clear"/>
            <w:tcMar>
              <w:top w:type="dxa" w:w="60"/>
              <w:left w:type="dxa" w:w="100"/>
              <w:bottom w:type="dxa" w:w="60"/>
              <w:right w:type="dxa" w:w="100"/>
            </w:tcMar>
          </w:tcPr>
          <w:p>
            <w:pPr>
              <w:spacing w:after="0" w:line="252"/>
            </w:pPr>
            <w:r>
              <w:rPr>
                <w:b w:val="false"/>
                <w:bCs w:val="false"/>
                <w:sz w:val="18"/>
                <w:szCs w:val="18"/>
              </w:rPr>
              <w:t xml:space="preserve">Problemas graves o fallo crítico de accesibilidad.</w:t>
            </w:r>
          </w:p>
        </w:tc>
      </w:tr>
      <w:tr>
        <w:trPr>
          <w:cantSplit/>
        </w:trPr>
        <w:tc>
          <w:tcPr>
            <w:tcW w:type="dxa" w:w="160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line="252"/>
            </w:pPr>
            <w:r>
              <w:rPr>
                <w:b w:val="false"/>
                <w:bCs w:val="false"/>
                <w:sz w:val="18"/>
                <w:szCs w:val="18"/>
              </w:rPr>
              <w:t xml:space="preserve">0 – 2,9</w:t>
            </w:r>
          </w:p>
        </w:tc>
        <w:tc>
          <w:tcPr>
            <w:tcW w:type="dxa" w:w="160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line="252"/>
            </w:pPr>
            <w:r>
              <w:rPr>
                <w:b w:val="false"/>
                <w:bCs w:val="false"/>
                <w:sz w:val="18"/>
                <w:szCs w:val="18"/>
              </w:rPr>
              <w:t xml:space="preserve">Crítica</w:t>
            </w:r>
          </w:p>
        </w:tc>
        <w:tc>
          <w:tcPr>
            <w:tcW w:type="dxa" w:w="582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line="252"/>
            </w:pPr>
            <w:r>
              <w:rPr>
                <w:b w:val="false"/>
                <w:bCs w:val="false"/>
                <w:sz w:val="18"/>
                <w:szCs w:val="18"/>
              </w:rPr>
              <w:t xml:space="preserve">La experiencia impide usar el producto con normalidad.</w:t>
            </w:r>
          </w:p>
        </w:tc>
      </w:tr>
    </w:tbl>
    <w:p>
      <w:pPr>
        <w:pStyle w:val="Heading2"/>
      </w:pPr>
      <w:r>
        <w:t xml:space="preserve">3.5 Ejemplo de cálculo</w:t>
      </w:r>
    </w:p>
    <w:p>
      <w:pPr>
        <w:spacing w:after="120" w:line="276"/>
      </w:pPr>
      <w:r>
        <w:t xml:space="preserve">Auditoría de una web de reservas de un restaurante (sin prueba SUS, así que D7 se omite y los pesos se reescalan al 95 %):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000"/>
        <w:gridCol w:w="1000"/>
        <w:gridCol w:w="1200"/>
        <w:gridCol w:w="1826"/>
      </w:tblGrid>
      <w:tr>
        <w:trPr>
          <w:tblHeader/>
        </w:trPr>
        <w:tc>
          <w:tcPr>
            <w:tcW w:type="dxa" w:w="5000"/>
            <w:tcBorders>
              <w:top w:val="single" w:color="CBD5E1" w:sz="4"/>
              <w:left w:val="single" w:color="CBD5E1" w:sz="4"/>
              <w:bottom w:val="single" w:color="CBD5E1" w:sz="4"/>
              <w:right w:val="single" w:color="CBD5E1" w:sz="4"/>
            </w:tcBorders>
            <w:shd w:fill="E0E7FF" w:color="auto" w:val="clear"/>
            <w:tcMar>
              <w:top w:type="dxa" w:w="60"/>
              <w:left w:type="dxa" w:w="100"/>
              <w:bottom w:type="dxa" w:w="60"/>
              <w:right w:type="dxa" w:w="100"/>
            </w:tcMar>
          </w:tcPr>
          <w:p>
            <w:pPr>
              <w:spacing w:after="0" w:line="252"/>
            </w:pPr>
            <w:r>
              <w:rPr>
                <w:b/>
                <w:bCs/>
                <w:color w:val="1E1B4B"/>
                <w:sz w:val="18"/>
                <w:szCs w:val="18"/>
              </w:rPr>
              <w:t xml:space="preserve">Dimensión</w:t>
            </w:r>
          </w:p>
        </w:tc>
        <w:tc>
          <w:tcPr>
            <w:tcW w:type="dxa" w:w="1000"/>
            <w:tcBorders>
              <w:top w:val="single" w:color="CBD5E1" w:sz="4"/>
              <w:left w:val="single" w:color="CBD5E1" w:sz="4"/>
              <w:bottom w:val="single" w:color="CBD5E1" w:sz="4"/>
              <w:right w:val="single" w:color="CBD5E1" w:sz="4"/>
            </w:tcBorders>
            <w:shd w:fill="E0E7FF" w:color="auto" w:val="clear"/>
            <w:tcMar>
              <w:top w:type="dxa" w:w="60"/>
              <w:left w:type="dxa" w:w="100"/>
              <w:bottom w:type="dxa" w:w="60"/>
              <w:right w:type="dxa" w:w="100"/>
            </w:tcMar>
          </w:tcPr>
          <w:p>
            <w:pPr>
              <w:spacing w:after="0" w:line="252"/>
            </w:pPr>
            <w:r>
              <w:rPr>
                <w:b/>
                <w:bCs/>
                <w:color w:val="1E1B4B"/>
                <w:sz w:val="18"/>
                <w:szCs w:val="18"/>
              </w:rPr>
              <w:t xml:space="preserve">Peso</w:t>
            </w:r>
          </w:p>
        </w:tc>
        <w:tc>
          <w:tcPr>
            <w:tcW w:type="dxa" w:w="1200"/>
            <w:tcBorders>
              <w:top w:val="single" w:color="CBD5E1" w:sz="4"/>
              <w:left w:val="single" w:color="CBD5E1" w:sz="4"/>
              <w:bottom w:val="single" w:color="CBD5E1" w:sz="4"/>
              <w:right w:val="single" w:color="CBD5E1" w:sz="4"/>
            </w:tcBorders>
            <w:shd w:fill="E0E7FF" w:color="auto" w:val="clear"/>
            <w:tcMar>
              <w:top w:type="dxa" w:w="60"/>
              <w:left w:type="dxa" w:w="100"/>
              <w:bottom w:type="dxa" w:w="60"/>
              <w:right w:type="dxa" w:w="100"/>
            </w:tcMar>
          </w:tcPr>
          <w:p>
            <w:pPr>
              <w:spacing w:after="0" w:line="252"/>
            </w:pPr>
            <w:r>
              <w:rPr>
                <w:b/>
                <w:bCs/>
                <w:color w:val="1E1B4B"/>
                <w:sz w:val="18"/>
                <w:szCs w:val="18"/>
              </w:rPr>
              <w:t xml:space="preserve">Nota</w:t>
            </w:r>
          </w:p>
        </w:tc>
        <w:tc>
          <w:tcPr>
            <w:tcW w:type="dxa" w:w="1826"/>
            <w:tcBorders>
              <w:top w:val="single" w:color="CBD5E1" w:sz="4"/>
              <w:left w:val="single" w:color="CBD5E1" w:sz="4"/>
              <w:bottom w:val="single" w:color="CBD5E1" w:sz="4"/>
              <w:right w:val="single" w:color="CBD5E1" w:sz="4"/>
            </w:tcBorders>
            <w:shd w:fill="E0E7FF" w:color="auto" w:val="clear"/>
            <w:tcMar>
              <w:top w:type="dxa" w:w="60"/>
              <w:left w:type="dxa" w:w="100"/>
              <w:bottom w:type="dxa" w:w="60"/>
              <w:right w:type="dxa" w:w="100"/>
            </w:tcMar>
          </w:tcPr>
          <w:p>
            <w:pPr>
              <w:spacing w:after="0" w:line="252"/>
            </w:pPr>
            <w:r>
              <w:rPr>
                <w:b/>
                <w:bCs/>
                <w:color w:val="1E1B4B"/>
                <w:sz w:val="18"/>
                <w:szCs w:val="18"/>
              </w:rPr>
              <w:t xml:space="preserve">Peso × Nota</w:t>
            </w:r>
          </w:p>
        </w:tc>
      </w:tr>
      <w:tr>
        <w:trPr>
          <w:cantSplit/>
        </w:trPr>
        <w:tc>
          <w:tcPr>
            <w:tcW w:type="dxa" w:w="500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line="252"/>
            </w:pPr>
            <w:r>
              <w:rPr>
                <w:b w:val="false"/>
                <w:bCs w:val="false"/>
                <w:sz w:val="18"/>
                <w:szCs w:val="18"/>
              </w:rPr>
              <w:t xml:space="preserve">D1 Accesibilidad (falla el contraste del pie, regla de severidad alta)</w:t>
            </w:r>
          </w:p>
        </w:tc>
        <w:tc>
          <w:tcPr>
            <w:tcW w:type="dxa" w:w="100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line="252"/>
            </w:pPr>
            <w:r>
              <w:rPr>
                <w:b w:val="false"/>
                <w:bCs w:val="false"/>
                <w:sz w:val="18"/>
                <w:szCs w:val="18"/>
              </w:rPr>
              <w:t xml:space="preserve">25</w:t>
            </w:r>
          </w:p>
        </w:tc>
        <w:tc>
          <w:tcPr>
            <w:tcW w:type="dxa" w:w="120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line="252"/>
            </w:pPr>
            <w:r>
              <w:rPr>
                <w:b w:val="false"/>
                <w:bCs w:val="false"/>
                <w:sz w:val="18"/>
                <w:szCs w:val="18"/>
              </w:rPr>
              <w:t xml:space="preserve">7,5</w:t>
            </w:r>
          </w:p>
        </w:tc>
        <w:tc>
          <w:tcPr>
            <w:tcW w:type="dxa" w:w="182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line="252"/>
            </w:pPr>
            <w:r>
              <w:rPr>
                <w:b w:val="false"/>
                <w:bCs w:val="false"/>
                <w:sz w:val="18"/>
                <w:szCs w:val="18"/>
              </w:rPr>
              <w:t xml:space="preserve">187,5</w:t>
            </w:r>
          </w:p>
        </w:tc>
      </w:tr>
      <w:tr>
        <w:trPr>
          <w:cantSplit/>
        </w:trPr>
        <w:tc>
          <w:tcPr>
            <w:tcW w:type="dxa" w:w="5000"/>
            <w:tcBorders>
              <w:top w:val="single" w:color="CBD5E1" w:sz="4"/>
              <w:left w:val="single" w:color="CBD5E1" w:sz="4"/>
              <w:bottom w:val="single" w:color="CBD5E1" w:sz="4"/>
              <w:right w:val="single" w:color="CBD5E1" w:sz="4"/>
            </w:tcBorders>
            <w:shd w:fill="F5F7FF" w:color="auto" w:val="clear"/>
            <w:tcMar>
              <w:top w:type="dxa" w:w="60"/>
              <w:left w:type="dxa" w:w="100"/>
              <w:bottom w:type="dxa" w:w="60"/>
              <w:right w:type="dxa" w:w="100"/>
            </w:tcMar>
          </w:tcPr>
          <w:p>
            <w:pPr>
              <w:spacing w:after="0" w:line="252"/>
            </w:pPr>
            <w:r>
              <w:rPr>
                <w:b w:val="false"/>
                <w:bCs w:val="false"/>
                <w:sz w:val="18"/>
                <w:szCs w:val="18"/>
              </w:rPr>
              <w:t xml:space="preserve">D2 Usabilidad e interacción</w:t>
            </w:r>
          </w:p>
        </w:tc>
        <w:tc>
          <w:tcPr>
            <w:tcW w:type="dxa" w:w="1000"/>
            <w:tcBorders>
              <w:top w:val="single" w:color="CBD5E1" w:sz="4"/>
              <w:left w:val="single" w:color="CBD5E1" w:sz="4"/>
              <w:bottom w:val="single" w:color="CBD5E1" w:sz="4"/>
              <w:right w:val="single" w:color="CBD5E1" w:sz="4"/>
            </w:tcBorders>
            <w:shd w:fill="F5F7FF" w:color="auto" w:val="clear"/>
            <w:tcMar>
              <w:top w:type="dxa" w:w="60"/>
              <w:left w:type="dxa" w:w="100"/>
              <w:bottom w:type="dxa" w:w="60"/>
              <w:right w:type="dxa" w:w="100"/>
            </w:tcMar>
          </w:tcPr>
          <w:p>
            <w:pPr>
              <w:spacing w:after="0" w:line="252"/>
            </w:pPr>
            <w:r>
              <w:rPr>
                <w:b w:val="false"/>
                <w:bCs w:val="false"/>
                <w:sz w:val="18"/>
                <w:szCs w:val="18"/>
              </w:rPr>
              <w:t xml:space="preserve">15</w:t>
            </w:r>
          </w:p>
        </w:tc>
        <w:tc>
          <w:tcPr>
            <w:tcW w:type="dxa" w:w="1200"/>
            <w:tcBorders>
              <w:top w:val="single" w:color="CBD5E1" w:sz="4"/>
              <w:left w:val="single" w:color="CBD5E1" w:sz="4"/>
              <w:bottom w:val="single" w:color="CBD5E1" w:sz="4"/>
              <w:right w:val="single" w:color="CBD5E1" w:sz="4"/>
            </w:tcBorders>
            <w:shd w:fill="F5F7FF" w:color="auto" w:val="clear"/>
            <w:tcMar>
              <w:top w:type="dxa" w:w="60"/>
              <w:left w:type="dxa" w:w="100"/>
              <w:bottom w:type="dxa" w:w="60"/>
              <w:right w:type="dxa" w:w="100"/>
            </w:tcMar>
          </w:tcPr>
          <w:p>
            <w:pPr>
              <w:spacing w:after="0" w:line="252"/>
            </w:pPr>
            <w:r>
              <w:rPr>
                <w:b w:val="false"/>
                <w:bCs w:val="false"/>
                <w:sz w:val="18"/>
                <w:szCs w:val="18"/>
              </w:rPr>
              <w:t xml:space="preserve">8,0</w:t>
            </w:r>
          </w:p>
        </w:tc>
        <w:tc>
          <w:tcPr>
            <w:tcW w:type="dxa" w:w="1826"/>
            <w:tcBorders>
              <w:top w:val="single" w:color="CBD5E1" w:sz="4"/>
              <w:left w:val="single" w:color="CBD5E1" w:sz="4"/>
              <w:bottom w:val="single" w:color="CBD5E1" w:sz="4"/>
              <w:right w:val="single" w:color="CBD5E1" w:sz="4"/>
            </w:tcBorders>
            <w:shd w:fill="F5F7FF" w:color="auto" w:val="clear"/>
            <w:tcMar>
              <w:top w:type="dxa" w:w="60"/>
              <w:left w:type="dxa" w:w="100"/>
              <w:bottom w:type="dxa" w:w="60"/>
              <w:right w:type="dxa" w:w="100"/>
            </w:tcMar>
          </w:tcPr>
          <w:p>
            <w:pPr>
              <w:spacing w:after="0" w:line="252"/>
            </w:pPr>
            <w:r>
              <w:rPr>
                <w:b w:val="false"/>
                <w:bCs w:val="false"/>
                <w:sz w:val="18"/>
                <w:szCs w:val="18"/>
              </w:rPr>
              <w:t xml:space="preserve">120,0</w:t>
            </w:r>
          </w:p>
        </w:tc>
      </w:tr>
      <w:tr>
        <w:trPr>
          <w:cantSplit/>
        </w:trPr>
        <w:tc>
          <w:tcPr>
            <w:tcW w:type="dxa" w:w="500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line="252"/>
            </w:pPr>
            <w:r>
              <w:rPr>
                <w:b w:val="false"/>
                <w:bCs w:val="false"/>
                <w:sz w:val="18"/>
                <w:szCs w:val="18"/>
              </w:rPr>
              <w:t xml:space="preserve">D3 Rendimiento</w:t>
            </w:r>
          </w:p>
        </w:tc>
        <w:tc>
          <w:tcPr>
            <w:tcW w:type="dxa" w:w="100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line="252"/>
            </w:pPr>
            <w:r>
              <w:rPr>
                <w:b w:val="false"/>
                <w:bCs w:val="false"/>
                <w:sz w:val="18"/>
                <w:szCs w:val="18"/>
              </w:rPr>
              <w:t xml:space="preserve">15</w:t>
            </w:r>
          </w:p>
        </w:tc>
        <w:tc>
          <w:tcPr>
            <w:tcW w:type="dxa" w:w="120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line="252"/>
            </w:pPr>
            <w:r>
              <w:rPr>
                <w:b w:val="false"/>
                <w:bCs w:val="false"/>
                <w:sz w:val="18"/>
                <w:szCs w:val="18"/>
              </w:rPr>
              <w:t xml:space="preserve">9,3</w:t>
            </w:r>
          </w:p>
        </w:tc>
        <w:tc>
          <w:tcPr>
            <w:tcW w:type="dxa" w:w="182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line="252"/>
            </w:pPr>
            <w:r>
              <w:rPr>
                <w:b w:val="false"/>
                <w:bCs w:val="false"/>
                <w:sz w:val="18"/>
                <w:szCs w:val="18"/>
              </w:rPr>
              <w:t xml:space="preserve">139,5</w:t>
            </w:r>
          </w:p>
        </w:tc>
      </w:tr>
      <w:tr>
        <w:trPr>
          <w:cantSplit/>
        </w:trPr>
        <w:tc>
          <w:tcPr>
            <w:tcW w:type="dxa" w:w="5000"/>
            <w:tcBorders>
              <w:top w:val="single" w:color="CBD5E1" w:sz="4"/>
              <w:left w:val="single" w:color="CBD5E1" w:sz="4"/>
              <w:bottom w:val="single" w:color="CBD5E1" w:sz="4"/>
              <w:right w:val="single" w:color="CBD5E1" w:sz="4"/>
            </w:tcBorders>
            <w:shd w:fill="F5F7FF" w:color="auto" w:val="clear"/>
            <w:tcMar>
              <w:top w:type="dxa" w:w="60"/>
              <w:left w:type="dxa" w:w="100"/>
              <w:bottom w:type="dxa" w:w="60"/>
              <w:right w:type="dxa" w:w="100"/>
            </w:tcMar>
          </w:tcPr>
          <w:p>
            <w:pPr>
              <w:spacing w:after="0" w:line="252"/>
            </w:pPr>
            <w:r>
              <w:rPr>
                <w:b w:val="false"/>
                <w:bCs w:val="false"/>
                <w:sz w:val="18"/>
                <w:szCs w:val="18"/>
              </w:rPr>
              <w:t xml:space="preserve">D4 Diseño visual y contenido</w:t>
            </w:r>
          </w:p>
        </w:tc>
        <w:tc>
          <w:tcPr>
            <w:tcW w:type="dxa" w:w="1000"/>
            <w:tcBorders>
              <w:top w:val="single" w:color="CBD5E1" w:sz="4"/>
              <w:left w:val="single" w:color="CBD5E1" w:sz="4"/>
              <w:bottom w:val="single" w:color="CBD5E1" w:sz="4"/>
              <w:right w:val="single" w:color="CBD5E1" w:sz="4"/>
            </w:tcBorders>
            <w:shd w:fill="F5F7FF" w:color="auto" w:val="clear"/>
            <w:tcMar>
              <w:top w:type="dxa" w:w="60"/>
              <w:left w:type="dxa" w:w="100"/>
              <w:bottom w:type="dxa" w:w="60"/>
              <w:right w:type="dxa" w:w="100"/>
            </w:tcMar>
          </w:tcPr>
          <w:p>
            <w:pPr>
              <w:spacing w:after="0" w:line="252"/>
            </w:pPr>
            <w:r>
              <w:rPr>
                <w:b w:val="false"/>
                <w:bCs w:val="false"/>
                <w:sz w:val="18"/>
                <w:szCs w:val="18"/>
              </w:rPr>
              <w:t xml:space="preserve">10</w:t>
            </w:r>
          </w:p>
        </w:tc>
        <w:tc>
          <w:tcPr>
            <w:tcW w:type="dxa" w:w="1200"/>
            <w:tcBorders>
              <w:top w:val="single" w:color="CBD5E1" w:sz="4"/>
              <w:left w:val="single" w:color="CBD5E1" w:sz="4"/>
              <w:bottom w:val="single" w:color="CBD5E1" w:sz="4"/>
              <w:right w:val="single" w:color="CBD5E1" w:sz="4"/>
            </w:tcBorders>
            <w:shd w:fill="F5F7FF" w:color="auto" w:val="clear"/>
            <w:tcMar>
              <w:top w:type="dxa" w:w="60"/>
              <w:left w:type="dxa" w:w="100"/>
              <w:bottom w:type="dxa" w:w="60"/>
              <w:right w:type="dxa" w:w="100"/>
            </w:tcMar>
          </w:tcPr>
          <w:p>
            <w:pPr>
              <w:spacing w:after="0" w:line="252"/>
            </w:pPr>
            <w:r>
              <w:rPr>
                <w:b w:val="false"/>
                <w:bCs w:val="false"/>
                <w:sz w:val="18"/>
                <w:szCs w:val="18"/>
              </w:rPr>
              <w:t xml:space="preserve">8,5</w:t>
            </w:r>
          </w:p>
        </w:tc>
        <w:tc>
          <w:tcPr>
            <w:tcW w:type="dxa" w:w="1826"/>
            <w:tcBorders>
              <w:top w:val="single" w:color="CBD5E1" w:sz="4"/>
              <w:left w:val="single" w:color="CBD5E1" w:sz="4"/>
              <w:bottom w:val="single" w:color="CBD5E1" w:sz="4"/>
              <w:right w:val="single" w:color="CBD5E1" w:sz="4"/>
            </w:tcBorders>
            <w:shd w:fill="F5F7FF" w:color="auto" w:val="clear"/>
            <w:tcMar>
              <w:top w:type="dxa" w:w="60"/>
              <w:left w:type="dxa" w:w="100"/>
              <w:bottom w:type="dxa" w:w="60"/>
              <w:right w:type="dxa" w:w="100"/>
            </w:tcMar>
          </w:tcPr>
          <w:p>
            <w:pPr>
              <w:spacing w:after="0" w:line="252"/>
            </w:pPr>
            <w:r>
              <w:rPr>
                <w:b w:val="false"/>
                <w:bCs w:val="false"/>
                <w:sz w:val="18"/>
                <w:szCs w:val="18"/>
              </w:rPr>
              <w:t xml:space="preserve">85,0</w:t>
            </w:r>
          </w:p>
        </w:tc>
      </w:tr>
      <w:tr>
        <w:trPr>
          <w:cantSplit/>
        </w:trPr>
        <w:tc>
          <w:tcPr>
            <w:tcW w:type="dxa" w:w="500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line="252"/>
            </w:pPr>
            <w:r>
              <w:rPr>
                <w:b w:val="false"/>
                <w:bCs w:val="false"/>
                <w:sz w:val="18"/>
                <w:szCs w:val="18"/>
              </w:rPr>
              <w:t xml:space="preserve">D5 Formularios (campos obligatorios sin indicar)</w:t>
            </w:r>
          </w:p>
        </w:tc>
        <w:tc>
          <w:tcPr>
            <w:tcW w:type="dxa" w:w="100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line="252"/>
            </w:pPr>
            <w:r>
              <w:rPr>
                <w:b w:val="false"/>
                <w:bCs w:val="false"/>
                <w:sz w:val="18"/>
                <w:szCs w:val="18"/>
              </w:rPr>
              <w:t xml:space="preserve">10</w:t>
            </w:r>
          </w:p>
        </w:tc>
        <w:tc>
          <w:tcPr>
            <w:tcW w:type="dxa" w:w="120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line="252"/>
            </w:pPr>
            <w:r>
              <w:rPr>
                <w:b w:val="false"/>
                <w:bCs w:val="false"/>
                <w:sz w:val="18"/>
                <w:szCs w:val="18"/>
              </w:rPr>
              <w:t xml:space="preserve">6,0</w:t>
            </w:r>
          </w:p>
        </w:tc>
        <w:tc>
          <w:tcPr>
            <w:tcW w:type="dxa" w:w="182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line="252"/>
            </w:pPr>
            <w:r>
              <w:rPr>
                <w:b w:val="false"/>
                <w:bCs w:val="false"/>
                <w:sz w:val="18"/>
                <w:szCs w:val="18"/>
              </w:rPr>
              <w:t xml:space="preserve">60,0</w:t>
            </w:r>
          </w:p>
        </w:tc>
      </w:tr>
      <w:tr>
        <w:trPr>
          <w:cantSplit/>
        </w:trPr>
        <w:tc>
          <w:tcPr>
            <w:tcW w:type="dxa" w:w="5000"/>
            <w:tcBorders>
              <w:top w:val="single" w:color="CBD5E1" w:sz="4"/>
              <w:left w:val="single" w:color="CBD5E1" w:sz="4"/>
              <w:bottom w:val="single" w:color="CBD5E1" w:sz="4"/>
              <w:right w:val="single" w:color="CBD5E1" w:sz="4"/>
            </w:tcBorders>
            <w:shd w:fill="F5F7FF" w:color="auto" w:val="clear"/>
            <w:tcMar>
              <w:top w:type="dxa" w:w="60"/>
              <w:left w:type="dxa" w:w="100"/>
              <w:bottom w:type="dxa" w:w="60"/>
              <w:right w:type="dxa" w:w="100"/>
            </w:tcMar>
          </w:tcPr>
          <w:p>
            <w:pPr>
              <w:spacing w:after="0" w:line="252"/>
            </w:pPr>
            <w:r>
              <w:rPr>
                <w:b w:val="false"/>
                <w:bCs w:val="false"/>
                <w:sz w:val="18"/>
                <w:szCs w:val="18"/>
              </w:rPr>
              <w:t xml:space="preserve">D6 Navegación</w:t>
            </w:r>
          </w:p>
        </w:tc>
        <w:tc>
          <w:tcPr>
            <w:tcW w:type="dxa" w:w="1000"/>
            <w:tcBorders>
              <w:top w:val="single" w:color="CBD5E1" w:sz="4"/>
              <w:left w:val="single" w:color="CBD5E1" w:sz="4"/>
              <w:bottom w:val="single" w:color="CBD5E1" w:sz="4"/>
              <w:right w:val="single" w:color="CBD5E1" w:sz="4"/>
            </w:tcBorders>
            <w:shd w:fill="F5F7FF" w:color="auto" w:val="clear"/>
            <w:tcMar>
              <w:top w:type="dxa" w:w="60"/>
              <w:left w:type="dxa" w:w="100"/>
              <w:bottom w:type="dxa" w:w="60"/>
              <w:right w:type="dxa" w:w="100"/>
            </w:tcMar>
          </w:tcPr>
          <w:p>
            <w:pPr>
              <w:spacing w:after="0" w:line="252"/>
            </w:pPr>
            <w:r>
              <w:rPr>
                <w:b w:val="false"/>
                <w:bCs w:val="false"/>
                <w:sz w:val="18"/>
                <w:szCs w:val="18"/>
              </w:rPr>
              <w:t xml:space="preserve">10</w:t>
            </w:r>
          </w:p>
        </w:tc>
        <w:tc>
          <w:tcPr>
            <w:tcW w:type="dxa" w:w="1200"/>
            <w:tcBorders>
              <w:top w:val="single" w:color="CBD5E1" w:sz="4"/>
              <w:left w:val="single" w:color="CBD5E1" w:sz="4"/>
              <w:bottom w:val="single" w:color="CBD5E1" w:sz="4"/>
              <w:right w:val="single" w:color="CBD5E1" w:sz="4"/>
            </w:tcBorders>
            <w:shd w:fill="F5F7FF" w:color="auto" w:val="clear"/>
            <w:tcMar>
              <w:top w:type="dxa" w:w="60"/>
              <w:left w:type="dxa" w:w="100"/>
              <w:bottom w:type="dxa" w:w="60"/>
              <w:right w:type="dxa" w:w="100"/>
            </w:tcMar>
          </w:tcPr>
          <w:p>
            <w:pPr>
              <w:spacing w:after="0" w:line="252"/>
            </w:pPr>
            <w:r>
              <w:rPr>
                <w:b w:val="false"/>
                <w:bCs w:val="false"/>
                <w:sz w:val="18"/>
                <w:szCs w:val="18"/>
              </w:rPr>
              <w:t xml:space="preserve">9,0</w:t>
            </w:r>
          </w:p>
        </w:tc>
        <w:tc>
          <w:tcPr>
            <w:tcW w:type="dxa" w:w="1826"/>
            <w:tcBorders>
              <w:top w:val="single" w:color="CBD5E1" w:sz="4"/>
              <w:left w:val="single" w:color="CBD5E1" w:sz="4"/>
              <w:bottom w:val="single" w:color="CBD5E1" w:sz="4"/>
              <w:right w:val="single" w:color="CBD5E1" w:sz="4"/>
            </w:tcBorders>
            <w:shd w:fill="F5F7FF" w:color="auto" w:val="clear"/>
            <w:tcMar>
              <w:top w:type="dxa" w:w="60"/>
              <w:left w:type="dxa" w:w="100"/>
              <w:bottom w:type="dxa" w:w="60"/>
              <w:right w:type="dxa" w:w="100"/>
            </w:tcMar>
          </w:tcPr>
          <w:p>
            <w:pPr>
              <w:spacing w:after="0" w:line="252"/>
            </w:pPr>
            <w:r>
              <w:rPr>
                <w:b w:val="false"/>
                <w:bCs w:val="false"/>
                <w:sz w:val="18"/>
                <w:szCs w:val="18"/>
              </w:rPr>
              <w:t xml:space="preserve">90,0</w:t>
            </w:r>
          </w:p>
        </w:tc>
      </w:tr>
      <w:tr>
        <w:trPr>
          <w:cantSplit/>
        </w:trPr>
        <w:tc>
          <w:tcPr>
            <w:tcW w:type="dxa" w:w="500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line="252"/>
            </w:pPr>
            <w:r>
              <w:rPr>
                <w:b w:val="false"/>
                <w:bCs w:val="false"/>
                <w:sz w:val="18"/>
                <w:szCs w:val="18"/>
              </w:rPr>
              <w:t xml:space="preserve">D8 Ética (en el banner de cookies, «Rechazar» es un enlace pequeño)</w:t>
            </w:r>
          </w:p>
        </w:tc>
        <w:tc>
          <w:tcPr>
            <w:tcW w:type="dxa" w:w="100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line="252"/>
            </w:pPr>
            <w:r>
              <w:rPr>
                <w:b w:val="false"/>
                <w:bCs w:val="false"/>
                <w:sz w:val="18"/>
                <w:szCs w:val="18"/>
              </w:rPr>
              <w:t xml:space="preserve">10</w:t>
            </w:r>
          </w:p>
        </w:tc>
        <w:tc>
          <w:tcPr>
            <w:tcW w:type="dxa" w:w="120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line="252"/>
            </w:pPr>
            <w:r>
              <w:rPr>
                <w:b w:val="false"/>
                <w:bCs w:val="false"/>
                <w:sz w:val="18"/>
                <w:szCs w:val="18"/>
              </w:rPr>
              <w:t xml:space="preserve">6,5</w:t>
            </w:r>
          </w:p>
        </w:tc>
        <w:tc>
          <w:tcPr>
            <w:tcW w:type="dxa" w:w="182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line="252"/>
            </w:pPr>
            <w:r>
              <w:rPr>
                <w:b w:val="false"/>
                <w:bCs w:val="false"/>
                <w:sz w:val="18"/>
                <w:szCs w:val="18"/>
              </w:rPr>
              <w:t xml:space="preserve">65,0</w:t>
            </w:r>
          </w:p>
        </w:tc>
      </w:tr>
      <w:tr>
        <w:trPr>
          <w:cantSplit/>
        </w:trPr>
        <w:tc>
          <w:tcPr>
            <w:tcW w:type="dxa" w:w="5000"/>
            <w:tcBorders>
              <w:top w:val="single" w:color="CBD5E1" w:sz="4"/>
              <w:left w:val="single" w:color="CBD5E1" w:sz="4"/>
              <w:bottom w:val="single" w:color="CBD5E1" w:sz="4"/>
              <w:right w:val="single" w:color="CBD5E1" w:sz="4"/>
            </w:tcBorders>
            <w:shd w:fill="F5F7FF" w:color="auto" w:val="clear"/>
            <w:tcMar>
              <w:top w:type="dxa" w:w="60"/>
              <w:left w:type="dxa" w:w="100"/>
              <w:bottom w:type="dxa" w:w="60"/>
              <w:right w:type="dxa" w:w="100"/>
            </w:tcMar>
          </w:tcPr>
          <w:p>
            <w:pPr>
              <w:spacing w:after="0" w:line="252"/>
            </w:pPr>
            <w:r>
              <w:rPr>
                <w:b/>
                <w:bCs/>
                <w:sz w:val="18"/>
                <w:szCs w:val="18"/>
              </w:rPr>
              <w:t xml:space="preserve">Total</w:t>
            </w:r>
          </w:p>
        </w:tc>
        <w:tc>
          <w:tcPr>
            <w:tcW w:type="dxa" w:w="1000"/>
            <w:tcBorders>
              <w:top w:val="single" w:color="CBD5E1" w:sz="4"/>
              <w:left w:val="single" w:color="CBD5E1" w:sz="4"/>
              <w:bottom w:val="single" w:color="CBD5E1" w:sz="4"/>
              <w:right w:val="single" w:color="CBD5E1" w:sz="4"/>
            </w:tcBorders>
            <w:shd w:fill="F5F7FF" w:color="auto" w:val="clear"/>
            <w:tcMar>
              <w:top w:type="dxa" w:w="60"/>
              <w:left w:type="dxa" w:w="100"/>
              <w:bottom w:type="dxa" w:w="60"/>
              <w:right w:type="dxa" w:w="100"/>
            </w:tcMar>
          </w:tcPr>
          <w:p>
            <w:pPr>
              <w:spacing w:after="0" w:line="252"/>
            </w:pPr>
            <w:r>
              <w:rPr>
                <w:b/>
                <w:bCs/>
                <w:sz w:val="18"/>
                <w:szCs w:val="18"/>
              </w:rPr>
              <w:t xml:space="preserve">95</w:t>
            </w:r>
          </w:p>
        </w:tc>
        <w:tc>
          <w:tcPr>
            <w:tcW w:type="dxa" w:w="1200"/>
            <w:tcBorders>
              <w:top w:val="single" w:color="CBD5E1" w:sz="4"/>
              <w:left w:val="single" w:color="CBD5E1" w:sz="4"/>
              <w:bottom w:val="single" w:color="CBD5E1" w:sz="4"/>
              <w:right w:val="single" w:color="CBD5E1" w:sz="4"/>
            </w:tcBorders>
            <w:shd w:fill="F5F7FF" w:color="auto" w:val="clear"/>
            <w:tcMar>
              <w:top w:type="dxa" w:w="60"/>
              <w:left w:type="dxa" w:w="100"/>
              <w:bottom w:type="dxa" w:w="60"/>
              <w:right w:type="dxa" w:w="100"/>
            </w:tcMar>
          </w:tcPr>
          <w:p>
            <w:pPr>
              <w:spacing w:after="0" w:line="252"/>
            </w:pPr>
          </w:p>
        </w:tc>
        <w:tc>
          <w:tcPr>
            <w:tcW w:type="dxa" w:w="1826"/>
            <w:tcBorders>
              <w:top w:val="single" w:color="CBD5E1" w:sz="4"/>
              <w:left w:val="single" w:color="CBD5E1" w:sz="4"/>
              <w:bottom w:val="single" w:color="CBD5E1" w:sz="4"/>
              <w:right w:val="single" w:color="CBD5E1" w:sz="4"/>
            </w:tcBorders>
            <w:shd w:fill="F5F7FF" w:color="auto" w:val="clear"/>
            <w:tcMar>
              <w:top w:type="dxa" w:w="60"/>
              <w:left w:type="dxa" w:w="100"/>
              <w:bottom w:type="dxa" w:w="60"/>
              <w:right w:type="dxa" w:w="100"/>
            </w:tcMar>
          </w:tcPr>
          <w:p>
            <w:pPr>
              <w:spacing w:after="0" w:line="252"/>
            </w:pPr>
            <w:r>
              <w:rPr>
                <w:b/>
                <w:bCs/>
                <w:sz w:val="18"/>
                <w:szCs w:val="18"/>
              </w:rPr>
              <w:t xml:space="preserve">747,0</w:t>
            </w:r>
          </w:p>
        </w:tc>
      </w:tr>
    </w:tbl>
    <w:p>
      <w:pPr>
        <w:spacing w:after="120"/>
      </w:pPr>
    </w:p>
    <w:p>
      <w:pPr>
        <w:spacing w:after="120" w:line="276"/>
      </w:pPr>
      <w:r>
        <w:rPr>
          <w:b/>
          <w:bCs/>
        </w:rPr>
        <w:t xml:space="preserve">IUX = 747,0 / 95 = 7,86.</w:t>
      </w:r>
      <w:r>
        <w:t xml:space="preserve"> En modo estándar sería «Buena». En </w:t>
      </w:r>
      <w:r>
        <w:rPr>
          <w:b/>
          <w:bCs/>
        </w:rPr>
        <w:t xml:space="preserve">modo estricto</w:t>
      </w:r>
      <w:r>
        <w:t xml:space="preserve">, el fallo de contraste (alta, D1) aplica el techo de 6,9, así que la nota final es </w:t>
      </w:r>
      <w:r>
        <w:rPr>
          <w:b/>
          <w:bCs/>
        </w:rPr>
        <w:t xml:space="preserve">6,9 → «Aceptable»</w:t>
      </w:r>
      <w:r>
        <w:t xml:space="preserve">. Si además el formulario no pudiera enviarse con teclado (fallo crítico), la nota bajaría a </w:t>
      </w:r>
      <w:r>
        <w:rPr>
          <w:b/>
          <w:bCs/>
        </w:rPr>
        <w:t xml:space="preserve">4,9 → «Deficiente»</w:t>
      </w:r>
      <w:r>
        <w:t xml:space="preserve">.</w:t>
      </w:r>
    </w:p>
    <w:p>
      <w:pPr>
        <w:pBdr>
          <w:left w:val="single" w:color="4F46E5" w:sz="18" w:space="8"/>
        </w:pBdr>
        <w:shd w:fill="EEF2FF" w:color="auto" w:val="clear"/>
        <w:spacing w:after="160" w:before="80" w:line="264"/>
        <w:ind w:left="160"/>
      </w:pPr>
      <w:r>
        <w:rPr>
          <w:b/>
          <w:bCs/>
        </w:rPr>
        <w:t xml:space="preserve">Por qué esta métrica es válida:</w:t>
      </w:r>
      <w:r>
        <w:t xml:space="preserve"> es </w:t>
      </w:r>
      <w:r>
        <w:rPr>
          <w:b/>
          <w:bCs/>
        </w:rPr>
        <w:t xml:space="preserve">trazable</w:t>
      </w:r>
      <w:r>
        <w:t xml:space="preserve"> (cada punto perdido corresponde a una regla concreta con su norma), </w:t>
      </w:r>
      <w:r>
        <w:rPr>
          <w:b/>
          <w:bCs/>
        </w:rPr>
        <w:t xml:space="preserve">reproducible</w:t>
      </w:r>
      <w:r>
        <w:t xml:space="preserve"> (mismas reglas → misma nota), </w:t>
      </w:r>
      <w:r>
        <w:rPr>
          <w:b/>
          <w:bCs/>
        </w:rPr>
        <w:t xml:space="preserve">ponderada por impacto</w:t>
      </w:r>
      <w:r>
        <w:t xml:space="preserve"> (severidades) y </w:t>
      </w:r>
      <w:r>
        <w:rPr>
          <w:b/>
          <w:bCs/>
        </w:rPr>
        <w:t xml:space="preserve">comparable</w:t>
      </w:r>
      <w:r>
        <w:t xml:space="preserve"> entre versiones de un mismo producto.</w:t>
      </w:r>
    </w:p>
    <w:p>
      <w:pPr>
        <w:pStyle w:val="Heading1"/>
        <w:pageBreakBefore/>
      </w:pPr>
      <w:r>
        <w:t xml:space="preserve">04- Auditor Reutilizable</w:t>
      </w:r>
    </w:p>
    <w:p>
      <w:pPr>
        <w:spacing w:after="120" w:line="276"/>
      </w:pPr>
      <w:r>
        <w:t xml:space="preserve">El </w:t>
      </w:r>
      <w:r>
        <w:rPr>
          <w:b/>
          <w:bCs/>
        </w:rPr>
        <w:t xml:space="preserve">UX-Auditor</w:t>
      </w:r>
      <w:r>
        <w:t xml:space="preserve"> es una herramienta que analiza una web o aplicación, aplica las reglas de la métrica IUX y genera un informe con la nota de 0 a 10, los fallos detectados y cómo corregirlos. Es </w:t>
      </w:r>
      <w:r>
        <w:rPr>
          <w:b/>
          <w:bCs/>
        </w:rPr>
        <w:t xml:space="preserve">reutilizable</w:t>
      </w:r>
      <w:r>
        <w:t xml:space="preserve"> porque las reglas, los pesos y la plataforma se definen en ficheros de configuración, no en el código, y porque puede usarse en cualquier proyecto (por terminal, como librería o dentro de un pipeline de CI).</w:t>
      </w:r>
    </w:p>
    <w:p>
      <w:pPr>
        <w:pStyle w:val="Heading2"/>
      </w:pPr>
      <w:r>
        <w:t xml:space="preserve">4.1 Requisitos / Análisis</w:t>
      </w:r>
    </w:p>
    <w:p>
      <w:pPr>
        <w:pStyle w:val="Heading3"/>
      </w:pPr>
      <w:r>
        <w:t xml:space="preserve">Actores y casos de uso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tcBorders>
              <w:top w:val="single" w:color="CBD5E1" w:sz="4"/>
              <w:left w:val="single" w:color="CBD5E1" w:sz="4"/>
              <w:bottom w:val="single" w:color="CBD5E1" w:sz="4"/>
              <w:right w:val="single" w:color="CBD5E1" w:sz="4"/>
            </w:tcBorders>
            <w:shd w:fill="E0E7FF" w:color="auto" w:val="clear"/>
            <w:tcMar>
              <w:top w:type="dxa" w:w="60"/>
              <w:left w:type="dxa" w:w="100"/>
              <w:bottom w:type="dxa" w:w="60"/>
              <w:right w:type="dxa" w:w="100"/>
            </w:tcMar>
          </w:tcPr>
          <w:p>
            <w:pPr>
              <w:spacing w:after="0" w:line="252"/>
            </w:pPr>
            <w:r>
              <w:rPr>
                <w:b/>
                <w:bCs/>
                <w:color w:val="1E1B4B"/>
                <w:sz w:val="18"/>
                <w:szCs w:val="18"/>
              </w:rPr>
              <w:t xml:space="preserve">Actor</w:t>
            </w:r>
          </w:p>
        </w:tc>
        <w:tc>
          <w:tcPr>
            <w:tcW w:type="dxa" w:w="6426"/>
            <w:tcBorders>
              <w:top w:val="single" w:color="CBD5E1" w:sz="4"/>
              <w:left w:val="single" w:color="CBD5E1" w:sz="4"/>
              <w:bottom w:val="single" w:color="CBD5E1" w:sz="4"/>
              <w:right w:val="single" w:color="CBD5E1" w:sz="4"/>
            </w:tcBorders>
            <w:shd w:fill="E0E7FF" w:color="auto" w:val="clear"/>
            <w:tcMar>
              <w:top w:type="dxa" w:w="60"/>
              <w:left w:type="dxa" w:w="100"/>
              <w:bottom w:type="dxa" w:w="60"/>
              <w:right w:type="dxa" w:w="100"/>
            </w:tcMar>
          </w:tcPr>
          <w:p>
            <w:pPr>
              <w:spacing w:after="0" w:line="252"/>
            </w:pPr>
            <w:r>
              <w:rPr>
                <w:b/>
                <w:bCs/>
                <w:color w:val="1E1B4B"/>
                <w:sz w:val="18"/>
                <w:szCs w:val="18"/>
              </w:rPr>
              <w:t xml:space="preserve">Caso de uso principal</w:t>
            </w:r>
          </w:p>
        </w:tc>
      </w:tr>
      <w:tr>
        <w:trPr>
          <w:cantSplit/>
        </w:trPr>
        <w:tc>
          <w:tcPr>
            <w:tcW w:type="dxa" w:w="260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line="252"/>
            </w:pPr>
            <w:r>
              <w:rPr>
                <w:b w:val="false"/>
                <w:bCs w:val="false"/>
                <w:sz w:val="18"/>
                <w:szCs w:val="18"/>
              </w:rPr>
              <w:t xml:space="preserve">Desarrollador/a</w:t>
            </w:r>
          </w:p>
        </w:tc>
        <w:tc>
          <w:tcPr>
            <w:tcW w:type="dxa" w:w="642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line="252"/>
            </w:pPr>
            <w:r>
              <w:rPr>
                <w:b w:val="false"/>
                <w:bCs w:val="false"/>
                <w:sz w:val="18"/>
                <w:szCs w:val="18"/>
              </w:rPr>
              <w:t xml:space="preserve">Lanza una auditoría sobre su web local antes de subir cambios y corrige los fallos indicados.</w:t>
            </w:r>
          </w:p>
        </w:tc>
      </w:tr>
      <w:tr>
        <w:trPr>
          <w:cantSplit/>
        </w:trPr>
        <w:tc>
          <w:tcPr>
            <w:tcW w:type="dxa" w:w="2600"/>
            <w:tcBorders>
              <w:top w:val="single" w:color="CBD5E1" w:sz="4"/>
              <w:left w:val="single" w:color="CBD5E1" w:sz="4"/>
              <w:bottom w:val="single" w:color="CBD5E1" w:sz="4"/>
              <w:right w:val="single" w:color="CBD5E1" w:sz="4"/>
            </w:tcBorders>
            <w:shd w:fill="F5F7FF" w:color="auto" w:val="clear"/>
            <w:tcMar>
              <w:top w:type="dxa" w:w="60"/>
              <w:left w:type="dxa" w:w="100"/>
              <w:bottom w:type="dxa" w:w="60"/>
              <w:right w:type="dxa" w:w="100"/>
            </w:tcMar>
          </w:tcPr>
          <w:p>
            <w:pPr>
              <w:spacing w:after="0" w:line="252"/>
            </w:pPr>
            <w:r>
              <w:rPr>
                <w:b w:val="false"/>
                <w:bCs w:val="false"/>
                <w:sz w:val="18"/>
                <w:szCs w:val="18"/>
              </w:rPr>
              <w:t xml:space="preserve">Diseñador/a UX</w:t>
            </w:r>
          </w:p>
        </w:tc>
        <w:tc>
          <w:tcPr>
            <w:tcW w:type="dxa" w:w="6426"/>
            <w:tcBorders>
              <w:top w:val="single" w:color="CBD5E1" w:sz="4"/>
              <w:left w:val="single" w:color="CBD5E1" w:sz="4"/>
              <w:bottom w:val="single" w:color="CBD5E1" w:sz="4"/>
              <w:right w:val="single" w:color="CBD5E1" w:sz="4"/>
            </w:tcBorders>
            <w:shd w:fill="F5F7FF" w:color="auto" w:val="clear"/>
            <w:tcMar>
              <w:top w:type="dxa" w:w="60"/>
              <w:left w:type="dxa" w:w="100"/>
              <w:bottom w:type="dxa" w:w="60"/>
              <w:right w:type="dxa" w:w="100"/>
            </w:tcMar>
          </w:tcPr>
          <w:p>
            <w:pPr>
              <w:spacing w:after="0" w:line="252"/>
            </w:pPr>
            <w:r>
              <w:rPr>
                <w:b w:val="false"/>
                <w:bCs w:val="false"/>
                <w:sz w:val="18"/>
                <w:szCs w:val="18"/>
              </w:rPr>
              <w:t xml:space="preserve">Completa la parte experta (heurísticas) mediante un formulario guiado y revisa el informe.</w:t>
            </w:r>
          </w:p>
        </w:tc>
      </w:tr>
      <w:tr>
        <w:trPr>
          <w:cantSplit/>
        </w:trPr>
        <w:tc>
          <w:tcPr>
            <w:tcW w:type="dxa" w:w="260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line="252"/>
            </w:pPr>
            <w:r>
              <w:rPr>
                <w:b w:val="false"/>
                <w:bCs w:val="false"/>
                <w:sz w:val="18"/>
                <w:szCs w:val="18"/>
              </w:rPr>
              <w:t xml:space="preserve">Pipeline de CI (GitHub Actions)</w:t>
            </w:r>
          </w:p>
        </w:tc>
        <w:tc>
          <w:tcPr>
            <w:tcW w:type="dxa" w:w="642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line="252"/>
            </w:pPr>
            <w:r>
              <w:rPr>
                <w:b w:val="false"/>
                <w:bCs w:val="false"/>
                <w:sz w:val="18"/>
                <w:szCs w:val="18"/>
              </w:rPr>
              <w:t xml:space="preserve">Ejecuta el auditor en cada pull request y la bloquea si el IUX baja de un umbral.</w:t>
            </w:r>
          </w:p>
        </w:tc>
      </w:tr>
      <w:tr>
        <w:trPr>
          <w:cantSplit/>
        </w:trPr>
        <w:tc>
          <w:tcPr>
            <w:tcW w:type="dxa" w:w="2600"/>
            <w:tcBorders>
              <w:top w:val="single" w:color="CBD5E1" w:sz="4"/>
              <w:left w:val="single" w:color="CBD5E1" w:sz="4"/>
              <w:bottom w:val="single" w:color="CBD5E1" w:sz="4"/>
              <w:right w:val="single" w:color="CBD5E1" w:sz="4"/>
            </w:tcBorders>
            <w:shd w:fill="F5F7FF" w:color="auto" w:val="clear"/>
            <w:tcMar>
              <w:top w:type="dxa" w:w="60"/>
              <w:left w:type="dxa" w:w="100"/>
              <w:bottom w:type="dxa" w:w="60"/>
              <w:right w:type="dxa" w:w="100"/>
            </w:tcMar>
          </w:tcPr>
          <w:p>
            <w:pPr>
              <w:spacing w:after="0" w:line="252"/>
            </w:pPr>
            <w:r>
              <w:rPr>
                <w:b w:val="false"/>
                <w:bCs w:val="false"/>
                <w:sz w:val="18"/>
                <w:szCs w:val="18"/>
              </w:rPr>
              <w:t xml:space="preserve">Profesor/a o cliente</w:t>
            </w:r>
          </w:p>
        </w:tc>
        <w:tc>
          <w:tcPr>
            <w:tcW w:type="dxa" w:w="6426"/>
            <w:tcBorders>
              <w:top w:val="single" w:color="CBD5E1" w:sz="4"/>
              <w:left w:val="single" w:color="CBD5E1" w:sz="4"/>
              <w:bottom w:val="single" w:color="CBD5E1" w:sz="4"/>
              <w:right w:val="single" w:color="CBD5E1" w:sz="4"/>
            </w:tcBorders>
            <w:shd w:fill="F5F7FF" w:color="auto" w:val="clear"/>
            <w:tcMar>
              <w:top w:type="dxa" w:w="60"/>
              <w:left w:type="dxa" w:w="100"/>
              <w:bottom w:type="dxa" w:w="60"/>
              <w:right w:type="dxa" w:w="100"/>
            </w:tcMar>
          </w:tcPr>
          <w:p>
            <w:pPr>
              <w:spacing w:after="0" w:line="252"/>
            </w:pPr>
            <w:r>
              <w:rPr>
                <w:b w:val="false"/>
                <w:bCs w:val="false"/>
                <w:sz w:val="18"/>
                <w:szCs w:val="18"/>
              </w:rPr>
              <w:t xml:space="preserve">Consulta el informe HTML y la evolución de la puntuación.</w:t>
            </w:r>
          </w:p>
        </w:tc>
      </w:tr>
    </w:tbl>
    <w:p>
      <w:pPr>
        <w:pStyle w:val="Heading3"/>
      </w:pPr>
      <w:r>
        <w:t xml:space="preserve">Requisitos funcionales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6826"/>
        <w:gridCol w:w="1300"/>
      </w:tblGrid>
      <w:tr>
        <w:trPr>
          <w:tblHeader/>
        </w:trPr>
        <w:tc>
          <w:tcPr>
            <w:tcW w:type="dxa" w:w="900"/>
            <w:tcBorders>
              <w:top w:val="single" w:color="CBD5E1" w:sz="4"/>
              <w:left w:val="single" w:color="CBD5E1" w:sz="4"/>
              <w:bottom w:val="single" w:color="CBD5E1" w:sz="4"/>
              <w:right w:val="single" w:color="CBD5E1" w:sz="4"/>
            </w:tcBorders>
            <w:shd w:fill="E0E7FF" w:color="auto" w:val="clear"/>
            <w:tcMar>
              <w:top w:type="dxa" w:w="60"/>
              <w:left w:type="dxa" w:w="100"/>
              <w:bottom w:type="dxa" w:w="60"/>
              <w:right w:type="dxa" w:w="100"/>
            </w:tcMar>
          </w:tcPr>
          <w:p>
            <w:pPr>
              <w:spacing w:after="0" w:line="252"/>
            </w:pPr>
            <w:r>
              <w:rPr>
                <w:b/>
                <w:bCs/>
                <w:color w:val="1E1B4B"/>
                <w:sz w:val="18"/>
                <w:szCs w:val="18"/>
              </w:rPr>
              <w:t xml:space="preserve">ID</w:t>
            </w:r>
          </w:p>
        </w:tc>
        <w:tc>
          <w:tcPr>
            <w:tcW w:type="dxa" w:w="6826"/>
            <w:tcBorders>
              <w:top w:val="single" w:color="CBD5E1" w:sz="4"/>
              <w:left w:val="single" w:color="CBD5E1" w:sz="4"/>
              <w:bottom w:val="single" w:color="CBD5E1" w:sz="4"/>
              <w:right w:val="single" w:color="CBD5E1" w:sz="4"/>
            </w:tcBorders>
            <w:shd w:fill="E0E7FF" w:color="auto" w:val="clear"/>
            <w:tcMar>
              <w:top w:type="dxa" w:w="60"/>
              <w:left w:type="dxa" w:w="100"/>
              <w:bottom w:type="dxa" w:w="60"/>
              <w:right w:type="dxa" w:w="100"/>
            </w:tcMar>
          </w:tcPr>
          <w:p>
            <w:pPr>
              <w:spacing w:after="0" w:line="252"/>
            </w:pPr>
            <w:r>
              <w:rPr>
                <w:b/>
                <w:bCs/>
                <w:color w:val="1E1B4B"/>
                <w:sz w:val="18"/>
                <w:szCs w:val="18"/>
              </w:rPr>
              <w:t xml:space="preserve">Requisito</w:t>
            </w:r>
          </w:p>
        </w:tc>
        <w:tc>
          <w:tcPr>
            <w:tcW w:type="dxa" w:w="1300"/>
            <w:tcBorders>
              <w:top w:val="single" w:color="CBD5E1" w:sz="4"/>
              <w:left w:val="single" w:color="CBD5E1" w:sz="4"/>
              <w:bottom w:val="single" w:color="CBD5E1" w:sz="4"/>
              <w:right w:val="single" w:color="CBD5E1" w:sz="4"/>
            </w:tcBorders>
            <w:shd w:fill="E0E7FF" w:color="auto" w:val="clear"/>
            <w:tcMar>
              <w:top w:type="dxa" w:w="60"/>
              <w:left w:type="dxa" w:w="100"/>
              <w:bottom w:type="dxa" w:w="60"/>
              <w:right w:type="dxa" w:w="100"/>
            </w:tcMar>
          </w:tcPr>
          <w:p>
            <w:pPr>
              <w:spacing w:after="0" w:line="252"/>
            </w:pPr>
            <w:r>
              <w:rPr>
                <w:b/>
                <w:bCs/>
                <w:color w:val="1E1B4B"/>
                <w:sz w:val="18"/>
                <w:szCs w:val="18"/>
              </w:rPr>
              <w:t xml:space="preserve">Prioridad</w:t>
            </w:r>
          </w:p>
        </w:tc>
      </w:tr>
      <w:tr>
        <w:trPr>
          <w:cantSplit/>
        </w:trPr>
        <w:tc>
          <w:tcPr>
            <w:tcW w:type="dxa" w:w="90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line="252"/>
            </w:pPr>
            <w:r>
              <w:rPr>
                <w:b w:val="false"/>
                <w:bCs w:val="false"/>
                <w:sz w:val="18"/>
                <w:szCs w:val="18"/>
              </w:rPr>
              <w:t xml:space="preserve">RF-01</w:t>
            </w:r>
          </w:p>
        </w:tc>
        <w:tc>
          <w:tcPr>
            <w:tcW w:type="dxa" w:w="682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line="252"/>
            </w:pPr>
            <w:r>
              <w:rPr>
                <w:b w:val="false"/>
                <w:bCs w:val="false"/>
                <w:sz w:val="18"/>
                <w:szCs w:val="18"/>
              </w:rPr>
              <w:t xml:space="preserve">Auditar una URL pública o local, o un conjunto de ficheros HTML.</w:t>
            </w:r>
          </w:p>
        </w:tc>
        <w:tc>
          <w:tcPr>
            <w:tcW w:type="dxa" w:w="130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line="252"/>
            </w:pPr>
            <w:r>
              <w:rPr>
                <w:b w:val="false"/>
                <w:bCs w:val="false"/>
                <w:sz w:val="18"/>
                <w:szCs w:val="18"/>
              </w:rPr>
              <w:t xml:space="preserve">Alta</w:t>
            </w:r>
          </w:p>
        </w:tc>
      </w:tr>
      <w:tr>
        <w:trPr>
          <w:cantSplit/>
        </w:trPr>
        <w:tc>
          <w:tcPr>
            <w:tcW w:type="dxa" w:w="900"/>
            <w:tcBorders>
              <w:top w:val="single" w:color="CBD5E1" w:sz="4"/>
              <w:left w:val="single" w:color="CBD5E1" w:sz="4"/>
              <w:bottom w:val="single" w:color="CBD5E1" w:sz="4"/>
              <w:right w:val="single" w:color="CBD5E1" w:sz="4"/>
            </w:tcBorders>
            <w:shd w:fill="F5F7FF" w:color="auto" w:val="clear"/>
            <w:tcMar>
              <w:top w:type="dxa" w:w="60"/>
              <w:left w:type="dxa" w:w="100"/>
              <w:bottom w:type="dxa" w:w="60"/>
              <w:right w:type="dxa" w:w="100"/>
            </w:tcMar>
          </w:tcPr>
          <w:p>
            <w:pPr>
              <w:spacing w:after="0" w:line="252"/>
            </w:pPr>
            <w:r>
              <w:rPr>
                <w:b w:val="false"/>
                <w:bCs w:val="false"/>
                <w:sz w:val="18"/>
                <w:szCs w:val="18"/>
              </w:rPr>
              <w:t xml:space="preserve">RF-02</w:t>
            </w:r>
          </w:p>
        </w:tc>
        <w:tc>
          <w:tcPr>
            <w:tcW w:type="dxa" w:w="6826"/>
            <w:tcBorders>
              <w:top w:val="single" w:color="CBD5E1" w:sz="4"/>
              <w:left w:val="single" w:color="CBD5E1" w:sz="4"/>
              <w:bottom w:val="single" w:color="CBD5E1" w:sz="4"/>
              <w:right w:val="single" w:color="CBD5E1" w:sz="4"/>
            </w:tcBorders>
            <w:shd w:fill="F5F7FF" w:color="auto" w:val="clear"/>
            <w:tcMar>
              <w:top w:type="dxa" w:w="60"/>
              <w:left w:type="dxa" w:w="100"/>
              <w:bottom w:type="dxa" w:w="60"/>
              <w:right w:type="dxa" w:w="100"/>
            </w:tcMar>
          </w:tcPr>
          <w:p>
            <w:pPr>
              <w:spacing w:after="0" w:line="252"/>
            </w:pPr>
            <w:r>
              <w:rPr>
                <w:b w:val="false"/>
                <w:bCs w:val="false"/>
                <w:sz w:val="18"/>
                <w:szCs w:val="18"/>
              </w:rPr>
              <w:t xml:space="preserve">Ejecutar comprobaciones automáticas de accesibilidad (axe-core) y rendimiento (Core Web Vitals: LCP, CLS y TBT como aproximación de INP).</w:t>
            </w:r>
          </w:p>
        </w:tc>
        <w:tc>
          <w:tcPr>
            <w:tcW w:type="dxa" w:w="1300"/>
            <w:tcBorders>
              <w:top w:val="single" w:color="CBD5E1" w:sz="4"/>
              <w:left w:val="single" w:color="CBD5E1" w:sz="4"/>
              <w:bottom w:val="single" w:color="CBD5E1" w:sz="4"/>
              <w:right w:val="single" w:color="CBD5E1" w:sz="4"/>
            </w:tcBorders>
            <w:shd w:fill="F5F7FF" w:color="auto" w:val="clear"/>
            <w:tcMar>
              <w:top w:type="dxa" w:w="60"/>
              <w:left w:type="dxa" w:w="100"/>
              <w:bottom w:type="dxa" w:w="60"/>
              <w:right w:type="dxa" w:w="100"/>
            </w:tcMar>
          </w:tcPr>
          <w:p>
            <w:pPr>
              <w:spacing w:after="0" w:line="252"/>
            </w:pPr>
            <w:r>
              <w:rPr>
                <w:b w:val="false"/>
                <w:bCs w:val="false"/>
                <w:sz w:val="18"/>
                <w:szCs w:val="18"/>
              </w:rPr>
              <w:t xml:space="preserve">Alta</w:t>
            </w:r>
          </w:p>
        </w:tc>
      </w:tr>
      <w:tr>
        <w:trPr>
          <w:cantSplit/>
        </w:trPr>
        <w:tc>
          <w:tcPr>
            <w:tcW w:type="dxa" w:w="90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line="252"/>
            </w:pPr>
            <w:r>
              <w:rPr>
                <w:b w:val="false"/>
                <w:bCs w:val="false"/>
                <w:sz w:val="18"/>
                <w:szCs w:val="18"/>
              </w:rPr>
              <w:t xml:space="preserve">RF-03</w:t>
            </w:r>
          </w:p>
        </w:tc>
        <w:tc>
          <w:tcPr>
            <w:tcW w:type="dxa" w:w="682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line="252"/>
            </w:pPr>
            <w:r>
              <w:rPr>
                <w:b w:val="false"/>
                <w:bCs w:val="false"/>
                <w:sz w:val="18"/>
                <w:szCs w:val="18"/>
              </w:rPr>
              <w:t xml:space="preserve">Ejecutar comprobaciones propias sobre el DOM: tamaño de objetivos táctiles, tamaño de fuente, etiquetas de formulario, jerarquía de encabezados, uso de emojis como iconos, etc.</w:t>
            </w:r>
          </w:p>
        </w:tc>
        <w:tc>
          <w:tcPr>
            <w:tcW w:type="dxa" w:w="130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line="252"/>
            </w:pPr>
            <w:r>
              <w:rPr>
                <w:b w:val="false"/>
                <w:bCs w:val="false"/>
                <w:sz w:val="18"/>
                <w:szCs w:val="18"/>
              </w:rPr>
              <w:t xml:space="preserve">Alta</w:t>
            </w:r>
          </w:p>
        </w:tc>
      </w:tr>
      <w:tr>
        <w:trPr>
          <w:cantSplit/>
        </w:trPr>
        <w:tc>
          <w:tcPr>
            <w:tcW w:type="dxa" w:w="900"/>
            <w:tcBorders>
              <w:top w:val="single" w:color="CBD5E1" w:sz="4"/>
              <w:left w:val="single" w:color="CBD5E1" w:sz="4"/>
              <w:bottom w:val="single" w:color="CBD5E1" w:sz="4"/>
              <w:right w:val="single" w:color="CBD5E1" w:sz="4"/>
            </w:tcBorders>
            <w:shd w:fill="F5F7FF" w:color="auto" w:val="clear"/>
            <w:tcMar>
              <w:top w:type="dxa" w:w="60"/>
              <w:left w:type="dxa" w:w="100"/>
              <w:bottom w:type="dxa" w:w="60"/>
              <w:right w:type="dxa" w:w="100"/>
            </w:tcMar>
          </w:tcPr>
          <w:p>
            <w:pPr>
              <w:spacing w:after="0" w:line="252"/>
            </w:pPr>
            <w:r>
              <w:rPr>
                <w:b w:val="false"/>
                <w:bCs w:val="false"/>
                <w:sz w:val="18"/>
                <w:szCs w:val="18"/>
              </w:rPr>
              <w:t xml:space="preserve">RF-04</w:t>
            </w:r>
          </w:p>
        </w:tc>
        <w:tc>
          <w:tcPr>
            <w:tcW w:type="dxa" w:w="6826"/>
            <w:tcBorders>
              <w:top w:val="single" w:color="CBD5E1" w:sz="4"/>
              <w:left w:val="single" w:color="CBD5E1" w:sz="4"/>
              <w:bottom w:val="single" w:color="CBD5E1" w:sz="4"/>
              <w:right w:val="single" w:color="CBD5E1" w:sz="4"/>
            </w:tcBorders>
            <w:shd w:fill="F5F7FF" w:color="auto" w:val="clear"/>
            <w:tcMar>
              <w:top w:type="dxa" w:w="60"/>
              <w:left w:type="dxa" w:w="100"/>
              <w:bottom w:type="dxa" w:w="60"/>
              <w:right w:type="dxa" w:w="100"/>
            </w:tcMar>
          </w:tcPr>
          <w:p>
            <w:pPr>
              <w:spacing w:after="0" w:line="252"/>
            </w:pPr>
            <w:r>
              <w:rPr>
                <w:b w:val="false"/>
                <w:bCs w:val="false"/>
                <w:sz w:val="18"/>
                <w:szCs w:val="18"/>
              </w:rPr>
              <w:t xml:space="preserve">Mostrar un formulario guiado para las reglas manuales (heurísticas) y guardar las respuestas.</w:t>
            </w:r>
          </w:p>
        </w:tc>
        <w:tc>
          <w:tcPr>
            <w:tcW w:type="dxa" w:w="1300"/>
            <w:tcBorders>
              <w:top w:val="single" w:color="CBD5E1" w:sz="4"/>
              <w:left w:val="single" w:color="CBD5E1" w:sz="4"/>
              <w:bottom w:val="single" w:color="CBD5E1" w:sz="4"/>
              <w:right w:val="single" w:color="CBD5E1" w:sz="4"/>
            </w:tcBorders>
            <w:shd w:fill="F5F7FF" w:color="auto" w:val="clear"/>
            <w:tcMar>
              <w:top w:type="dxa" w:w="60"/>
              <w:left w:type="dxa" w:w="100"/>
              <w:bottom w:type="dxa" w:w="60"/>
              <w:right w:type="dxa" w:w="100"/>
            </w:tcMar>
          </w:tcPr>
          <w:p>
            <w:pPr>
              <w:spacing w:after="0" w:line="252"/>
            </w:pPr>
            <w:r>
              <w:rPr>
                <w:b w:val="false"/>
                <w:bCs w:val="false"/>
                <w:sz w:val="18"/>
                <w:szCs w:val="18"/>
              </w:rPr>
              <w:t xml:space="preserve">Media</w:t>
            </w:r>
          </w:p>
        </w:tc>
      </w:tr>
      <w:tr>
        <w:trPr>
          <w:cantSplit/>
        </w:trPr>
        <w:tc>
          <w:tcPr>
            <w:tcW w:type="dxa" w:w="90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line="252"/>
            </w:pPr>
            <w:r>
              <w:rPr>
                <w:b w:val="false"/>
                <w:bCs w:val="false"/>
                <w:sz w:val="18"/>
                <w:szCs w:val="18"/>
              </w:rPr>
              <w:t xml:space="preserve">RF-05</w:t>
            </w:r>
          </w:p>
        </w:tc>
        <w:tc>
          <w:tcPr>
            <w:tcW w:type="dxa" w:w="682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line="252"/>
            </w:pPr>
            <w:r>
              <w:rPr>
                <w:b w:val="false"/>
                <w:bCs w:val="false"/>
                <w:sz w:val="18"/>
                <w:szCs w:val="18"/>
              </w:rPr>
              <w:t xml:space="preserve">Importar una puntuación SUS opcional.</w:t>
            </w:r>
          </w:p>
        </w:tc>
        <w:tc>
          <w:tcPr>
            <w:tcW w:type="dxa" w:w="130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line="252"/>
            </w:pPr>
            <w:r>
              <w:rPr>
                <w:b w:val="false"/>
                <w:bCs w:val="false"/>
                <w:sz w:val="18"/>
                <w:szCs w:val="18"/>
              </w:rPr>
              <w:t xml:space="preserve">Baja</w:t>
            </w:r>
          </w:p>
        </w:tc>
      </w:tr>
      <w:tr>
        <w:trPr>
          <w:cantSplit/>
        </w:trPr>
        <w:tc>
          <w:tcPr>
            <w:tcW w:type="dxa" w:w="900"/>
            <w:tcBorders>
              <w:top w:val="single" w:color="CBD5E1" w:sz="4"/>
              <w:left w:val="single" w:color="CBD5E1" w:sz="4"/>
              <w:bottom w:val="single" w:color="CBD5E1" w:sz="4"/>
              <w:right w:val="single" w:color="CBD5E1" w:sz="4"/>
            </w:tcBorders>
            <w:shd w:fill="F5F7FF" w:color="auto" w:val="clear"/>
            <w:tcMar>
              <w:top w:type="dxa" w:w="60"/>
              <w:left w:type="dxa" w:w="100"/>
              <w:bottom w:type="dxa" w:w="60"/>
              <w:right w:type="dxa" w:w="100"/>
            </w:tcMar>
          </w:tcPr>
          <w:p>
            <w:pPr>
              <w:spacing w:after="0" w:line="252"/>
            </w:pPr>
            <w:r>
              <w:rPr>
                <w:b w:val="false"/>
                <w:bCs w:val="false"/>
                <w:sz w:val="18"/>
                <w:szCs w:val="18"/>
              </w:rPr>
              <w:t xml:space="preserve">RF-06</w:t>
            </w:r>
          </w:p>
        </w:tc>
        <w:tc>
          <w:tcPr>
            <w:tcW w:type="dxa" w:w="6826"/>
            <w:tcBorders>
              <w:top w:val="single" w:color="CBD5E1" w:sz="4"/>
              <w:left w:val="single" w:color="CBD5E1" w:sz="4"/>
              <w:bottom w:val="single" w:color="CBD5E1" w:sz="4"/>
              <w:right w:val="single" w:color="CBD5E1" w:sz="4"/>
            </w:tcBorders>
            <w:shd w:fill="F5F7FF" w:color="auto" w:val="clear"/>
            <w:tcMar>
              <w:top w:type="dxa" w:w="60"/>
              <w:left w:type="dxa" w:w="100"/>
              <w:bottom w:type="dxa" w:w="60"/>
              <w:right w:type="dxa" w:w="100"/>
            </w:tcMar>
          </w:tcPr>
          <w:p>
            <w:pPr>
              <w:spacing w:after="0" w:line="252"/>
            </w:pPr>
            <w:r>
              <w:rPr>
                <w:b w:val="false"/>
                <w:bCs w:val="false"/>
                <w:sz w:val="18"/>
                <w:szCs w:val="18"/>
              </w:rPr>
              <w:t xml:space="preserve">Calcular la nota de cada dimensión y el índice IUX según el apartado 03, incluida la regla de bloqueo.</w:t>
            </w:r>
          </w:p>
        </w:tc>
        <w:tc>
          <w:tcPr>
            <w:tcW w:type="dxa" w:w="1300"/>
            <w:tcBorders>
              <w:top w:val="single" w:color="CBD5E1" w:sz="4"/>
              <w:left w:val="single" w:color="CBD5E1" w:sz="4"/>
              <w:bottom w:val="single" w:color="CBD5E1" w:sz="4"/>
              <w:right w:val="single" w:color="CBD5E1" w:sz="4"/>
            </w:tcBorders>
            <w:shd w:fill="F5F7FF" w:color="auto" w:val="clear"/>
            <w:tcMar>
              <w:top w:type="dxa" w:w="60"/>
              <w:left w:type="dxa" w:w="100"/>
              <w:bottom w:type="dxa" w:w="60"/>
              <w:right w:type="dxa" w:w="100"/>
            </w:tcMar>
          </w:tcPr>
          <w:p>
            <w:pPr>
              <w:spacing w:after="0" w:line="252"/>
            </w:pPr>
            <w:r>
              <w:rPr>
                <w:b w:val="false"/>
                <w:bCs w:val="false"/>
                <w:sz w:val="18"/>
                <w:szCs w:val="18"/>
              </w:rPr>
              <w:t xml:space="preserve">Alta</w:t>
            </w:r>
          </w:p>
        </w:tc>
      </w:tr>
      <w:tr>
        <w:trPr>
          <w:cantSplit/>
        </w:trPr>
        <w:tc>
          <w:tcPr>
            <w:tcW w:type="dxa" w:w="90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line="252"/>
            </w:pPr>
            <w:r>
              <w:rPr>
                <w:b w:val="false"/>
                <w:bCs w:val="false"/>
                <w:sz w:val="18"/>
                <w:szCs w:val="18"/>
              </w:rPr>
              <w:t xml:space="preserve">RF-07</w:t>
            </w:r>
          </w:p>
        </w:tc>
        <w:tc>
          <w:tcPr>
            <w:tcW w:type="dxa" w:w="682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line="252"/>
            </w:pPr>
            <w:r>
              <w:rPr>
                <w:b w:val="false"/>
                <w:bCs w:val="false"/>
                <w:sz w:val="18"/>
                <w:szCs w:val="18"/>
              </w:rPr>
              <w:t xml:space="preserve">Para cada fallo, adjuntar la recomendación de corrección (qué hacer / qué evitar / ejemplo de código) obtenida de la base de conocimiento de UI UX Pro Max.</w:t>
            </w:r>
          </w:p>
        </w:tc>
        <w:tc>
          <w:tcPr>
            <w:tcW w:type="dxa" w:w="130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line="252"/>
            </w:pPr>
            <w:r>
              <w:rPr>
                <w:b w:val="false"/>
                <w:bCs w:val="false"/>
                <w:sz w:val="18"/>
                <w:szCs w:val="18"/>
              </w:rPr>
              <w:t xml:space="preserve">Alta</w:t>
            </w:r>
          </w:p>
        </w:tc>
      </w:tr>
      <w:tr>
        <w:trPr>
          <w:cantSplit/>
        </w:trPr>
        <w:tc>
          <w:tcPr>
            <w:tcW w:type="dxa" w:w="900"/>
            <w:tcBorders>
              <w:top w:val="single" w:color="CBD5E1" w:sz="4"/>
              <w:left w:val="single" w:color="CBD5E1" w:sz="4"/>
              <w:bottom w:val="single" w:color="CBD5E1" w:sz="4"/>
              <w:right w:val="single" w:color="CBD5E1" w:sz="4"/>
            </w:tcBorders>
            <w:shd w:fill="F5F7FF" w:color="auto" w:val="clear"/>
            <w:tcMar>
              <w:top w:type="dxa" w:w="60"/>
              <w:left w:type="dxa" w:w="100"/>
              <w:bottom w:type="dxa" w:w="60"/>
              <w:right w:type="dxa" w:w="100"/>
            </w:tcMar>
          </w:tcPr>
          <w:p>
            <w:pPr>
              <w:spacing w:after="0" w:line="252"/>
            </w:pPr>
            <w:r>
              <w:rPr>
                <w:b w:val="false"/>
                <w:bCs w:val="false"/>
                <w:sz w:val="18"/>
                <w:szCs w:val="18"/>
              </w:rPr>
              <w:t xml:space="preserve">RF-08</w:t>
            </w:r>
          </w:p>
        </w:tc>
        <w:tc>
          <w:tcPr>
            <w:tcW w:type="dxa" w:w="6826"/>
            <w:tcBorders>
              <w:top w:val="single" w:color="CBD5E1" w:sz="4"/>
              <w:left w:val="single" w:color="CBD5E1" w:sz="4"/>
              <w:bottom w:val="single" w:color="CBD5E1" w:sz="4"/>
              <w:right w:val="single" w:color="CBD5E1" w:sz="4"/>
            </w:tcBorders>
            <w:shd w:fill="F5F7FF" w:color="auto" w:val="clear"/>
            <w:tcMar>
              <w:top w:type="dxa" w:w="60"/>
              <w:left w:type="dxa" w:w="100"/>
              <w:bottom w:type="dxa" w:w="60"/>
              <w:right w:type="dxa" w:w="100"/>
            </w:tcMar>
          </w:tcPr>
          <w:p>
            <w:pPr>
              <w:spacing w:after="0" w:line="252"/>
            </w:pPr>
            <w:r>
              <w:rPr>
                <w:b w:val="false"/>
                <w:bCs w:val="false"/>
                <w:sz w:val="18"/>
                <w:szCs w:val="18"/>
              </w:rPr>
              <w:t xml:space="preserve">Generar informes en HTML, JSON y Markdown.</w:t>
            </w:r>
          </w:p>
        </w:tc>
        <w:tc>
          <w:tcPr>
            <w:tcW w:type="dxa" w:w="1300"/>
            <w:tcBorders>
              <w:top w:val="single" w:color="CBD5E1" w:sz="4"/>
              <w:left w:val="single" w:color="CBD5E1" w:sz="4"/>
              <w:bottom w:val="single" w:color="CBD5E1" w:sz="4"/>
              <w:right w:val="single" w:color="CBD5E1" w:sz="4"/>
            </w:tcBorders>
            <w:shd w:fill="F5F7FF" w:color="auto" w:val="clear"/>
            <w:tcMar>
              <w:top w:type="dxa" w:w="60"/>
              <w:left w:type="dxa" w:w="100"/>
              <w:bottom w:type="dxa" w:w="60"/>
              <w:right w:type="dxa" w:w="100"/>
            </w:tcMar>
          </w:tcPr>
          <w:p>
            <w:pPr>
              <w:spacing w:after="0" w:line="252"/>
            </w:pPr>
            <w:r>
              <w:rPr>
                <w:b w:val="false"/>
                <w:bCs w:val="false"/>
                <w:sz w:val="18"/>
                <w:szCs w:val="18"/>
              </w:rPr>
              <w:t xml:space="preserve">Alta</w:t>
            </w:r>
          </w:p>
        </w:tc>
      </w:tr>
      <w:tr>
        <w:trPr>
          <w:cantSplit/>
        </w:trPr>
        <w:tc>
          <w:tcPr>
            <w:tcW w:type="dxa" w:w="90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line="252"/>
            </w:pPr>
            <w:r>
              <w:rPr>
                <w:b w:val="false"/>
                <w:bCs w:val="false"/>
                <w:sz w:val="18"/>
                <w:szCs w:val="18"/>
              </w:rPr>
              <w:t xml:space="preserve">RF-09</w:t>
            </w:r>
          </w:p>
        </w:tc>
        <w:tc>
          <w:tcPr>
            <w:tcW w:type="dxa" w:w="682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line="252"/>
            </w:pPr>
            <w:r>
              <w:rPr>
                <w:b w:val="false"/>
                <w:bCs w:val="false"/>
                <w:sz w:val="18"/>
                <w:szCs w:val="18"/>
              </w:rPr>
              <w:t xml:space="preserve">Devolver un código de salida ≠ 0 si el IUX es inferior al umbral configurado (integración CI).</w:t>
            </w:r>
          </w:p>
        </w:tc>
        <w:tc>
          <w:tcPr>
            <w:tcW w:type="dxa" w:w="130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line="252"/>
            </w:pPr>
            <w:r>
              <w:rPr>
                <w:b w:val="false"/>
                <w:bCs w:val="false"/>
                <w:sz w:val="18"/>
                <w:szCs w:val="18"/>
              </w:rPr>
              <w:t xml:space="preserve">Media</w:t>
            </w:r>
          </w:p>
        </w:tc>
      </w:tr>
      <w:tr>
        <w:trPr>
          <w:cantSplit/>
        </w:trPr>
        <w:tc>
          <w:tcPr>
            <w:tcW w:type="dxa" w:w="900"/>
            <w:tcBorders>
              <w:top w:val="single" w:color="CBD5E1" w:sz="4"/>
              <w:left w:val="single" w:color="CBD5E1" w:sz="4"/>
              <w:bottom w:val="single" w:color="CBD5E1" w:sz="4"/>
              <w:right w:val="single" w:color="CBD5E1" w:sz="4"/>
            </w:tcBorders>
            <w:shd w:fill="F5F7FF" w:color="auto" w:val="clear"/>
            <w:tcMar>
              <w:top w:type="dxa" w:w="60"/>
              <w:left w:type="dxa" w:w="100"/>
              <w:bottom w:type="dxa" w:w="60"/>
              <w:right w:type="dxa" w:w="100"/>
            </w:tcMar>
          </w:tcPr>
          <w:p>
            <w:pPr>
              <w:spacing w:after="0" w:line="252"/>
            </w:pPr>
            <w:r>
              <w:rPr>
                <w:b w:val="false"/>
                <w:bCs w:val="false"/>
                <w:sz w:val="18"/>
                <w:szCs w:val="18"/>
              </w:rPr>
              <w:t xml:space="preserve">RF-10</w:t>
            </w:r>
          </w:p>
        </w:tc>
        <w:tc>
          <w:tcPr>
            <w:tcW w:type="dxa" w:w="6826"/>
            <w:tcBorders>
              <w:top w:val="single" w:color="CBD5E1" w:sz="4"/>
              <w:left w:val="single" w:color="CBD5E1" w:sz="4"/>
              <w:bottom w:val="single" w:color="CBD5E1" w:sz="4"/>
              <w:right w:val="single" w:color="CBD5E1" w:sz="4"/>
            </w:tcBorders>
            <w:shd w:fill="F5F7FF" w:color="auto" w:val="clear"/>
            <w:tcMar>
              <w:top w:type="dxa" w:w="60"/>
              <w:left w:type="dxa" w:w="100"/>
              <w:bottom w:type="dxa" w:w="60"/>
              <w:right w:type="dxa" w:w="100"/>
            </w:tcMar>
          </w:tcPr>
          <w:p>
            <w:pPr>
              <w:spacing w:after="0" w:line="252"/>
            </w:pPr>
            <w:r>
              <w:rPr>
                <w:b w:val="false"/>
                <w:bCs w:val="false"/>
                <w:sz w:val="18"/>
                <w:szCs w:val="18"/>
              </w:rPr>
              <w:t xml:space="preserve">Guardar el histórico de auditorías y mostrar la evolución.</w:t>
            </w:r>
          </w:p>
        </w:tc>
        <w:tc>
          <w:tcPr>
            <w:tcW w:type="dxa" w:w="1300"/>
            <w:tcBorders>
              <w:top w:val="single" w:color="CBD5E1" w:sz="4"/>
              <w:left w:val="single" w:color="CBD5E1" w:sz="4"/>
              <w:bottom w:val="single" w:color="CBD5E1" w:sz="4"/>
              <w:right w:val="single" w:color="CBD5E1" w:sz="4"/>
            </w:tcBorders>
            <w:shd w:fill="F5F7FF" w:color="auto" w:val="clear"/>
            <w:tcMar>
              <w:top w:type="dxa" w:w="60"/>
              <w:left w:type="dxa" w:w="100"/>
              <w:bottom w:type="dxa" w:w="60"/>
              <w:right w:type="dxa" w:w="100"/>
            </w:tcMar>
          </w:tcPr>
          <w:p>
            <w:pPr>
              <w:spacing w:after="0" w:line="252"/>
            </w:pPr>
            <w:r>
              <w:rPr>
                <w:b w:val="false"/>
                <w:bCs w:val="false"/>
                <w:sz w:val="18"/>
                <w:szCs w:val="18"/>
              </w:rPr>
              <w:t xml:space="preserve">Baja</w:t>
            </w:r>
          </w:p>
        </w:tc>
      </w:tr>
      <w:tr>
        <w:trPr>
          <w:cantSplit/>
        </w:trPr>
        <w:tc>
          <w:tcPr>
            <w:tcW w:type="dxa" w:w="90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line="252"/>
            </w:pPr>
            <w:r>
              <w:rPr>
                <w:b w:val="false"/>
                <w:bCs w:val="false"/>
                <w:sz w:val="18"/>
                <w:szCs w:val="18"/>
              </w:rPr>
              <w:t xml:space="preserve">RF-11</w:t>
            </w:r>
          </w:p>
        </w:tc>
        <w:tc>
          <w:tcPr>
            <w:tcW w:type="dxa" w:w="682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line="252"/>
            </w:pPr>
            <w:r>
              <w:rPr>
                <w:b w:val="false"/>
                <w:bCs w:val="false"/>
                <w:sz w:val="18"/>
                <w:szCs w:val="18"/>
              </w:rPr>
              <w:t xml:space="preserve">Detectar patrones oscuros y rastreo previo al consentimiento (huecos 1 y 2).</w:t>
            </w:r>
          </w:p>
        </w:tc>
        <w:tc>
          <w:tcPr>
            <w:tcW w:type="dxa" w:w="130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line="252"/>
            </w:pPr>
            <w:r>
              <w:rPr>
                <w:b w:val="false"/>
                <w:bCs w:val="false"/>
                <w:sz w:val="18"/>
                <w:szCs w:val="18"/>
              </w:rPr>
              <w:t xml:space="preserve">Alta</w:t>
            </w:r>
          </w:p>
        </w:tc>
      </w:tr>
      <w:tr>
        <w:trPr>
          <w:cantSplit/>
        </w:trPr>
        <w:tc>
          <w:tcPr>
            <w:tcW w:type="dxa" w:w="900"/>
            <w:tcBorders>
              <w:top w:val="single" w:color="CBD5E1" w:sz="4"/>
              <w:left w:val="single" w:color="CBD5E1" w:sz="4"/>
              <w:bottom w:val="single" w:color="CBD5E1" w:sz="4"/>
              <w:right w:val="single" w:color="CBD5E1" w:sz="4"/>
            </w:tcBorders>
            <w:shd w:fill="F5F7FF" w:color="auto" w:val="clear"/>
            <w:tcMar>
              <w:top w:type="dxa" w:w="60"/>
              <w:left w:type="dxa" w:w="100"/>
              <w:bottom w:type="dxa" w:w="60"/>
              <w:right w:type="dxa" w:w="100"/>
            </w:tcMar>
          </w:tcPr>
          <w:p>
            <w:pPr>
              <w:spacing w:after="0" w:line="252"/>
            </w:pPr>
            <w:r>
              <w:rPr>
                <w:b w:val="false"/>
                <w:bCs w:val="false"/>
                <w:sz w:val="18"/>
                <w:szCs w:val="18"/>
              </w:rPr>
              <w:t xml:space="preserve">RF-12</w:t>
            </w:r>
          </w:p>
        </w:tc>
        <w:tc>
          <w:tcPr>
            <w:tcW w:type="dxa" w:w="6826"/>
            <w:tcBorders>
              <w:top w:val="single" w:color="CBD5E1" w:sz="4"/>
              <w:left w:val="single" w:color="CBD5E1" w:sz="4"/>
              <w:bottom w:val="single" w:color="CBD5E1" w:sz="4"/>
              <w:right w:val="single" w:color="CBD5E1" w:sz="4"/>
            </w:tcBorders>
            <w:shd w:fill="F5F7FF" w:color="auto" w:val="clear"/>
            <w:tcMar>
              <w:top w:type="dxa" w:w="60"/>
              <w:left w:type="dxa" w:w="100"/>
              <w:bottom w:type="dxa" w:w="60"/>
              <w:right w:type="dxa" w:w="100"/>
            </w:tcMar>
          </w:tcPr>
          <w:p>
            <w:pPr>
              <w:spacing w:after="0" w:line="252"/>
            </w:pPr>
            <w:r>
              <w:rPr>
                <w:b w:val="false"/>
                <w:bCs w:val="false"/>
                <w:sz w:val="18"/>
                <w:szCs w:val="18"/>
              </w:rPr>
              <w:t xml:space="preserve">Repetir las mediciones emulando las preferencias del usuario: espaciado de texto, letra al 200 %, alto contraste, modo oscuro, tamaños intermedios y orientación (huecos 4 y 6).</w:t>
            </w:r>
          </w:p>
        </w:tc>
        <w:tc>
          <w:tcPr>
            <w:tcW w:type="dxa" w:w="1300"/>
            <w:tcBorders>
              <w:top w:val="single" w:color="CBD5E1" w:sz="4"/>
              <w:left w:val="single" w:color="CBD5E1" w:sz="4"/>
              <w:bottom w:val="single" w:color="CBD5E1" w:sz="4"/>
              <w:right w:val="single" w:color="CBD5E1" w:sz="4"/>
            </w:tcBorders>
            <w:shd w:fill="F5F7FF" w:color="auto" w:val="clear"/>
            <w:tcMar>
              <w:top w:type="dxa" w:w="60"/>
              <w:left w:type="dxa" w:w="100"/>
              <w:bottom w:type="dxa" w:w="60"/>
              <w:right w:type="dxa" w:w="100"/>
            </w:tcMar>
          </w:tcPr>
          <w:p>
            <w:pPr>
              <w:spacing w:after="0" w:line="252"/>
            </w:pPr>
            <w:r>
              <w:rPr>
                <w:b w:val="false"/>
                <w:bCs w:val="false"/>
                <w:sz w:val="18"/>
                <w:szCs w:val="18"/>
              </w:rPr>
              <w:t xml:space="preserve">Alta</w:t>
            </w:r>
          </w:p>
        </w:tc>
      </w:tr>
      <w:tr>
        <w:trPr>
          <w:cantSplit/>
        </w:trPr>
        <w:tc>
          <w:tcPr>
            <w:tcW w:type="dxa" w:w="90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line="252"/>
            </w:pPr>
            <w:r>
              <w:rPr>
                <w:b w:val="false"/>
                <w:bCs w:val="false"/>
                <w:sz w:val="18"/>
                <w:szCs w:val="18"/>
              </w:rPr>
              <w:t xml:space="preserve">RF-13</w:t>
            </w:r>
          </w:p>
        </w:tc>
        <w:tc>
          <w:tcPr>
            <w:tcW w:type="dxa" w:w="682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line="252"/>
            </w:pPr>
            <w:r>
              <w:rPr>
                <w:b w:val="false"/>
                <w:bCs w:val="false"/>
                <w:sz w:val="18"/>
                <w:szCs w:val="18"/>
              </w:rPr>
              <w:t xml:space="preserve">Evaluar la calidad del contenido: textos alternativos, nombres accesibles, legibilidad y presentación cognitiva (huecos 3 y 7).</w:t>
            </w:r>
          </w:p>
        </w:tc>
        <w:tc>
          <w:tcPr>
            <w:tcW w:type="dxa" w:w="130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line="252"/>
            </w:pPr>
            <w:r>
              <w:rPr>
                <w:b w:val="false"/>
                <w:bCs w:val="false"/>
                <w:sz w:val="18"/>
                <w:szCs w:val="18"/>
              </w:rPr>
              <w:t xml:space="preserve">Alta</w:t>
            </w:r>
          </w:p>
        </w:tc>
      </w:tr>
      <w:tr>
        <w:trPr>
          <w:cantSplit/>
        </w:trPr>
        <w:tc>
          <w:tcPr>
            <w:tcW w:type="dxa" w:w="900"/>
            <w:tcBorders>
              <w:top w:val="single" w:color="CBD5E1" w:sz="4"/>
              <w:left w:val="single" w:color="CBD5E1" w:sz="4"/>
              <w:bottom w:val="single" w:color="CBD5E1" w:sz="4"/>
              <w:right w:val="single" w:color="CBD5E1" w:sz="4"/>
            </w:tcBorders>
            <w:shd w:fill="F5F7FF" w:color="auto" w:val="clear"/>
            <w:tcMar>
              <w:top w:type="dxa" w:w="60"/>
              <w:left w:type="dxa" w:w="100"/>
              <w:bottom w:type="dxa" w:w="60"/>
              <w:right w:type="dxa" w:w="100"/>
            </w:tcMar>
          </w:tcPr>
          <w:p>
            <w:pPr>
              <w:spacing w:after="0" w:line="252"/>
            </w:pPr>
            <w:r>
              <w:rPr>
                <w:b w:val="false"/>
                <w:bCs w:val="false"/>
                <w:sz w:val="18"/>
                <w:szCs w:val="18"/>
              </w:rPr>
              <w:t xml:space="preserve">RF-14</w:t>
            </w:r>
          </w:p>
        </w:tc>
        <w:tc>
          <w:tcPr>
            <w:tcW w:type="dxa" w:w="6826"/>
            <w:tcBorders>
              <w:top w:val="single" w:color="CBD5E1" w:sz="4"/>
              <w:left w:val="single" w:color="CBD5E1" w:sz="4"/>
              <w:bottom w:val="single" w:color="CBD5E1" w:sz="4"/>
              <w:right w:val="single" w:color="CBD5E1" w:sz="4"/>
            </w:tcBorders>
            <w:shd w:fill="F5F7FF" w:color="auto" w:val="clear"/>
            <w:tcMar>
              <w:top w:type="dxa" w:w="60"/>
              <w:left w:type="dxa" w:w="100"/>
              <w:bottom w:type="dxa" w:w="60"/>
              <w:right w:type="dxa" w:w="100"/>
            </w:tcMar>
          </w:tcPr>
          <w:p>
            <w:pPr>
              <w:spacing w:after="0" w:line="252"/>
            </w:pPr>
            <w:r>
              <w:rPr>
                <w:b w:val="false"/>
                <w:bCs w:val="false"/>
                <w:sz w:val="18"/>
                <w:szCs w:val="18"/>
              </w:rPr>
              <w:t xml:space="preserve">Comparar la navegación entre las páginas auditadas del mismo sitio (hueco 8).</w:t>
            </w:r>
          </w:p>
        </w:tc>
        <w:tc>
          <w:tcPr>
            <w:tcW w:type="dxa" w:w="1300"/>
            <w:tcBorders>
              <w:top w:val="single" w:color="CBD5E1" w:sz="4"/>
              <w:left w:val="single" w:color="CBD5E1" w:sz="4"/>
              <w:bottom w:val="single" w:color="CBD5E1" w:sz="4"/>
              <w:right w:val="single" w:color="CBD5E1" w:sz="4"/>
            </w:tcBorders>
            <w:shd w:fill="F5F7FF" w:color="auto" w:val="clear"/>
            <w:tcMar>
              <w:top w:type="dxa" w:w="60"/>
              <w:left w:type="dxa" w:w="100"/>
              <w:bottom w:type="dxa" w:w="60"/>
              <w:right w:type="dxa" w:w="100"/>
            </w:tcMar>
          </w:tcPr>
          <w:p>
            <w:pPr>
              <w:spacing w:after="0" w:line="252"/>
            </w:pPr>
            <w:r>
              <w:rPr>
                <w:b w:val="false"/>
                <w:bCs w:val="false"/>
                <w:sz w:val="18"/>
                <w:szCs w:val="18"/>
              </w:rPr>
              <w:t xml:space="preserve">Media</w:t>
            </w:r>
          </w:p>
        </w:tc>
      </w:tr>
      <w:tr>
        <w:trPr>
          <w:cantSplit/>
        </w:trPr>
        <w:tc>
          <w:tcPr>
            <w:tcW w:type="dxa" w:w="90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line="252"/>
            </w:pPr>
            <w:r>
              <w:rPr>
                <w:b w:val="false"/>
                <w:bCs w:val="false"/>
                <w:sz w:val="18"/>
                <w:szCs w:val="18"/>
              </w:rPr>
              <w:t xml:space="preserve">RF-15</w:t>
            </w:r>
          </w:p>
        </w:tc>
        <w:tc>
          <w:tcPr>
            <w:tcW w:type="dxa" w:w="682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line="252"/>
            </w:pPr>
            <w:r>
              <w:rPr>
                <w:b w:val="false"/>
                <w:bCs w:val="false"/>
                <w:sz w:val="18"/>
                <w:szCs w:val="18"/>
              </w:rPr>
              <w:t xml:space="preserve">Ofrecer un modo estricto (por defecto) y uno estándar, e informar de los techos aplicados (hueco 13).</w:t>
            </w:r>
          </w:p>
        </w:tc>
        <w:tc>
          <w:tcPr>
            <w:tcW w:type="dxa" w:w="130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line="252"/>
            </w:pPr>
            <w:r>
              <w:rPr>
                <w:b w:val="false"/>
                <w:bCs w:val="false"/>
                <w:sz w:val="18"/>
                <w:szCs w:val="18"/>
              </w:rPr>
              <w:t xml:space="preserve">Alta</w:t>
            </w:r>
          </w:p>
        </w:tc>
      </w:tr>
      <w:tr>
        <w:trPr>
          <w:cantSplit/>
        </w:trPr>
        <w:tc>
          <w:tcPr>
            <w:tcW w:type="dxa" w:w="900"/>
            <w:tcBorders>
              <w:top w:val="single" w:color="CBD5E1" w:sz="4"/>
              <w:left w:val="single" w:color="CBD5E1" w:sz="4"/>
              <w:bottom w:val="single" w:color="CBD5E1" w:sz="4"/>
              <w:right w:val="single" w:color="CBD5E1" w:sz="4"/>
            </w:tcBorders>
            <w:shd w:fill="F5F7FF" w:color="auto" w:val="clear"/>
            <w:tcMar>
              <w:top w:type="dxa" w:w="60"/>
              <w:left w:type="dxa" w:w="100"/>
              <w:bottom w:type="dxa" w:w="60"/>
              <w:right w:type="dxa" w:w="100"/>
            </w:tcMar>
          </w:tcPr>
          <w:p>
            <w:pPr>
              <w:spacing w:after="0" w:line="252"/>
            </w:pPr>
            <w:r>
              <w:rPr>
                <w:b w:val="false"/>
                <w:bCs w:val="false"/>
                <w:sz w:val="18"/>
                <w:szCs w:val="18"/>
              </w:rPr>
              <w:t xml:space="preserve">RF-16</w:t>
            </w:r>
          </w:p>
        </w:tc>
        <w:tc>
          <w:tcPr>
            <w:tcW w:type="dxa" w:w="6826"/>
            <w:tcBorders>
              <w:top w:val="single" w:color="CBD5E1" w:sz="4"/>
              <w:left w:val="single" w:color="CBD5E1" w:sz="4"/>
              <w:bottom w:val="single" w:color="CBD5E1" w:sz="4"/>
              <w:right w:val="single" w:color="CBD5E1" w:sz="4"/>
            </w:tcBorders>
            <w:shd w:fill="F5F7FF" w:color="auto" w:val="clear"/>
            <w:tcMar>
              <w:top w:type="dxa" w:w="60"/>
              <w:left w:type="dxa" w:w="100"/>
              <w:bottom w:type="dxa" w:w="60"/>
              <w:right w:type="dxa" w:w="100"/>
            </w:tcMar>
          </w:tcPr>
          <w:p>
            <w:pPr>
              <w:spacing w:after="0" w:line="252"/>
            </w:pPr>
            <w:r>
              <w:rPr>
                <w:b w:val="false"/>
                <w:bCs w:val="false"/>
                <w:sz w:val="18"/>
                <w:szCs w:val="18"/>
              </w:rPr>
              <w:t xml:space="preserve">Aplicar los principios de Steve Krug: prueba del tronco, formatos libres, palabras innecesarias, enlaces evidentes y 4 preguntas expertas (hueco 15).</w:t>
            </w:r>
          </w:p>
        </w:tc>
        <w:tc>
          <w:tcPr>
            <w:tcW w:type="dxa" w:w="1300"/>
            <w:tcBorders>
              <w:top w:val="single" w:color="CBD5E1" w:sz="4"/>
              <w:left w:val="single" w:color="CBD5E1" w:sz="4"/>
              <w:bottom w:val="single" w:color="CBD5E1" w:sz="4"/>
              <w:right w:val="single" w:color="CBD5E1" w:sz="4"/>
            </w:tcBorders>
            <w:shd w:fill="F5F7FF" w:color="auto" w:val="clear"/>
            <w:tcMar>
              <w:top w:type="dxa" w:w="60"/>
              <w:left w:type="dxa" w:w="100"/>
              <w:bottom w:type="dxa" w:w="60"/>
              <w:right w:type="dxa" w:w="100"/>
            </w:tcMar>
          </w:tcPr>
          <w:p>
            <w:pPr>
              <w:spacing w:after="0" w:line="252"/>
            </w:pPr>
            <w:r>
              <w:rPr>
                <w:b w:val="false"/>
                <w:bCs w:val="false"/>
                <w:sz w:val="18"/>
                <w:szCs w:val="18"/>
              </w:rPr>
              <w:t xml:space="preserve">Media</w:t>
            </w:r>
          </w:p>
        </w:tc>
      </w:tr>
    </w:tbl>
    <w:p>
      <w:pPr>
        <w:pStyle w:val="Heading3"/>
      </w:pPr>
      <w:r>
        <w:t xml:space="preserve">Requisitos no funcionales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tcBorders>
              <w:top w:val="single" w:color="CBD5E1" w:sz="4"/>
              <w:left w:val="single" w:color="CBD5E1" w:sz="4"/>
              <w:bottom w:val="single" w:color="CBD5E1" w:sz="4"/>
              <w:right w:val="single" w:color="CBD5E1" w:sz="4"/>
            </w:tcBorders>
            <w:shd w:fill="E0E7FF" w:color="auto" w:val="clear"/>
            <w:tcMar>
              <w:top w:type="dxa" w:w="60"/>
              <w:left w:type="dxa" w:w="100"/>
              <w:bottom w:type="dxa" w:w="60"/>
              <w:right w:type="dxa" w:w="100"/>
            </w:tcMar>
          </w:tcPr>
          <w:p>
            <w:pPr>
              <w:spacing w:after="0" w:line="252"/>
            </w:pPr>
            <w:r>
              <w:rPr>
                <w:b/>
                <w:bCs/>
                <w:color w:val="1E1B4B"/>
                <w:sz w:val="18"/>
                <w:szCs w:val="18"/>
              </w:rPr>
              <w:t xml:space="preserve">ID</w:t>
            </w:r>
          </w:p>
        </w:tc>
        <w:tc>
          <w:tcPr>
            <w:tcW w:type="dxa" w:w="6426"/>
            <w:tcBorders>
              <w:top w:val="single" w:color="CBD5E1" w:sz="4"/>
              <w:left w:val="single" w:color="CBD5E1" w:sz="4"/>
              <w:bottom w:val="single" w:color="CBD5E1" w:sz="4"/>
              <w:right w:val="single" w:color="CBD5E1" w:sz="4"/>
            </w:tcBorders>
            <w:shd w:fill="E0E7FF" w:color="auto" w:val="clear"/>
            <w:tcMar>
              <w:top w:type="dxa" w:w="60"/>
              <w:left w:type="dxa" w:w="100"/>
              <w:bottom w:type="dxa" w:w="60"/>
              <w:right w:type="dxa" w:w="100"/>
            </w:tcMar>
          </w:tcPr>
          <w:p>
            <w:pPr>
              <w:spacing w:after="0" w:line="252"/>
            </w:pPr>
            <w:r>
              <w:rPr>
                <w:b/>
                <w:bCs/>
                <w:color w:val="1E1B4B"/>
                <w:sz w:val="18"/>
                <w:szCs w:val="18"/>
              </w:rPr>
              <w:t xml:space="preserve">Requisito</w:t>
            </w:r>
          </w:p>
        </w:tc>
      </w:tr>
      <w:tr>
        <w:trPr>
          <w:cantSplit/>
        </w:trPr>
        <w:tc>
          <w:tcPr>
            <w:tcW w:type="dxa" w:w="260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line="252"/>
            </w:pPr>
            <w:r>
              <w:rPr>
                <w:b w:val="false"/>
                <w:bCs w:val="false"/>
                <w:sz w:val="18"/>
                <w:szCs w:val="18"/>
              </w:rPr>
              <w:t xml:space="preserve">RNF-01 Reutilización</w:t>
            </w:r>
          </w:p>
        </w:tc>
        <w:tc>
          <w:tcPr>
            <w:tcW w:type="dxa" w:w="642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line="252"/>
            </w:pPr>
            <w:r>
              <w:rPr>
                <w:b w:val="false"/>
                <w:bCs w:val="false"/>
                <w:sz w:val="18"/>
                <w:szCs w:val="18"/>
              </w:rPr>
              <w:t xml:space="preserve">Reglas, pesos, umbral y plataforma (web, móvil) definidos en ficheros YAML/CSV; añadir una regla no requiere modificar código.</w:t>
            </w:r>
          </w:p>
        </w:tc>
      </w:tr>
      <w:tr>
        <w:trPr>
          <w:cantSplit/>
        </w:trPr>
        <w:tc>
          <w:tcPr>
            <w:tcW w:type="dxa" w:w="2600"/>
            <w:tcBorders>
              <w:top w:val="single" w:color="CBD5E1" w:sz="4"/>
              <w:left w:val="single" w:color="CBD5E1" w:sz="4"/>
              <w:bottom w:val="single" w:color="CBD5E1" w:sz="4"/>
              <w:right w:val="single" w:color="CBD5E1" w:sz="4"/>
            </w:tcBorders>
            <w:shd w:fill="F5F7FF" w:color="auto" w:val="clear"/>
            <w:tcMar>
              <w:top w:type="dxa" w:w="60"/>
              <w:left w:type="dxa" w:w="100"/>
              <w:bottom w:type="dxa" w:w="60"/>
              <w:right w:type="dxa" w:w="100"/>
            </w:tcMar>
          </w:tcPr>
          <w:p>
            <w:pPr>
              <w:spacing w:after="0" w:line="252"/>
            </w:pPr>
            <w:r>
              <w:rPr>
                <w:b w:val="false"/>
                <w:bCs w:val="false"/>
                <w:sz w:val="18"/>
                <w:szCs w:val="18"/>
              </w:rPr>
              <w:t xml:space="preserve">RNF-02 Extensibilidad</w:t>
            </w:r>
          </w:p>
        </w:tc>
        <w:tc>
          <w:tcPr>
            <w:tcW w:type="dxa" w:w="6426"/>
            <w:tcBorders>
              <w:top w:val="single" w:color="CBD5E1" w:sz="4"/>
              <w:left w:val="single" w:color="CBD5E1" w:sz="4"/>
              <w:bottom w:val="single" w:color="CBD5E1" w:sz="4"/>
              <w:right w:val="single" w:color="CBD5E1" w:sz="4"/>
            </w:tcBorders>
            <w:shd w:fill="F5F7FF" w:color="auto" w:val="clear"/>
            <w:tcMar>
              <w:top w:type="dxa" w:w="60"/>
              <w:left w:type="dxa" w:w="100"/>
              <w:bottom w:type="dxa" w:w="60"/>
              <w:right w:type="dxa" w:w="100"/>
            </w:tcMar>
          </w:tcPr>
          <w:p>
            <w:pPr>
              <w:spacing w:after="0" w:line="252"/>
            </w:pPr>
            <w:r>
              <w:rPr>
                <w:b w:val="false"/>
                <w:bCs w:val="false"/>
                <w:sz w:val="18"/>
                <w:szCs w:val="18"/>
              </w:rPr>
              <w:t xml:space="preserve">Arquitectura de plugins: cada analizador implementa la misma interfaz </w:t>
            </w:r>
            <w:r>
              <w:rPr>
                <w:rFonts w:ascii="Consolas" w:cs="Consolas" w:eastAsia="Consolas" w:hAnsi="Consolas"/>
                <w:b w:val="false"/>
                <w:bCs w:val="false"/>
                <w:color w:val="3730A3"/>
                <w:sz w:val="16"/>
                <w:szCs w:val="16"/>
              </w:rPr>
              <w:t xml:space="preserve">Analizador.analizar(objetivo) → [Hallazgo]</w:t>
            </w:r>
            <w:r>
              <w:rPr>
                <w:b w:val="false"/>
                <w:bCs w:val="false"/>
                <w:sz w:val="18"/>
                <w:szCs w:val="18"/>
              </w:rPr>
              <w:t xml:space="preserve">.</w:t>
            </w:r>
          </w:p>
        </w:tc>
      </w:tr>
      <w:tr>
        <w:trPr>
          <w:cantSplit/>
        </w:trPr>
        <w:tc>
          <w:tcPr>
            <w:tcW w:type="dxa" w:w="260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line="252"/>
            </w:pPr>
            <w:r>
              <w:rPr>
                <w:b w:val="false"/>
                <w:bCs w:val="false"/>
                <w:sz w:val="18"/>
                <w:szCs w:val="18"/>
              </w:rPr>
              <w:t xml:space="preserve">RNF-03 Trazabilidad</w:t>
            </w:r>
          </w:p>
        </w:tc>
        <w:tc>
          <w:tcPr>
            <w:tcW w:type="dxa" w:w="642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line="252"/>
            </w:pPr>
            <w:r>
              <w:rPr>
                <w:b w:val="false"/>
                <w:bCs w:val="false"/>
                <w:sz w:val="18"/>
                <w:szCs w:val="18"/>
              </w:rPr>
              <w:t xml:space="preserve">Cada hallazgo indica la regla, la norma de referencia (p. ej. WCAG 2.2 – 1.4.3), la evidencia (selector CSS, captura) y la severidad.</w:t>
            </w:r>
          </w:p>
        </w:tc>
      </w:tr>
      <w:tr>
        <w:trPr>
          <w:cantSplit/>
        </w:trPr>
        <w:tc>
          <w:tcPr>
            <w:tcW w:type="dxa" w:w="2600"/>
            <w:tcBorders>
              <w:top w:val="single" w:color="CBD5E1" w:sz="4"/>
              <w:left w:val="single" w:color="CBD5E1" w:sz="4"/>
              <w:bottom w:val="single" w:color="CBD5E1" w:sz="4"/>
              <w:right w:val="single" w:color="CBD5E1" w:sz="4"/>
            </w:tcBorders>
            <w:shd w:fill="F5F7FF" w:color="auto" w:val="clear"/>
            <w:tcMar>
              <w:top w:type="dxa" w:w="60"/>
              <w:left w:type="dxa" w:w="100"/>
              <w:bottom w:type="dxa" w:w="60"/>
              <w:right w:type="dxa" w:w="100"/>
            </w:tcMar>
          </w:tcPr>
          <w:p>
            <w:pPr>
              <w:spacing w:after="0" w:line="252"/>
            </w:pPr>
            <w:r>
              <w:rPr>
                <w:b w:val="false"/>
                <w:bCs w:val="false"/>
                <w:sz w:val="18"/>
                <w:szCs w:val="18"/>
              </w:rPr>
              <w:t xml:space="preserve">RNF-04 Reproducibilidad</w:t>
            </w:r>
          </w:p>
        </w:tc>
        <w:tc>
          <w:tcPr>
            <w:tcW w:type="dxa" w:w="6426"/>
            <w:tcBorders>
              <w:top w:val="single" w:color="CBD5E1" w:sz="4"/>
              <w:left w:val="single" w:color="CBD5E1" w:sz="4"/>
              <w:bottom w:val="single" w:color="CBD5E1" w:sz="4"/>
              <w:right w:val="single" w:color="CBD5E1" w:sz="4"/>
            </w:tcBorders>
            <w:shd w:fill="F5F7FF" w:color="auto" w:val="clear"/>
            <w:tcMar>
              <w:top w:type="dxa" w:w="60"/>
              <w:left w:type="dxa" w:w="100"/>
              <w:bottom w:type="dxa" w:w="60"/>
              <w:right w:type="dxa" w:w="100"/>
            </w:tcMar>
          </w:tcPr>
          <w:p>
            <w:pPr>
              <w:spacing w:after="0" w:line="252"/>
            </w:pPr>
            <w:r>
              <w:rPr>
                <w:b w:val="false"/>
                <w:bCs w:val="false"/>
                <w:sz w:val="18"/>
                <w:szCs w:val="18"/>
              </w:rPr>
              <w:t xml:space="preserve">Misma entrada y misma configuración → misma puntuación (versión de reglas incluida en el informe).</w:t>
            </w:r>
          </w:p>
        </w:tc>
      </w:tr>
      <w:tr>
        <w:trPr>
          <w:cantSplit/>
        </w:trPr>
        <w:tc>
          <w:tcPr>
            <w:tcW w:type="dxa" w:w="260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line="252"/>
            </w:pPr>
            <w:r>
              <w:rPr>
                <w:b w:val="false"/>
                <w:bCs w:val="false"/>
                <w:sz w:val="18"/>
                <w:szCs w:val="18"/>
              </w:rPr>
              <w:t xml:space="preserve">RNF-05 Rendimiento</w:t>
            </w:r>
          </w:p>
        </w:tc>
        <w:tc>
          <w:tcPr>
            <w:tcW w:type="dxa" w:w="642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line="252"/>
            </w:pPr>
            <w:r>
              <w:rPr>
                <w:b w:val="false"/>
                <w:bCs w:val="false"/>
                <w:sz w:val="18"/>
                <w:szCs w:val="18"/>
              </w:rPr>
              <w:t xml:space="preserve">Auditoría automática de una página en menos de 60 segundos.</w:t>
            </w:r>
          </w:p>
        </w:tc>
      </w:tr>
      <w:tr>
        <w:trPr>
          <w:cantSplit/>
        </w:trPr>
        <w:tc>
          <w:tcPr>
            <w:tcW w:type="dxa" w:w="2600"/>
            <w:tcBorders>
              <w:top w:val="single" w:color="CBD5E1" w:sz="4"/>
              <w:left w:val="single" w:color="CBD5E1" w:sz="4"/>
              <w:bottom w:val="single" w:color="CBD5E1" w:sz="4"/>
              <w:right w:val="single" w:color="CBD5E1" w:sz="4"/>
            </w:tcBorders>
            <w:shd w:fill="F5F7FF" w:color="auto" w:val="clear"/>
            <w:tcMar>
              <w:top w:type="dxa" w:w="60"/>
              <w:left w:type="dxa" w:w="100"/>
              <w:bottom w:type="dxa" w:w="60"/>
              <w:right w:type="dxa" w:w="100"/>
            </w:tcMar>
          </w:tcPr>
          <w:p>
            <w:pPr>
              <w:spacing w:after="0" w:line="252"/>
            </w:pPr>
            <w:r>
              <w:rPr>
                <w:b w:val="false"/>
                <w:bCs w:val="false"/>
                <w:sz w:val="18"/>
                <w:szCs w:val="18"/>
              </w:rPr>
              <w:t xml:space="preserve">RNF-06 Portabilidad</w:t>
            </w:r>
          </w:p>
        </w:tc>
        <w:tc>
          <w:tcPr>
            <w:tcW w:type="dxa" w:w="6426"/>
            <w:tcBorders>
              <w:top w:val="single" w:color="CBD5E1" w:sz="4"/>
              <w:left w:val="single" w:color="CBD5E1" w:sz="4"/>
              <w:bottom w:val="single" w:color="CBD5E1" w:sz="4"/>
              <w:right w:val="single" w:color="CBD5E1" w:sz="4"/>
            </w:tcBorders>
            <w:shd w:fill="F5F7FF" w:color="auto" w:val="clear"/>
            <w:tcMar>
              <w:top w:type="dxa" w:w="60"/>
              <w:left w:type="dxa" w:w="100"/>
              <w:bottom w:type="dxa" w:w="60"/>
              <w:right w:type="dxa" w:w="100"/>
            </w:tcMar>
          </w:tcPr>
          <w:p>
            <w:pPr>
              <w:spacing w:after="0" w:line="252"/>
            </w:pPr>
            <w:r>
              <w:rPr>
                <w:b w:val="false"/>
                <w:bCs w:val="false"/>
                <w:sz w:val="18"/>
                <w:szCs w:val="18"/>
              </w:rPr>
              <w:t xml:space="preserve">Python 3 multiplataforma (Windows, Linux, macOS), igual que los scripts de la skill.</w:t>
            </w:r>
          </w:p>
        </w:tc>
      </w:tr>
      <w:tr>
        <w:trPr>
          <w:cantSplit/>
        </w:trPr>
        <w:tc>
          <w:tcPr>
            <w:tcW w:type="dxa" w:w="260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line="252"/>
            </w:pPr>
            <w:r>
              <w:rPr>
                <w:b w:val="false"/>
                <w:bCs w:val="false"/>
                <w:sz w:val="18"/>
                <w:szCs w:val="18"/>
              </w:rPr>
              <w:t xml:space="preserve">RNF-07 Accesibilidad del propio informe</w:t>
            </w:r>
          </w:p>
        </w:tc>
        <w:tc>
          <w:tcPr>
            <w:tcW w:type="dxa" w:w="642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line="252"/>
            </w:pPr>
            <w:r>
              <w:rPr>
                <w:b w:val="false"/>
                <w:bCs w:val="false"/>
                <w:sz w:val="18"/>
                <w:szCs w:val="18"/>
              </w:rPr>
              <w:t xml:space="preserve">El informe HTML cumple WCAG 2.2 AA (predicar con el ejemplo).</w:t>
            </w:r>
          </w:p>
        </w:tc>
      </w:tr>
      <w:tr>
        <w:trPr>
          <w:cantSplit/>
        </w:trPr>
        <w:tc>
          <w:tcPr>
            <w:tcW w:type="dxa" w:w="2600"/>
            <w:tcBorders>
              <w:top w:val="single" w:color="CBD5E1" w:sz="4"/>
              <w:left w:val="single" w:color="CBD5E1" w:sz="4"/>
              <w:bottom w:val="single" w:color="CBD5E1" w:sz="4"/>
              <w:right w:val="single" w:color="CBD5E1" w:sz="4"/>
            </w:tcBorders>
            <w:shd w:fill="F5F7FF" w:color="auto" w:val="clear"/>
            <w:tcMar>
              <w:top w:type="dxa" w:w="60"/>
              <w:left w:type="dxa" w:w="100"/>
              <w:bottom w:type="dxa" w:w="60"/>
              <w:right w:type="dxa" w:w="100"/>
            </w:tcMar>
          </w:tcPr>
          <w:p>
            <w:pPr>
              <w:spacing w:after="0" w:line="252"/>
            </w:pPr>
            <w:r>
              <w:rPr>
                <w:b w:val="false"/>
                <w:bCs w:val="false"/>
                <w:sz w:val="18"/>
                <w:szCs w:val="18"/>
              </w:rPr>
              <w:t xml:space="preserve">RNF-08 Privacidad</w:t>
            </w:r>
          </w:p>
        </w:tc>
        <w:tc>
          <w:tcPr>
            <w:tcW w:type="dxa" w:w="6426"/>
            <w:tcBorders>
              <w:top w:val="single" w:color="CBD5E1" w:sz="4"/>
              <w:left w:val="single" w:color="CBD5E1" w:sz="4"/>
              <w:bottom w:val="single" w:color="CBD5E1" w:sz="4"/>
              <w:right w:val="single" w:color="CBD5E1" w:sz="4"/>
            </w:tcBorders>
            <w:shd w:fill="F5F7FF" w:color="auto" w:val="clear"/>
            <w:tcMar>
              <w:top w:type="dxa" w:w="60"/>
              <w:left w:type="dxa" w:w="100"/>
              <w:bottom w:type="dxa" w:w="60"/>
              <w:right w:type="dxa" w:w="100"/>
            </w:tcMar>
          </w:tcPr>
          <w:p>
            <w:pPr>
              <w:spacing w:after="0" w:line="252"/>
            </w:pPr>
            <w:r>
              <w:rPr>
                <w:b w:val="false"/>
                <w:bCs w:val="false"/>
                <w:sz w:val="18"/>
                <w:szCs w:val="18"/>
              </w:rPr>
              <w:t xml:space="preserve">No envía datos del proyecto a servicios externos; todo se ejecuta en local.</w:t>
            </w:r>
          </w:p>
        </w:tc>
      </w:tr>
    </w:tbl>
    <w:p>
      <w:pPr>
        <w:pStyle w:val="Heading3"/>
      </w:pPr>
      <w:r>
        <w:t xml:space="preserve">Análisis de entradas y salidas</w:t>
      </w:r>
    </w:p>
    <w:p>
      <w:pPr>
        <w:pStyle w:val="ListParagraph"/>
        <w:numPr>
          <w:ilvl w:val="0"/>
          <w:numId w:val="2"/>
        </w:numPr>
        <w:spacing w:after="60" w:line="264"/>
      </w:pPr>
      <w:r>
        <w:rPr>
          <w:b/>
          <w:bCs/>
        </w:rPr>
        <w:t xml:space="preserve">Entradas:</w:t>
      </w:r>
      <w:r>
        <w:t xml:space="preserve"> URL o ruta, fichero de configuración del proyecto (</w:t>
      </w:r>
      <w:r>
        <w:rPr>
          <w:rFonts w:ascii="Consolas" w:cs="Consolas" w:eastAsia="Consolas" w:hAnsi="Consolas"/>
          <w:color w:val="3730A3"/>
          <w:sz w:val="20"/>
          <w:szCs w:val="20"/>
        </w:rPr>
        <w:t xml:space="preserve">uxaudit.yaml</w:t>
      </w:r>
      <w:r>
        <w:t xml:space="preserve">), respuestas del formulario experto (opcional) y puntuación SUS (opcional).</w:t>
      </w:r>
    </w:p>
    <w:p>
      <w:pPr>
        <w:pStyle w:val="ListParagraph"/>
        <w:numPr>
          <w:ilvl w:val="0"/>
          <w:numId w:val="2"/>
        </w:numPr>
        <w:spacing w:after="60" w:line="264"/>
      </w:pPr>
      <w:r>
        <w:rPr>
          <w:b/>
          <w:bCs/>
        </w:rPr>
        <w:t xml:space="preserve">Salidas:</w:t>
      </w:r>
      <w:r>
        <w:t xml:space="preserve"> informe con IUX global, nota por dimensión, lista de hallazgos ordenada por severidad con su corrección, y código de salida para CI.</w:t>
      </w:r>
    </w:p>
    <w:p>
      <w:pPr>
        <w:pStyle w:val="Heading2"/>
      </w:pPr>
      <w:r>
        <w:t xml:space="preserve">4.2 Diseño</w:t>
      </w:r>
    </w:p>
    <w:p>
      <w:pPr>
        <w:pStyle w:val="Heading3"/>
      </w:pPr>
      <w:r>
        <w:t xml:space="preserve">Arquitectura</w:t>
      </w:r>
    </w:p>
    <w:p>
      <w:pPr>
        <w:spacing w:after="120" w:line="276"/>
      </w:pPr>
      <w:r>
        <w:t xml:space="preserve">Arquitectura en cuatro etapas (tubería o pipeline) con una base de conocimiento compartida:</w:t>
      </w:r>
    </w:p>
    <w:p>
      <w:pPr>
        <w:jc w:val="center"/>
      </w:pPr>
      <w:r>
        <w:drawing>
          <wp:inline distT="0" distB="0" distL="0" distR="0">
            <wp:extent cx="5715000" cy="3238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238500"/>
                    </a:xfrm>
                    <a:prstGeom prst="rect">
                      <a:avLst/>
                    </a:prstGeom>
                  </pic:spPr>
                </pic:pic>
              </a:graphicData>
            </a:graphic>
          </wp:inline>
        </w:drawing>
      </w:r>
    </w:p>
    <w:p>
      <w:pPr>
        <w:spacing w:after="200" w:before="60"/>
        <w:jc w:val="center"/>
      </w:pPr>
      <w:r>
        <w:rPr>
          <w:i/>
          <w:iCs/>
          <w:color w:val="475569"/>
          <w:sz w:val="18"/>
          <w:szCs w:val="18"/>
        </w:rPr>
        <w:t xml:space="preserve">Figura 1. Arquitectura del UX-Auditor.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tcBorders>
              <w:top w:val="single" w:color="CBD5E1" w:sz="4"/>
              <w:left w:val="single" w:color="CBD5E1" w:sz="4"/>
              <w:bottom w:val="single" w:color="CBD5E1" w:sz="4"/>
              <w:right w:val="single" w:color="CBD5E1" w:sz="4"/>
            </w:tcBorders>
            <w:shd w:fill="E0E7FF" w:color="auto" w:val="clear"/>
            <w:tcMar>
              <w:top w:type="dxa" w:w="60"/>
              <w:left w:type="dxa" w:w="100"/>
              <w:bottom w:type="dxa" w:w="60"/>
              <w:right w:type="dxa" w:w="100"/>
            </w:tcMar>
          </w:tcPr>
          <w:p>
            <w:pPr>
              <w:spacing w:after="0" w:line="252"/>
            </w:pPr>
            <w:r>
              <w:rPr>
                <w:b/>
                <w:bCs/>
                <w:color w:val="1E1B4B"/>
                <w:sz w:val="18"/>
                <w:szCs w:val="18"/>
              </w:rPr>
              <w:t xml:space="preserve">Componente</w:t>
            </w:r>
          </w:p>
        </w:tc>
        <w:tc>
          <w:tcPr>
            <w:tcW w:type="dxa" w:w="6426"/>
            <w:tcBorders>
              <w:top w:val="single" w:color="CBD5E1" w:sz="4"/>
              <w:left w:val="single" w:color="CBD5E1" w:sz="4"/>
              <w:bottom w:val="single" w:color="CBD5E1" w:sz="4"/>
              <w:right w:val="single" w:color="CBD5E1" w:sz="4"/>
            </w:tcBorders>
            <w:shd w:fill="E0E7FF" w:color="auto" w:val="clear"/>
            <w:tcMar>
              <w:top w:type="dxa" w:w="60"/>
              <w:left w:type="dxa" w:w="100"/>
              <w:bottom w:type="dxa" w:w="60"/>
              <w:right w:type="dxa" w:w="100"/>
            </w:tcMar>
          </w:tcPr>
          <w:p>
            <w:pPr>
              <w:spacing w:after="0" w:line="252"/>
            </w:pPr>
            <w:r>
              <w:rPr>
                <w:b/>
                <w:bCs/>
                <w:color w:val="1E1B4B"/>
                <w:sz w:val="18"/>
                <w:szCs w:val="18"/>
              </w:rPr>
              <w:t xml:space="preserve">Responsabilidad</w:t>
            </w:r>
          </w:p>
        </w:tc>
      </w:tr>
      <w:tr>
        <w:trPr>
          <w:cantSplit/>
        </w:trPr>
        <w:tc>
          <w:tcPr>
            <w:tcW w:type="dxa" w:w="260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line="252"/>
            </w:pPr>
            <w:r>
              <w:rPr>
                <w:b/>
                <w:bCs/>
                <w:sz w:val="18"/>
                <w:szCs w:val="18"/>
              </w:rPr>
              <w:t xml:space="preserve">Adaptadores de entrada</w:t>
            </w:r>
          </w:p>
        </w:tc>
        <w:tc>
          <w:tcPr>
            <w:tcW w:type="dxa" w:w="642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line="252"/>
            </w:pPr>
            <w:r>
              <w:rPr>
                <w:b w:val="false"/>
                <w:bCs w:val="false"/>
                <w:sz w:val="18"/>
                <w:szCs w:val="18"/>
              </w:rPr>
              <w:t xml:space="preserve">Abren el objetivo con un navegador headless (Playwright) en varios tamaños de pantalla (móvil 375 px, escritorio 1440 px).</w:t>
            </w:r>
          </w:p>
        </w:tc>
      </w:tr>
      <w:tr>
        <w:trPr>
          <w:cantSplit/>
        </w:trPr>
        <w:tc>
          <w:tcPr>
            <w:tcW w:type="dxa" w:w="2600"/>
            <w:tcBorders>
              <w:top w:val="single" w:color="CBD5E1" w:sz="4"/>
              <w:left w:val="single" w:color="CBD5E1" w:sz="4"/>
              <w:bottom w:val="single" w:color="CBD5E1" w:sz="4"/>
              <w:right w:val="single" w:color="CBD5E1" w:sz="4"/>
            </w:tcBorders>
            <w:shd w:fill="F5F7FF" w:color="auto" w:val="clear"/>
            <w:tcMar>
              <w:top w:type="dxa" w:w="60"/>
              <w:left w:type="dxa" w:w="100"/>
              <w:bottom w:type="dxa" w:w="60"/>
              <w:right w:type="dxa" w:w="100"/>
            </w:tcMar>
          </w:tcPr>
          <w:p>
            <w:pPr>
              <w:spacing w:after="0" w:line="252"/>
            </w:pPr>
            <w:r>
              <w:rPr>
                <w:b/>
                <w:bCs/>
                <w:sz w:val="18"/>
                <w:szCs w:val="18"/>
              </w:rPr>
              <w:t xml:space="preserve">Analizadores</w:t>
            </w:r>
          </w:p>
        </w:tc>
        <w:tc>
          <w:tcPr>
            <w:tcW w:type="dxa" w:w="6426"/>
            <w:tcBorders>
              <w:top w:val="single" w:color="CBD5E1" w:sz="4"/>
              <w:left w:val="single" w:color="CBD5E1" w:sz="4"/>
              <w:bottom w:val="single" w:color="CBD5E1" w:sz="4"/>
              <w:right w:val="single" w:color="CBD5E1" w:sz="4"/>
            </w:tcBorders>
            <w:shd w:fill="F5F7FF" w:color="auto" w:val="clear"/>
            <w:tcMar>
              <w:top w:type="dxa" w:w="60"/>
              <w:left w:type="dxa" w:w="100"/>
              <w:bottom w:type="dxa" w:w="60"/>
              <w:right w:type="dxa" w:w="100"/>
            </w:tcMar>
          </w:tcPr>
          <w:p>
            <w:pPr>
              <w:spacing w:after="0" w:line="252"/>
            </w:pPr>
            <w:r>
              <w:rPr>
                <w:b w:val="false"/>
                <w:bCs w:val="false"/>
                <w:sz w:val="18"/>
                <w:szCs w:val="18"/>
              </w:rPr>
              <w:t xml:space="preserve">axe-core 4.11 (accesibilidad); prueba real de teclado; observador de Core Web Vitals y red (LCP, CLS, TBT, peso, rastreadores, CO2); comprobaciones DOM propias; pruebas de huecos (patrones oscuros, calidad del contenido, adaptación al usuario) y cuestionario experto. Todo el JavaScript se ejecuta en un mundo aislado del navegador, para que la página no pueda falsear las mediciones.</w:t>
            </w:r>
          </w:p>
        </w:tc>
      </w:tr>
      <w:tr>
        <w:trPr>
          <w:cantSplit/>
        </w:trPr>
        <w:tc>
          <w:tcPr>
            <w:tcW w:type="dxa" w:w="260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line="252"/>
            </w:pPr>
            <w:r>
              <w:rPr>
                <w:b/>
                <w:bCs/>
                <w:sz w:val="18"/>
                <w:szCs w:val="18"/>
              </w:rPr>
              <w:t xml:space="preserve">Motor de reglas</w:t>
            </w:r>
          </w:p>
        </w:tc>
        <w:tc>
          <w:tcPr>
            <w:tcW w:type="dxa" w:w="642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line="252"/>
            </w:pPr>
            <w:r>
              <w:rPr>
                <w:b w:val="false"/>
                <w:bCs w:val="false"/>
                <w:sz w:val="18"/>
                <w:szCs w:val="18"/>
              </w:rPr>
              <w:t xml:space="preserve">Carga las reglas activas del perfil, las asigna a cada dimensión y fusiona hallazgos duplicados de distintos analizadores.</w:t>
            </w:r>
          </w:p>
        </w:tc>
      </w:tr>
      <w:tr>
        <w:trPr>
          <w:cantSplit/>
        </w:trPr>
        <w:tc>
          <w:tcPr>
            <w:tcW w:type="dxa" w:w="2600"/>
            <w:tcBorders>
              <w:top w:val="single" w:color="CBD5E1" w:sz="4"/>
              <w:left w:val="single" w:color="CBD5E1" w:sz="4"/>
              <w:bottom w:val="single" w:color="CBD5E1" w:sz="4"/>
              <w:right w:val="single" w:color="CBD5E1" w:sz="4"/>
            </w:tcBorders>
            <w:shd w:fill="F5F7FF" w:color="auto" w:val="clear"/>
            <w:tcMar>
              <w:top w:type="dxa" w:w="60"/>
              <w:left w:type="dxa" w:w="100"/>
              <w:bottom w:type="dxa" w:w="60"/>
              <w:right w:type="dxa" w:w="100"/>
            </w:tcMar>
          </w:tcPr>
          <w:p>
            <w:pPr>
              <w:spacing w:after="0" w:line="252"/>
            </w:pPr>
            <w:r>
              <w:rPr>
                <w:b/>
                <w:bCs/>
                <w:sz w:val="18"/>
                <w:szCs w:val="18"/>
              </w:rPr>
              <w:t xml:space="preserve">Motor de puntuación</w:t>
            </w:r>
          </w:p>
        </w:tc>
        <w:tc>
          <w:tcPr>
            <w:tcW w:type="dxa" w:w="6426"/>
            <w:tcBorders>
              <w:top w:val="single" w:color="CBD5E1" w:sz="4"/>
              <w:left w:val="single" w:color="CBD5E1" w:sz="4"/>
              <w:bottom w:val="single" w:color="CBD5E1" w:sz="4"/>
              <w:right w:val="single" w:color="CBD5E1" w:sz="4"/>
            </w:tcBorders>
            <w:shd w:fill="F5F7FF" w:color="auto" w:val="clear"/>
            <w:tcMar>
              <w:top w:type="dxa" w:w="60"/>
              <w:left w:type="dxa" w:w="100"/>
              <w:bottom w:type="dxa" w:w="60"/>
              <w:right w:type="dxa" w:w="100"/>
            </w:tcMar>
          </w:tcPr>
          <w:p>
            <w:pPr>
              <w:spacing w:after="0" w:line="252"/>
            </w:pPr>
            <w:r>
              <w:rPr>
                <w:b w:val="false"/>
                <w:bCs w:val="false"/>
                <w:sz w:val="18"/>
                <w:szCs w:val="18"/>
              </w:rPr>
              <w:t xml:space="preserve">Aplica las fórmulas del apartado 03, los techos y el modo estricto o estándar.</w:t>
            </w:r>
          </w:p>
        </w:tc>
      </w:tr>
      <w:tr>
        <w:trPr>
          <w:cantSplit/>
        </w:trPr>
        <w:tc>
          <w:tcPr>
            <w:tcW w:type="dxa" w:w="260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line="252"/>
            </w:pPr>
            <w:r>
              <w:rPr>
                <w:b/>
                <w:bCs/>
                <w:sz w:val="18"/>
                <w:szCs w:val="18"/>
              </w:rPr>
              <w:t xml:space="preserve">Base de conocimiento</w:t>
            </w:r>
          </w:p>
        </w:tc>
        <w:tc>
          <w:tcPr>
            <w:tcW w:type="dxa" w:w="642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line="252"/>
            </w:pPr>
            <w:r>
              <w:rPr>
                <w:rFonts w:ascii="Consolas" w:cs="Consolas" w:eastAsia="Consolas" w:hAnsi="Consolas"/>
                <w:b w:val="false"/>
                <w:bCs w:val="false"/>
                <w:color w:val="3730A3"/>
                <w:sz w:val="16"/>
                <w:szCs w:val="16"/>
              </w:rPr>
              <w:t xml:space="preserve">rules.yaml</w:t>
            </w:r>
            <w:r>
              <w:rPr>
                <w:b w:val="false"/>
                <w:bCs w:val="false"/>
                <w:sz w:val="18"/>
                <w:szCs w:val="18"/>
              </w:rPr>
              <w:t xml:space="preserve"> (100 reglas) + </w:t>
            </w:r>
            <w:r>
              <w:rPr>
                <w:rFonts w:ascii="Consolas" w:cs="Consolas" w:eastAsia="Consolas" w:hAnsi="Consolas"/>
                <w:b w:val="false"/>
                <w:bCs w:val="false"/>
                <w:color w:val="3730A3"/>
                <w:sz w:val="16"/>
                <w:szCs w:val="16"/>
              </w:rPr>
              <w:t xml:space="preserve">ux-guidelines.csv</w:t>
            </w:r>
            <w:r>
              <w:rPr>
                <w:b w:val="false"/>
                <w:bCs w:val="false"/>
                <w:sz w:val="18"/>
                <w:szCs w:val="18"/>
              </w:rPr>
              <w:t xml:space="preserve"> de UI UX Pro Max, leído y buscado con BM25 por el propio auditor, sin ejecutar código de terceros. Cada fallo lleva su corrección.</w:t>
            </w:r>
          </w:p>
        </w:tc>
      </w:tr>
      <w:tr>
        <w:trPr>
          <w:cantSplit/>
        </w:trPr>
        <w:tc>
          <w:tcPr>
            <w:tcW w:type="dxa" w:w="2600"/>
            <w:tcBorders>
              <w:top w:val="single" w:color="CBD5E1" w:sz="4"/>
              <w:left w:val="single" w:color="CBD5E1" w:sz="4"/>
              <w:bottom w:val="single" w:color="CBD5E1" w:sz="4"/>
              <w:right w:val="single" w:color="CBD5E1" w:sz="4"/>
            </w:tcBorders>
            <w:shd w:fill="F5F7FF" w:color="auto" w:val="clear"/>
            <w:tcMar>
              <w:top w:type="dxa" w:w="60"/>
              <w:left w:type="dxa" w:w="100"/>
              <w:bottom w:type="dxa" w:w="60"/>
              <w:right w:type="dxa" w:w="100"/>
            </w:tcMar>
          </w:tcPr>
          <w:p>
            <w:pPr>
              <w:spacing w:after="0" w:line="252"/>
            </w:pPr>
            <w:r>
              <w:rPr>
                <w:b/>
                <w:bCs/>
                <w:sz w:val="18"/>
                <w:szCs w:val="18"/>
              </w:rPr>
              <w:t xml:space="preserve">Generadores de informes</w:t>
            </w:r>
          </w:p>
        </w:tc>
        <w:tc>
          <w:tcPr>
            <w:tcW w:type="dxa" w:w="6426"/>
            <w:tcBorders>
              <w:top w:val="single" w:color="CBD5E1" w:sz="4"/>
              <w:left w:val="single" w:color="CBD5E1" w:sz="4"/>
              <w:bottom w:val="single" w:color="CBD5E1" w:sz="4"/>
              <w:right w:val="single" w:color="CBD5E1" w:sz="4"/>
            </w:tcBorders>
            <w:shd w:fill="F5F7FF" w:color="auto" w:val="clear"/>
            <w:tcMar>
              <w:top w:type="dxa" w:w="60"/>
              <w:left w:type="dxa" w:w="100"/>
              <w:bottom w:type="dxa" w:w="60"/>
              <w:right w:type="dxa" w:w="100"/>
            </w:tcMar>
          </w:tcPr>
          <w:p>
            <w:pPr>
              <w:spacing w:after="0" w:line="252"/>
            </w:pPr>
            <w:r>
              <w:rPr>
                <w:b w:val="false"/>
                <w:bCs w:val="false"/>
                <w:sz w:val="18"/>
                <w:szCs w:val="18"/>
              </w:rPr>
              <w:t xml:space="preserve">HTML, JSON, Markdown e histórico.</w:t>
            </w:r>
          </w:p>
        </w:tc>
      </w:tr>
    </w:tbl>
    <w:p>
      <w:pPr>
        <w:pStyle w:val="Heading3"/>
      </w:pPr>
      <w:r>
        <w:t xml:space="preserve">Modelo de datos</w:t>
      </w:r>
    </w:p>
    <w:p>
      <w:pPr>
        <w:shd w:fill="F1F5F9" w:color="auto" w:val="clear"/>
        <w:spacing w:after="0" w:line="240"/>
        <w:ind w:left="200" w:right="200"/>
      </w:pPr>
      <w:r>
        <w:rPr>
          <w:rFonts w:ascii="Consolas" w:cs="Consolas" w:eastAsia="Consolas" w:hAnsi="Consolas"/>
          <w:color w:val="0F172A"/>
          <w:sz w:val="17"/>
          <w:szCs w:val="17"/>
        </w:rPr>
        <w:t xml:space="preserve">Regla      { id, dimension (D1..D8), titulo, severidad (critica|alta|media|baja),</w:t>
      </w:r>
    </w:p>
    <w:p>
      <w:pPr>
        <w:shd w:fill="F1F5F9" w:color="auto" w:val="clear"/>
        <w:spacing w:after="0" w:line="240"/>
        <w:ind w:left="200" w:right="200"/>
      </w:pPr>
      <w:r>
        <w:rPr>
          <w:rFonts w:ascii="Consolas" w:cs="Consolas" w:eastAsia="Consolas" w:hAnsi="Consolas"/>
          <w:color w:val="0F172A"/>
          <w:sz w:val="17"/>
          <w:szCs w:val="17"/>
        </w:rPr>
        <w:t xml:space="preserve">             tipo (auto|metrica|manual), viewports (movil|escritorio|todas),</w:t>
      </w:r>
    </w:p>
    <w:p>
      <w:pPr>
        <w:shd w:fill="F1F5F9" w:color="auto" w:val="clear"/>
        <w:spacing w:after="0" w:line="240"/>
        <w:ind w:left="200" w:right="200"/>
      </w:pPr>
      <w:r>
        <w:rPr>
          <w:rFonts w:ascii="Consolas" w:cs="Consolas" w:eastAsia="Consolas" w:hAnsi="Consolas"/>
          <w:color w:val="0F172A"/>
          <w:sz w:val="17"/>
          <w:szCs w:val="17"/>
        </w:rPr>
        <w:t xml:space="preserve">             norma (ej. 'WCAG 2.2 - 2.5.8'), consulta_kb (ej. 'touch target size') }</w:t>
      </w:r>
    </w:p>
    <w:p>
      <w:pPr>
        <w:shd w:fill="F1F5F9" w:color="auto" w:val="clear"/>
        <w:spacing w:after="0" w:line="240"/>
        <w:ind w:left="200" w:right="200"/>
      </w:pPr>
      <w:r>
        <w:rPr>
          <w:rFonts w:ascii="Consolas" w:cs="Consolas" w:eastAsia="Consolas" w:hAnsi="Consolas"/>
          <w:color w:val="0F172A"/>
          <w:sz w:val="17"/>
          <w:szCs w:val="17"/>
        </w:rPr>
        <w:t xml:space="preserve">Hallazgo   { regla_id, resultado (cumple|parcial|no_cumple|no_aplica),</w:t>
      </w:r>
    </w:p>
    <w:p>
      <w:pPr>
        <w:shd w:fill="F1F5F9" w:color="auto" w:val="clear"/>
        <w:spacing w:after="0" w:line="240"/>
        <w:ind w:left="200" w:right="200"/>
      </w:pPr>
      <w:r>
        <w:rPr>
          <w:rFonts w:ascii="Consolas" w:cs="Consolas" w:eastAsia="Consolas" w:hAnsi="Consolas"/>
          <w:color w:val="0F172A"/>
          <w:sz w:val="17"/>
          <w:szCs w:val="17"/>
        </w:rPr>
        <w:t xml:space="preserve">             evidencia { selector, valor_medido, captura }, correccion { hacer, evitar, codigo } }</w:t>
      </w:r>
    </w:p>
    <w:p>
      <w:pPr>
        <w:shd w:fill="F1F5F9" w:color="auto" w:val="clear"/>
        <w:spacing w:after="0" w:line="240"/>
        <w:ind w:left="200" w:right="200"/>
      </w:pPr>
      <w:r>
        <w:rPr>
          <w:rFonts w:ascii="Consolas" w:cs="Consolas" w:eastAsia="Consolas" w:hAnsi="Consolas"/>
          <w:color w:val="0F172A"/>
          <w:sz w:val="17"/>
          <w:szCs w:val="17"/>
        </w:rPr>
        <w:t xml:space="preserve">Informe    { proyecto, fecha, version_reglas, modo, notas_dimension{}, iux, iux_sin_techos,</w:t>
      </w:r>
    </w:p>
    <w:p>
      <w:pPr>
        <w:shd w:fill="F1F5F9" w:color="auto" w:val="clear"/>
        <w:spacing w:after="160" w:line="240"/>
        <w:ind w:left="200" w:right="200"/>
      </w:pPr>
      <w:r>
        <w:rPr>
          <w:rFonts w:ascii="Consolas" w:cs="Consolas" w:eastAsia="Consolas" w:hAnsi="Consolas"/>
          <w:color w:val="0F172A"/>
          <w:sz w:val="17"/>
          <w:szCs w:val="17"/>
        </w:rPr>
        <w:t xml:space="preserve">             nivel, techos[], cobertura, hallazgos[] }</w:t>
      </w:r>
    </w:p>
    <w:p>
      <w:pPr>
        <w:pStyle w:val="Heading3"/>
      </w:pPr>
      <w:r>
        <w:t xml:space="preserve">Ejemplo de regla y de configuración</w:t>
      </w:r>
    </w:p>
    <w:p>
      <w:pPr>
        <w:shd w:fill="F1F5F9" w:color="auto" w:val="clear"/>
        <w:spacing w:after="0" w:line="240"/>
        <w:ind w:left="200" w:right="200"/>
      </w:pPr>
      <w:r>
        <w:rPr>
          <w:rFonts w:ascii="Consolas" w:cs="Consolas" w:eastAsia="Consolas" w:hAnsi="Consolas"/>
          <w:color w:val="0F172A"/>
          <w:sz w:val="17"/>
          <w:szCs w:val="17"/>
        </w:rPr>
        <w:t xml:space="preserve"># reglas.yaml (extracto)</w:t>
      </w:r>
    </w:p>
    <w:p>
      <w:pPr>
        <w:shd w:fill="F1F5F9" w:color="auto" w:val="clear"/>
        <w:spacing w:after="0" w:line="240"/>
        <w:ind w:left="200" w:right="200"/>
      </w:pPr>
      <w:r>
        <w:rPr>
          <w:rFonts w:ascii="Consolas" w:cs="Consolas" w:eastAsia="Consolas" w:hAnsi="Consolas"/>
          <w:color w:val="0F172A"/>
          <w:sz w:val="17"/>
          <w:szCs w:val="17"/>
        </w:rPr>
        <w:t xml:space="preserve">- id: A11Y-CONTRASTE</w:t>
      </w:r>
    </w:p>
    <w:p>
      <w:pPr>
        <w:shd w:fill="F1F5F9" w:color="auto" w:val="clear"/>
        <w:spacing w:after="0" w:line="240"/>
        <w:ind w:left="200" w:right="200"/>
      </w:pPr>
      <w:r>
        <w:rPr>
          <w:rFonts w:ascii="Consolas" w:cs="Consolas" w:eastAsia="Consolas" w:hAnsi="Consolas"/>
          <w:color w:val="0F172A"/>
          <w:sz w:val="17"/>
          <w:szCs w:val="17"/>
        </w:rPr>
        <w:t xml:space="preserve">  dimension: D1</w:t>
      </w:r>
    </w:p>
    <w:p>
      <w:pPr>
        <w:shd w:fill="F1F5F9" w:color="auto" w:val="clear"/>
        <w:spacing w:after="0" w:line="240"/>
        <w:ind w:left="200" w:right="200"/>
      </w:pPr>
      <w:r>
        <w:rPr>
          <w:rFonts w:ascii="Consolas" w:cs="Consolas" w:eastAsia="Consolas" w:hAnsi="Consolas"/>
          <w:color w:val="0F172A"/>
          <w:sz w:val="17"/>
          <w:szCs w:val="17"/>
        </w:rPr>
        <w:t xml:space="preserve">  titulo: Contraste de color del texto</w:t>
      </w:r>
    </w:p>
    <w:p>
      <w:pPr>
        <w:shd w:fill="F1F5F9" w:color="auto" w:val="clear"/>
        <w:spacing w:after="0" w:line="240"/>
        <w:ind w:left="200" w:right="200"/>
      </w:pPr>
      <w:r>
        <w:rPr>
          <w:rFonts w:ascii="Consolas" w:cs="Consolas" w:eastAsia="Consolas" w:hAnsi="Consolas"/>
          <w:color w:val="0F172A"/>
          <w:sz w:val="17"/>
          <w:szCs w:val="17"/>
        </w:rPr>
        <w:t xml:space="preserve">  severidad: alta</w:t>
      </w:r>
    </w:p>
    <w:p>
      <w:pPr>
        <w:shd w:fill="F1F5F9" w:color="auto" w:val="clear"/>
        <w:spacing w:after="0" w:line="240"/>
        <w:ind w:left="200" w:right="200"/>
      </w:pPr>
      <w:r>
        <w:rPr>
          <w:rFonts w:ascii="Consolas" w:cs="Consolas" w:eastAsia="Consolas" w:hAnsi="Consolas"/>
          <w:color w:val="0F172A"/>
          <w:sz w:val="17"/>
          <w:szCs w:val="17"/>
        </w:rPr>
        <w:t xml:space="preserve">  tipo: auto            # lo resuelve axe-core (regla color-contrast)</w:t>
      </w:r>
    </w:p>
    <w:p>
      <w:pPr>
        <w:shd w:fill="F1F5F9" w:color="auto" w:val="clear"/>
        <w:spacing w:after="0" w:line="240"/>
        <w:ind w:left="200" w:right="200"/>
      </w:pPr>
      <w:r>
        <w:rPr>
          <w:rFonts w:ascii="Consolas" w:cs="Consolas" w:eastAsia="Consolas" w:hAnsi="Consolas"/>
          <w:color w:val="0F172A"/>
          <w:sz w:val="17"/>
          <w:szCs w:val="17"/>
        </w:rPr>
        <w:t xml:space="preserve">  norma: WCAG 2.2 · 1.4.3 Contraste (mínimo)</w:t>
      </w:r>
    </w:p>
    <w:p>
      <w:pPr>
        <w:shd w:fill="F1F5F9" w:color="auto" w:val="clear"/>
        <w:spacing w:after="0" w:line="240"/>
        <w:ind w:left="200" w:right="200"/>
      </w:pPr>
      <w:r>
        <w:rPr>
          <w:rFonts w:ascii="Consolas" w:cs="Consolas" w:eastAsia="Consolas" w:hAnsi="Consolas"/>
          <w:color w:val="0F172A"/>
          <w:sz w:val="17"/>
          <w:szCs w:val="17"/>
        </w:rPr>
        <w:t xml:space="preserve">  kb: Color Contrast</w:t>
      </w:r>
    </w:p>
    <w:p>
      <w:pPr>
        <w:shd w:fill="F1F5F9" w:color="auto" w:val="clear"/>
        <w:spacing w:after="0" w:line="240"/>
        <w:ind w:left="200" w:right="200"/>
      </w:pPr>
      <w:r>
        <w:rPr>
          <w:rFonts w:ascii="Consolas" w:cs="Consolas" w:eastAsia="Consolas" w:hAnsi="Consolas"/>
          <w:color w:val="0F172A"/>
          <w:sz w:val="17"/>
          <w:szCs w:val="17"/>
        </w:rPr>
        <w:t xml:space="preserve"> </w:t>
      </w:r>
    </w:p>
    <w:p>
      <w:pPr>
        <w:shd w:fill="F1F5F9" w:color="auto" w:val="clear"/>
        <w:spacing w:after="0" w:line="240"/>
        <w:ind w:left="200" w:right="200"/>
      </w:pPr>
      <w:r>
        <w:rPr>
          <w:rFonts w:ascii="Consolas" w:cs="Consolas" w:eastAsia="Consolas" w:hAnsi="Consolas"/>
          <w:color w:val="0F172A"/>
          <w:sz w:val="17"/>
          <w:szCs w:val="17"/>
        </w:rPr>
        <w:t xml:space="preserve">- id: ETI-COOKIES-RECHAZO</w:t>
      </w:r>
    </w:p>
    <w:p>
      <w:pPr>
        <w:shd w:fill="F1F5F9" w:color="auto" w:val="clear"/>
        <w:spacing w:after="0" w:line="240"/>
        <w:ind w:left="200" w:right="200"/>
      </w:pPr>
      <w:r>
        <w:rPr>
          <w:rFonts w:ascii="Consolas" w:cs="Consolas" w:eastAsia="Consolas" w:hAnsi="Consolas"/>
          <w:color w:val="0F172A"/>
          <w:sz w:val="17"/>
          <w:szCs w:val="17"/>
        </w:rPr>
        <w:t xml:space="preserve">  dimension: D8</w:t>
      </w:r>
    </w:p>
    <w:p>
      <w:pPr>
        <w:shd w:fill="F1F5F9" w:color="auto" w:val="clear"/>
        <w:spacing w:after="0" w:line="240"/>
        <w:ind w:left="200" w:right="200"/>
      </w:pPr>
      <w:r>
        <w:rPr>
          <w:rFonts w:ascii="Consolas" w:cs="Consolas" w:eastAsia="Consolas" w:hAnsi="Consolas"/>
          <w:color w:val="0F172A"/>
          <w:sz w:val="17"/>
          <w:szCs w:val="17"/>
        </w:rPr>
        <w:t xml:space="preserve">  severidad: critica</w:t>
      </w:r>
    </w:p>
    <w:p>
      <w:pPr>
        <w:shd w:fill="F1F5F9" w:color="auto" w:val="clear"/>
        <w:spacing w:after="0" w:line="240"/>
        <w:ind w:left="200" w:right="200"/>
      </w:pPr>
      <w:r>
        <w:rPr>
          <w:rFonts w:ascii="Consolas" w:cs="Consolas" w:eastAsia="Consolas" w:hAnsi="Consolas"/>
          <w:color w:val="0F172A"/>
          <w:sz w:val="17"/>
          <w:szCs w:val="17"/>
        </w:rPr>
        <w:t xml:space="preserve">  tipo: auto            # compara tamaño, letra y relleno de «Aceptar» y «Rechazar»</w:t>
      </w:r>
    </w:p>
    <w:p>
      <w:pPr>
        <w:shd w:fill="F1F5F9" w:color="auto" w:val="clear"/>
        <w:spacing w:after="0" w:line="240"/>
        <w:ind w:left="200" w:right="200"/>
      </w:pPr>
      <w:r>
        <w:rPr>
          <w:rFonts w:ascii="Consolas" w:cs="Consolas" w:eastAsia="Consolas" w:hAnsi="Consolas"/>
          <w:color w:val="0F172A"/>
          <w:sz w:val="17"/>
          <w:szCs w:val="17"/>
        </w:rPr>
        <w:t xml:space="preserve">  norma: AEPD Guía sobre cookies (2023) · RGPD art. 7</w:t>
      </w:r>
    </w:p>
    <w:p>
      <w:pPr>
        <w:shd w:fill="F1F5F9" w:color="auto" w:val="clear"/>
        <w:spacing w:after="0" w:line="240"/>
        <w:ind w:left="200" w:right="200"/>
      </w:pPr>
      <w:r>
        <w:rPr>
          <w:rFonts w:ascii="Consolas" w:cs="Consolas" w:eastAsia="Consolas" w:hAnsi="Consolas"/>
          <w:color w:val="0F172A"/>
          <w:sz w:val="17"/>
          <w:szCs w:val="17"/>
        </w:rPr>
        <w:t xml:space="preserve"> </w:t>
      </w:r>
    </w:p>
    <w:p>
      <w:pPr>
        <w:shd w:fill="F1F5F9" w:color="auto" w:val="clear"/>
        <w:spacing w:after="0" w:line="240"/>
        <w:ind w:left="200" w:right="200"/>
      </w:pPr>
      <w:r>
        <w:rPr>
          <w:rFonts w:ascii="Consolas" w:cs="Consolas" w:eastAsia="Consolas" w:hAnsi="Consolas"/>
          <w:color w:val="0F172A"/>
          <w:sz w:val="17"/>
          <w:szCs w:val="17"/>
        </w:rPr>
        <w:t xml:space="preserve"># uxaudit.yaml (perfil de un proyecto)</w:t>
      </w:r>
    </w:p>
    <w:p>
      <w:pPr>
        <w:shd w:fill="F1F5F9" w:color="auto" w:val="clear"/>
        <w:spacing w:after="0" w:line="240"/>
        <w:ind w:left="200" w:right="200"/>
      </w:pPr>
      <w:r>
        <w:rPr>
          <w:rFonts w:ascii="Consolas" w:cs="Consolas" w:eastAsia="Consolas" w:hAnsi="Consolas"/>
          <w:color w:val="0F172A"/>
          <w:sz w:val="17"/>
          <w:szCs w:val="17"/>
        </w:rPr>
        <w:t xml:space="preserve">proyecto: Web restaurante</w:t>
      </w:r>
    </w:p>
    <w:p>
      <w:pPr>
        <w:shd w:fill="F1F5F9" w:color="auto" w:val="clear"/>
        <w:spacing w:after="0" w:line="240"/>
        <w:ind w:left="200" w:right="200"/>
      </w:pPr>
      <w:r>
        <w:rPr>
          <w:rFonts w:ascii="Consolas" w:cs="Consolas" w:eastAsia="Consolas" w:hAnsi="Consolas"/>
          <w:color w:val="0F172A"/>
          <w:sz w:val="17"/>
          <w:szCs w:val="17"/>
        </w:rPr>
        <w:t xml:space="preserve">perfil: web                 # móvil 375 px + escritorio 1440 px</w:t>
      </w:r>
    </w:p>
    <w:p>
      <w:pPr>
        <w:shd w:fill="F1F5F9" w:color="auto" w:val="clear"/>
        <w:spacing w:after="0" w:line="240"/>
        <w:ind w:left="200" w:right="200"/>
      </w:pPr>
      <w:r>
        <w:rPr>
          <w:rFonts w:ascii="Consolas" w:cs="Consolas" w:eastAsia="Consolas" w:hAnsi="Consolas"/>
          <w:color w:val="0F172A"/>
          <w:sz w:val="17"/>
          <w:szCs w:val="17"/>
        </w:rPr>
        <w:t xml:space="preserve">modo: estricto</w:t>
      </w:r>
    </w:p>
    <w:p>
      <w:pPr>
        <w:shd w:fill="F1F5F9" w:color="auto" w:val="clear"/>
        <w:spacing w:after="0" w:line="240"/>
        <w:ind w:left="200" w:right="200"/>
      </w:pPr>
      <w:r>
        <w:rPr>
          <w:rFonts w:ascii="Consolas" w:cs="Consolas" w:eastAsia="Consolas" w:hAnsi="Consolas"/>
          <w:color w:val="0F172A"/>
          <w:sz w:val="17"/>
          <w:szCs w:val="17"/>
        </w:rPr>
        <w:t xml:space="preserve">pesos: {D1: 25, D2: 15, D3: 15, D4: 10, D5: 10, D6: 10, D7: 5, D8: 10}</w:t>
      </w:r>
    </w:p>
    <w:p>
      <w:pPr>
        <w:shd w:fill="F1F5F9" w:color="auto" w:val="clear"/>
        <w:spacing w:after="0" w:line="240"/>
        <w:ind w:left="200" w:right="200"/>
      </w:pPr>
      <w:r>
        <w:rPr>
          <w:rFonts w:ascii="Consolas" w:cs="Consolas" w:eastAsia="Consolas" w:hAnsi="Consolas"/>
          <w:color w:val="0F172A"/>
          <w:sz w:val="17"/>
          <w:szCs w:val="17"/>
        </w:rPr>
        <w:t xml:space="preserve">umbral_ci: 7.0</w:t>
      </w:r>
    </w:p>
    <w:p>
      <w:pPr>
        <w:shd w:fill="F1F5F9" w:color="auto" w:val="clear"/>
        <w:spacing w:after="160" w:line="240"/>
        <w:ind w:left="200" w:right="200"/>
      </w:pPr>
      <w:r>
        <w:rPr>
          <w:rFonts w:ascii="Consolas" w:cs="Consolas" w:eastAsia="Consolas" w:hAnsi="Consolas"/>
          <w:color w:val="0F172A"/>
          <w:sz w:val="17"/>
          <w:szCs w:val="17"/>
        </w:rPr>
        <w:t xml:space="preserve">reglas_desactivadas: [NAV-BARRA-INFERIOR]</w:t>
      </w:r>
    </w:p>
    <w:p>
      <w:pPr>
        <w:pStyle w:val="Heading3"/>
      </w:pPr>
      <w:r>
        <w:t xml:space="preserve">Flujo de ejecución</w:t>
      </w:r>
    </w:p>
    <w:p>
      <w:pPr>
        <w:pStyle w:val="ListParagraph"/>
        <w:numPr>
          <w:ilvl w:val="0"/>
          <w:numId w:val="3"/>
        </w:numPr>
        <w:spacing w:after="60" w:line="264"/>
      </w:pPr>
      <w:r>
        <w:t xml:space="preserve">Leer </w:t>
      </w:r>
      <w:r>
        <w:rPr>
          <w:rFonts w:ascii="Consolas" w:cs="Consolas" w:eastAsia="Consolas" w:hAnsi="Consolas"/>
          <w:color w:val="3730A3"/>
          <w:sz w:val="20"/>
          <w:szCs w:val="20"/>
        </w:rPr>
        <w:t xml:space="preserve">uxaudit.yaml</w:t>
      </w:r>
      <w:r>
        <w:t xml:space="preserve"> y cargar las reglas activas del perfil.</w:t>
      </w:r>
    </w:p>
    <w:p>
      <w:pPr>
        <w:pStyle w:val="ListParagraph"/>
        <w:numPr>
          <w:ilvl w:val="0"/>
          <w:numId w:val="3"/>
        </w:numPr>
        <w:spacing w:after="60" w:line="264"/>
      </w:pPr>
      <w:r>
        <w:t xml:space="preserve">Abrir el objetivo en cada viewport configurado.</w:t>
      </w:r>
    </w:p>
    <w:p>
      <w:pPr>
        <w:pStyle w:val="ListParagraph"/>
        <w:numPr>
          <w:ilvl w:val="0"/>
          <w:numId w:val="3"/>
        </w:numPr>
        <w:spacing w:after="60" w:line="264"/>
      </w:pPr>
      <w:r>
        <w:t xml:space="preserve">Medir el rendimiento (móvil con 4G lento), ejecutar axe-core, las comprobaciones DOM y la prueba de teclado.</w:t>
      </w:r>
    </w:p>
    <w:p>
      <w:pPr>
        <w:pStyle w:val="ListParagraph"/>
        <w:numPr>
          <w:ilvl w:val="0"/>
          <w:numId w:val="3"/>
        </w:numPr>
        <w:spacing w:after="60" w:line="264"/>
      </w:pPr>
      <w:r>
        <w:t xml:space="preserve">Repetir las mediciones emulando al usuario: espaciado de texto, letra al 200 %, alto contraste, modo oscuro, tamaños intermedios y móvil en horizontal. Buscar patrones oscuros y rastreo.</w:t>
      </w:r>
    </w:p>
    <w:p>
      <w:pPr>
        <w:pStyle w:val="ListParagraph"/>
        <w:numPr>
          <w:ilvl w:val="0"/>
          <w:numId w:val="3"/>
        </w:numPr>
        <w:spacing w:after="60" w:line="264"/>
      </w:pPr>
      <w:r>
        <w:t xml:space="preserve">Si hay reglas manuales, pedir al evaluador el formulario guiado (o leer respuestas guardadas).</w:t>
      </w:r>
    </w:p>
    <w:p>
      <w:pPr>
        <w:pStyle w:val="ListParagraph"/>
        <w:numPr>
          <w:ilvl w:val="0"/>
          <w:numId w:val="3"/>
        </w:numPr>
        <w:spacing w:after="60" w:line="264"/>
      </w:pPr>
      <w:r>
        <w:t xml:space="preserve">Fusionar hallazgos, comparar la navegación entre páginas y calcular notas, IUX y techos.</w:t>
      </w:r>
    </w:p>
    <w:p>
      <w:pPr>
        <w:pStyle w:val="ListParagraph"/>
        <w:numPr>
          <w:ilvl w:val="0"/>
          <w:numId w:val="3"/>
        </w:numPr>
        <w:spacing w:after="60" w:line="264"/>
      </w:pPr>
      <w:r>
        <w:t xml:space="preserve">Enriquecer cada fallo con la corrección de la base de conocimiento de UI UX Pro Max.</w:t>
      </w:r>
    </w:p>
    <w:p>
      <w:pPr>
        <w:pStyle w:val="ListParagraph"/>
        <w:numPr>
          <w:ilvl w:val="0"/>
          <w:numId w:val="3"/>
        </w:numPr>
        <w:spacing w:after="60" w:line="264"/>
      </w:pPr>
      <w:r>
        <w:t xml:space="preserve">Generar informes, guardar histórico y devolver el código de salida.</w:t>
      </w:r>
    </w:p>
    <w:p>
      <w:pPr>
        <w:pStyle w:val="Heading3"/>
      </w:pPr>
      <w:r>
        <w:t xml:space="preserve">Interfaz de uso</w:t>
      </w:r>
    </w:p>
    <w:p>
      <w:pPr>
        <w:shd w:fill="F1F5F9" w:color="auto" w:val="clear"/>
        <w:spacing w:after="0" w:line="240"/>
        <w:ind w:left="200" w:right="200"/>
      </w:pPr>
      <w:r>
        <w:rPr>
          <w:rFonts w:ascii="Consolas" w:cs="Consolas" w:eastAsia="Consolas" w:hAnsi="Consolas"/>
          <w:color w:val="0F172A"/>
          <w:sz w:val="17"/>
          <w:szCs w:val="17"/>
        </w:rPr>
        <w:t xml:space="preserve">$ uxaudit run https://mi-web.com --config uxaudit.yaml -f html,json</w:t>
      </w:r>
    </w:p>
    <w:p>
      <w:pPr>
        <w:shd w:fill="F1F5F9" w:color="auto" w:val="clear"/>
        <w:spacing w:after="0" w:line="240"/>
        <w:ind w:left="200" w:right="200"/>
      </w:pPr>
      <w:r>
        <w:rPr>
          <w:rFonts w:ascii="Consolas" w:cs="Consolas" w:eastAsia="Consolas" w:hAnsi="Consolas"/>
          <w:color w:val="0F172A"/>
          <w:sz w:val="17"/>
          <w:szCs w:val="17"/>
        </w:rPr>
        <w:t xml:space="preserve"> </w:t>
      </w:r>
    </w:p>
    <w:p>
      <w:pPr>
        <w:shd w:fill="F1F5F9" w:color="auto" w:val="clear"/>
        <w:spacing w:after="0" w:line="240"/>
        <w:ind w:left="200" w:right="200"/>
      </w:pPr>
      <w:r>
        <w:rPr>
          <w:rFonts w:ascii="Consolas" w:cs="Consolas" w:eastAsia="Consolas" w:hAnsi="Consolas"/>
          <w:color w:val="0F172A"/>
          <w:sz w:val="17"/>
          <w:szCs w:val="17"/>
        </w:rPr>
        <w:t xml:space="preserve">  D1 Accesibilidad ............ 7.5   (2 fallos: 1 Alta, 1 Media)</w:t>
      </w:r>
    </w:p>
    <w:p>
      <w:pPr>
        <w:shd w:fill="F1F5F9" w:color="auto" w:val="clear"/>
        <w:spacing w:after="0" w:line="240"/>
        <w:ind w:left="200" w:right="200"/>
      </w:pPr>
      <w:r>
        <w:rPr>
          <w:rFonts w:ascii="Consolas" w:cs="Consolas" w:eastAsia="Consolas" w:hAnsi="Consolas"/>
          <w:color w:val="0F172A"/>
          <w:sz w:val="17"/>
          <w:szCs w:val="17"/>
        </w:rPr>
        <w:t xml:space="preserve">  D2 Usabilidad/interacción ... 8.0</w:t>
      </w:r>
    </w:p>
    <w:p>
      <w:pPr>
        <w:shd w:fill="F1F5F9" w:color="auto" w:val="clear"/>
        <w:spacing w:after="0" w:line="240"/>
        <w:ind w:left="200" w:right="200"/>
      </w:pPr>
      <w:r>
        <w:rPr>
          <w:rFonts w:ascii="Consolas" w:cs="Consolas" w:eastAsia="Consolas" w:hAnsi="Consolas"/>
          <w:color w:val="0F172A"/>
          <w:sz w:val="17"/>
          <w:szCs w:val="17"/>
        </w:rPr>
        <w:t xml:space="preserve">  D3 Rendimiento .............. 9.3   LCP 1.9s · TBT 90ms · CLS 0.02</w:t>
      </w:r>
    </w:p>
    <w:p>
      <w:pPr>
        <w:shd w:fill="F1F5F9" w:color="auto" w:val="clear"/>
        <w:spacing w:after="0" w:line="240"/>
        <w:ind w:left="200" w:right="200"/>
      </w:pPr>
      <w:r>
        <w:rPr>
          <w:rFonts w:ascii="Consolas" w:cs="Consolas" w:eastAsia="Consolas" w:hAnsi="Consolas"/>
          <w:color w:val="0F172A"/>
          <w:sz w:val="17"/>
          <w:szCs w:val="17"/>
        </w:rPr>
        <w:t xml:space="preserve">  ...</w:t>
      </w:r>
    </w:p>
    <w:p>
      <w:pPr>
        <w:shd w:fill="F1F5F9" w:color="auto" w:val="clear"/>
        <w:spacing w:after="0" w:line="240"/>
        <w:ind w:left="200" w:right="200"/>
      </w:pPr>
      <w:r>
        <w:rPr>
          <w:rFonts w:ascii="Consolas" w:cs="Consolas" w:eastAsia="Consolas" w:hAnsi="Consolas"/>
          <w:color w:val="0F172A"/>
          <w:sz w:val="17"/>
          <w:szCs w:val="17"/>
        </w:rPr>
        <w:t xml:space="preserve">  IUX = 6.90 / 10  →  ACEPTABLE  [modo estricto]</w:t>
      </w:r>
    </w:p>
    <w:p>
      <w:pPr>
        <w:shd w:fill="F1F5F9" w:color="auto" w:val="clear"/>
        <w:spacing w:after="160" w:line="240"/>
        <w:ind w:left="200" w:right="200"/>
      </w:pPr>
      <w:r>
        <w:rPr>
          <w:rFonts w:ascii="Consolas" w:cs="Consolas" w:eastAsia="Consolas" w:hAnsi="Consolas"/>
          <w:color w:val="0F172A"/>
          <w:sz w:val="17"/>
          <w:szCs w:val="17"/>
        </w:rPr>
        <w:t xml:space="preserve">  ⛔ Incumplimiento de accesibilidad de severidad alta (A11Y-CONTRASTE): nota máxima 6,9</w:t>
      </w:r>
    </w:p>
    <w:p>
      <w:pPr>
        <w:pStyle w:val="Heading3"/>
      </w:pPr>
      <w:r>
        <w:t xml:space="preserve">Estructura del proyecto</w:t>
      </w:r>
    </w:p>
    <w:p>
      <w:pPr>
        <w:shd w:fill="F1F5F9" w:color="auto" w:val="clear"/>
        <w:spacing w:after="0" w:line="240"/>
        <w:ind w:left="200" w:right="200"/>
      </w:pPr>
      <w:r>
        <w:rPr>
          <w:rFonts w:ascii="Consolas" w:cs="Consolas" w:eastAsia="Consolas" w:hAnsi="Consolas"/>
          <w:color w:val="0F172A"/>
          <w:sz w:val="17"/>
          <w:szCs w:val="17"/>
        </w:rPr>
        <w:t xml:space="preserve">ux-auditor/</w:t>
      </w:r>
    </w:p>
    <w:p>
      <w:pPr>
        <w:shd w:fill="F1F5F9" w:color="auto" w:val="clear"/>
        <w:spacing w:after="0" w:line="240"/>
        <w:ind w:left="200" w:right="200"/>
      </w:pPr>
      <w:r>
        <w:rPr>
          <w:rFonts w:ascii="Consolas" w:cs="Consolas" w:eastAsia="Consolas" w:hAnsi="Consolas"/>
          <w:color w:val="0F172A"/>
          <w:sz w:val="17"/>
          <w:szCs w:val="17"/>
        </w:rPr>
        <w:t xml:space="preserve">├── uxaudit/</w:t>
      </w:r>
    </w:p>
    <w:p>
      <w:pPr>
        <w:shd w:fill="F1F5F9" w:color="auto" w:val="clear"/>
        <w:spacing w:after="0" w:line="240"/>
        <w:ind w:left="200" w:right="200"/>
      </w:pPr>
      <w:r>
        <w:rPr>
          <w:rFonts w:ascii="Consolas" w:cs="Consolas" w:eastAsia="Consolas" w:hAnsi="Consolas"/>
          <w:color w:val="0F172A"/>
          <w:sz w:val="17"/>
          <w:szCs w:val="17"/>
        </w:rPr>
        <w:t xml:space="preserve">│   ├── cli.py                # run, init, manual, reglas, historial, kb</w:t>
      </w:r>
    </w:p>
    <w:p>
      <w:pPr>
        <w:shd w:fill="F1F5F9" w:color="auto" w:val="clear"/>
        <w:spacing w:after="0" w:line="240"/>
        <w:ind w:left="200" w:right="200"/>
      </w:pPr>
      <w:r>
        <w:rPr>
          <w:rFonts w:ascii="Consolas" w:cs="Consolas" w:eastAsia="Consolas" w:hAnsi="Consolas"/>
          <w:color w:val="0F172A"/>
          <w:sz w:val="17"/>
          <w:szCs w:val="17"/>
        </w:rPr>
        <w:t xml:space="preserve">│   ├── engine.py             # orquestación en proceso aislado</w:t>
      </w:r>
    </w:p>
    <w:p>
      <w:pPr>
        <w:shd w:fill="F1F5F9" w:color="auto" w:val="clear"/>
        <w:spacing w:after="0" w:line="240"/>
        <w:ind w:left="200" w:right="200"/>
      </w:pPr>
      <w:r>
        <w:rPr>
          <w:rFonts w:ascii="Consolas" w:cs="Consolas" w:eastAsia="Consolas" w:hAnsi="Consolas"/>
          <w:color w:val="0F172A"/>
          <w:sz w:val="17"/>
          <w:szCs w:val="17"/>
        </w:rPr>
        <w:t xml:space="preserve">│   ├── scoring.py            # Índice IUX, techos, modo estricto</w:t>
      </w:r>
    </w:p>
    <w:p>
      <w:pPr>
        <w:shd w:fill="F1F5F9" w:color="auto" w:val="clear"/>
        <w:spacing w:after="0" w:line="240"/>
        <w:ind w:left="200" w:right="200"/>
      </w:pPr>
      <w:r>
        <w:rPr>
          <w:rFonts w:ascii="Consolas" w:cs="Consolas" w:eastAsia="Consolas" w:hAnsi="Consolas"/>
          <w:color w:val="0F172A"/>
          <w:sz w:val="17"/>
          <w:szCs w:val="17"/>
        </w:rPr>
        <w:t xml:space="preserve">│   ├── readability.py        # Fernández-Huerta / Flesch</w:t>
      </w:r>
    </w:p>
    <w:p>
      <w:pPr>
        <w:shd w:fill="F1F5F9" w:color="auto" w:val="clear"/>
        <w:spacing w:after="0" w:line="240"/>
        <w:ind w:left="200" w:right="200"/>
      </w:pPr>
      <w:r>
        <w:rPr>
          <w:rFonts w:ascii="Consolas" w:cs="Consolas" w:eastAsia="Consolas" w:hAnsi="Consolas"/>
          <w:color w:val="0F172A"/>
          <w:sz w:val="17"/>
          <w:szCs w:val="17"/>
        </w:rPr>
        <w:t xml:space="preserve">│   ├── privacy.py            # rastreadores, cookies, CO2 (SWD v4)</w:t>
      </w:r>
    </w:p>
    <w:p>
      <w:pPr>
        <w:shd w:fill="F1F5F9" w:color="auto" w:val="clear"/>
        <w:spacing w:after="0" w:line="240"/>
        <w:ind w:left="200" w:right="200"/>
      </w:pPr>
      <w:r>
        <w:rPr>
          <w:rFonts w:ascii="Consolas" w:cs="Consolas" w:eastAsia="Consolas" w:hAnsi="Consolas"/>
          <w:color w:val="0F172A"/>
          <w:sz w:val="17"/>
          <w:szCs w:val="17"/>
        </w:rPr>
        <w:t xml:space="preserve">│   ├── security.py           # validación, anti-SSRF, escritura segura</w:t>
      </w:r>
    </w:p>
    <w:p>
      <w:pPr>
        <w:shd w:fill="F1F5F9" w:color="auto" w:val="clear"/>
        <w:spacing w:after="0" w:line="240"/>
        <w:ind w:left="200" w:right="200"/>
      </w:pPr>
      <w:r>
        <w:rPr>
          <w:rFonts w:ascii="Consolas" w:cs="Consolas" w:eastAsia="Consolas" w:hAnsi="Consolas"/>
          <w:color w:val="0F172A"/>
          <w:sz w:val="17"/>
          <w:szCs w:val="17"/>
        </w:rPr>
        <w:t xml:space="preserve">│   ├── analyzers/            # navegador + dom_checks.js + gap_checks.js</w:t>
      </w:r>
    </w:p>
    <w:p>
      <w:pPr>
        <w:shd w:fill="F1F5F9" w:color="auto" w:val="clear"/>
        <w:spacing w:after="0" w:line="240"/>
        <w:ind w:left="200" w:right="200"/>
      </w:pPr>
      <w:r>
        <w:rPr>
          <w:rFonts w:ascii="Consolas" w:cs="Consolas" w:eastAsia="Consolas" w:hAnsi="Consolas"/>
          <w:color w:val="0F172A"/>
          <w:sz w:val="17"/>
          <w:szCs w:val="17"/>
        </w:rPr>
        <w:t xml:space="preserve">│   ├── reports/              # HTML, JSON, Markdown</w:t>
      </w:r>
    </w:p>
    <w:p>
      <w:pPr>
        <w:shd w:fill="F1F5F9" w:color="auto" w:val="clear"/>
        <w:spacing w:after="0" w:line="240"/>
        <w:ind w:left="200" w:right="200"/>
      </w:pPr>
      <w:r>
        <w:rPr>
          <w:rFonts w:ascii="Consolas" w:cs="Consolas" w:eastAsia="Consolas" w:hAnsi="Consolas"/>
          <w:color w:val="0F172A"/>
          <w:sz w:val="17"/>
          <w:szCs w:val="17"/>
        </w:rPr>
        <w:t xml:space="preserve">│   └── data/                 # rules.yaml (100 reglas) + ux-guidelines.csv</w:t>
      </w:r>
    </w:p>
    <w:p>
      <w:pPr>
        <w:shd w:fill="F1F5F9" w:color="auto" w:val="clear"/>
        <w:spacing w:after="0" w:line="240"/>
        <w:ind w:left="200" w:right="200"/>
      </w:pPr>
      <w:r>
        <w:rPr>
          <w:rFonts w:ascii="Consolas" w:cs="Consolas" w:eastAsia="Consolas" w:hAnsi="Consolas"/>
          <w:color w:val="0F172A"/>
          <w:sz w:val="17"/>
          <w:szCs w:val="17"/>
        </w:rPr>
        <w:t xml:space="preserve">├── tests/                    # 64 pruebas + páginas trampa</w:t>
      </w:r>
    </w:p>
    <w:p>
      <w:pPr>
        <w:shd w:fill="F1F5F9" w:color="auto" w:val="clear"/>
        <w:spacing w:after="160" w:line="240"/>
        <w:ind w:left="200" w:right="200"/>
      </w:pPr>
      <w:r>
        <w:rPr>
          <w:rFonts w:ascii="Consolas" w:cs="Consolas" w:eastAsia="Consolas" w:hAnsi="Consolas"/>
          <w:color w:val="0F172A"/>
          <w:sz w:val="17"/>
          <w:szCs w:val="17"/>
        </w:rPr>
        <w:t xml:space="preserve">└── .github/workflows/uxaudit.yml</w:t>
      </w:r>
    </w:p>
    <w:p>
      <w:pPr>
        <w:pStyle w:val="Heading3"/>
      </w:pPr>
      <w:r>
        <w:t xml:space="preserve">Por qué es reutilizable</w:t>
      </w:r>
    </w:p>
    <w:p>
      <w:pPr>
        <w:pStyle w:val="ListParagraph"/>
        <w:numPr>
          <w:ilvl w:val="0"/>
          <w:numId w:val="2"/>
        </w:numPr>
        <w:spacing w:after="60" w:line="264"/>
      </w:pPr>
      <w:r>
        <w:rPr>
          <w:b/>
          <w:bCs/>
        </w:rPr>
        <w:t xml:space="preserve">Configuración en lugar de código:</w:t>
      </w:r>
      <w:r>
        <w:t xml:space="preserve"> otro proyecto solo cambia </w:t>
      </w:r>
      <w:r>
        <w:rPr>
          <w:rFonts w:ascii="Consolas" w:cs="Consolas" w:eastAsia="Consolas" w:hAnsi="Consolas"/>
          <w:color w:val="3730A3"/>
          <w:sz w:val="20"/>
          <w:szCs w:val="20"/>
        </w:rPr>
        <w:t xml:space="preserve">uxaudit.yaml</w:t>
      </w:r>
      <w:r>
        <w:t xml:space="preserve"> (pesos, umbral, plataforma).</w:t>
      </w:r>
    </w:p>
    <w:p>
      <w:pPr>
        <w:pStyle w:val="ListParagraph"/>
        <w:numPr>
          <w:ilvl w:val="0"/>
          <w:numId w:val="2"/>
        </w:numPr>
        <w:spacing w:after="60" w:line="264"/>
      </w:pPr>
      <w:r>
        <w:rPr>
          <w:b/>
          <w:bCs/>
        </w:rPr>
        <w:t xml:space="preserve">Reglas como datos:</w:t>
      </w:r>
      <w:r>
        <w:t xml:space="preserve"> las 100 reglas están en </w:t>
      </w:r>
      <w:r>
        <w:rPr>
          <w:rFonts w:ascii="Consolas" w:cs="Consolas" w:eastAsia="Consolas" w:hAnsi="Consolas"/>
          <w:color w:val="3730A3"/>
          <w:sz w:val="20"/>
          <w:szCs w:val="20"/>
        </w:rPr>
        <w:t xml:space="preserve">rules.yaml</w:t>
      </w:r>
      <w:r>
        <w:t xml:space="preserve">, y un equipo puede añadir las suyas (</w:t>
      </w:r>
      <w:r>
        <w:rPr>
          <w:rFonts w:ascii="Consolas" w:cs="Consolas" w:eastAsia="Consolas" w:hAnsi="Consolas"/>
          <w:color w:val="3730A3"/>
          <w:sz w:val="20"/>
          <w:szCs w:val="20"/>
        </w:rPr>
        <w:t xml:space="preserve">reglas_extra</w:t>
      </w:r>
      <w:r>
        <w:t xml:space="preserve">) sin tocar el código.</w:t>
      </w:r>
    </w:p>
    <w:p>
      <w:pPr>
        <w:pStyle w:val="ListParagraph"/>
        <w:numPr>
          <w:ilvl w:val="0"/>
          <w:numId w:val="2"/>
        </w:numPr>
        <w:spacing w:after="60" w:line="264"/>
      </w:pPr>
      <w:r>
        <w:rPr>
          <w:b/>
          <w:bCs/>
        </w:rPr>
        <w:t xml:space="preserve">Dos modos:</w:t>
      </w:r>
      <w:r>
        <w:t xml:space="preserve"> estricto para la entrega final o la integración continua; estándar para iteraciones tempranas.</w:t>
      </w:r>
    </w:p>
    <w:p>
      <w:pPr>
        <w:pStyle w:val="ListParagraph"/>
        <w:numPr>
          <w:ilvl w:val="0"/>
          <w:numId w:val="2"/>
        </w:numPr>
        <w:spacing w:after="60" w:line="264"/>
      </w:pPr>
      <w:r>
        <w:rPr>
          <w:b/>
          <w:bCs/>
        </w:rPr>
        <w:t xml:space="preserve">Plugins:</w:t>
      </w:r>
      <w:r>
        <w:t xml:space="preserve"> un nuevo analizador (p. ej. para apps Flutter) solo implementa la interfaz común.</w:t>
      </w:r>
    </w:p>
    <w:p>
      <w:pPr>
        <w:pStyle w:val="ListParagraph"/>
        <w:numPr>
          <w:ilvl w:val="0"/>
          <w:numId w:val="2"/>
        </w:numPr>
        <w:spacing w:after="60" w:line="264"/>
      </w:pPr>
      <w:r>
        <w:rPr>
          <w:b/>
          <w:bCs/>
        </w:rPr>
        <w:t xml:space="preserve">Tres formas de uso:</w:t>
      </w:r>
      <w:r>
        <w:t xml:space="preserve"> terminal, librería Python e integración continua.</w:t>
      </w:r>
    </w:p>
    <w:p>
      <w:pPr>
        <w:pStyle w:val="Heading3"/>
      </w:pPr>
      <w:r>
        <w:t xml:space="preserve">Validación del auditor</w:t>
      </w:r>
    </w:p>
    <w:p>
      <w:pPr>
        <w:spacing w:after="120" w:line="276"/>
      </w:pPr>
      <w:r>
        <w:t xml:space="preserve">El auditor está implementado y validado con </w:t>
      </w:r>
      <w:r>
        <w:rPr>
          <w:b/>
          <w:bCs/>
        </w:rPr>
        <w:t xml:space="preserve">64 pruebas automáticas</w:t>
      </w:r>
      <w:r>
        <w:t xml:space="preserve"> sobre cinco páginas de prueba: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800"/>
        <w:gridCol w:w="3226"/>
      </w:tblGrid>
      <w:tr>
        <w:trPr>
          <w:tblHeader/>
        </w:trPr>
        <w:tc>
          <w:tcPr>
            <w:tcW w:type="dxa" w:w="2000"/>
            <w:tcBorders>
              <w:top w:val="single" w:color="CBD5E1" w:sz="4"/>
              <w:left w:val="single" w:color="CBD5E1" w:sz="4"/>
              <w:bottom w:val="single" w:color="CBD5E1" w:sz="4"/>
              <w:right w:val="single" w:color="CBD5E1" w:sz="4"/>
            </w:tcBorders>
            <w:shd w:fill="E0E7FF" w:color="auto" w:val="clear"/>
            <w:tcMar>
              <w:top w:type="dxa" w:w="60"/>
              <w:left w:type="dxa" w:w="100"/>
              <w:bottom w:type="dxa" w:w="60"/>
              <w:right w:type="dxa" w:w="100"/>
            </w:tcMar>
          </w:tcPr>
          <w:p>
            <w:pPr>
              <w:spacing w:after="0" w:line="252"/>
            </w:pPr>
            <w:r>
              <w:rPr>
                <w:b/>
                <w:bCs/>
                <w:color w:val="1E1B4B"/>
                <w:sz w:val="18"/>
                <w:szCs w:val="18"/>
              </w:rPr>
              <w:t xml:space="preserve">Página de prueba</w:t>
            </w:r>
          </w:p>
        </w:tc>
        <w:tc>
          <w:tcPr>
            <w:tcW w:type="dxa" w:w="3800"/>
            <w:tcBorders>
              <w:top w:val="single" w:color="CBD5E1" w:sz="4"/>
              <w:left w:val="single" w:color="CBD5E1" w:sz="4"/>
              <w:bottom w:val="single" w:color="CBD5E1" w:sz="4"/>
              <w:right w:val="single" w:color="CBD5E1" w:sz="4"/>
            </w:tcBorders>
            <w:shd w:fill="E0E7FF" w:color="auto" w:val="clear"/>
            <w:tcMar>
              <w:top w:type="dxa" w:w="60"/>
              <w:left w:type="dxa" w:w="100"/>
              <w:bottom w:type="dxa" w:w="60"/>
              <w:right w:type="dxa" w:w="100"/>
            </w:tcMar>
          </w:tcPr>
          <w:p>
            <w:pPr>
              <w:spacing w:after="0" w:line="252"/>
            </w:pPr>
            <w:r>
              <w:rPr>
                <w:b/>
                <w:bCs/>
                <w:color w:val="1E1B4B"/>
                <w:sz w:val="18"/>
                <w:szCs w:val="18"/>
              </w:rPr>
              <w:t xml:space="preserve">Qué contiene</w:t>
            </w:r>
          </w:p>
        </w:tc>
        <w:tc>
          <w:tcPr>
            <w:tcW w:type="dxa" w:w="3226"/>
            <w:tcBorders>
              <w:top w:val="single" w:color="CBD5E1" w:sz="4"/>
              <w:left w:val="single" w:color="CBD5E1" w:sz="4"/>
              <w:bottom w:val="single" w:color="CBD5E1" w:sz="4"/>
              <w:right w:val="single" w:color="CBD5E1" w:sz="4"/>
            </w:tcBorders>
            <w:shd w:fill="E0E7FF" w:color="auto" w:val="clear"/>
            <w:tcMar>
              <w:top w:type="dxa" w:w="60"/>
              <w:left w:type="dxa" w:w="100"/>
              <w:bottom w:type="dxa" w:w="60"/>
              <w:right w:type="dxa" w:w="100"/>
            </w:tcMar>
          </w:tcPr>
          <w:p>
            <w:pPr>
              <w:spacing w:after="0" w:line="252"/>
            </w:pPr>
            <w:r>
              <w:rPr>
                <w:b/>
                <w:bCs/>
                <w:color w:val="1E1B4B"/>
                <w:sz w:val="18"/>
                <w:szCs w:val="18"/>
              </w:rPr>
              <w:t xml:space="preserve">Resultado</w:t>
            </w:r>
          </w:p>
        </w:tc>
      </w:tr>
      <w:tr>
        <w:trPr>
          <w:cantSplit/>
        </w:trPr>
        <w:tc>
          <w:tcPr>
            <w:tcW w:type="dxa" w:w="200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line="252"/>
            </w:pPr>
            <w:r>
              <w:rPr>
                <w:b w:val="false"/>
                <w:bCs w:val="false"/>
                <w:sz w:val="18"/>
                <w:szCs w:val="18"/>
              </w:rPr>
              <w:t xml:space="preserve">buena.html</w:t>
            </w:r>
          </w:p>
        </w:tc>
        <w:tc>
          <w:tcPr>
            <w:tcW w:type="dxa" w:w="380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line="252"/>
            </w:pPr>
            <w:r>
              <w:rPr>
                <w:b w:val="false"/>
                <w:bCs w:val="false"/>
                <w:sz w:val="18"/>
                <w:szCs w:val="18"/>
              </w:rPr>
              <w:t xml:space="preserve">Web de reservas accesible</w:t>
            </w:r>
          </w:p>
        </w:tc>
        <w:tc>
          <w:tcPr>
            <w:tcW w:type="dxa" w:w="322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line="252"/>
            </w:pPr>
            <w:r>
              <w:rPr>
                <w:b w:val="false"/>
                <w:bCs w:val="false"/>
                <w:sz w:val="18"/>
                <w:szCs w:val="18"/>
              </w:rPr>
              <w:t xml:space="preserve">9,5 o más con la evaluación experta completa; sin ella, techo de 8,9 («Excelente» no es posible).</w:t>
            </w:r>
          </w:p>
        </w:tc>
      </w:tr>
      <w:tr>
        <w:trPr>
          <w:cantSplit/>
        </w:trPr>
        <w:tc>
          <w:tcPr>
            <w:tcW w:type="dxa" w:w="2000"/>
            <w:tcBorders>
              <w:top w:val="single" w:color="CBD5E1" w:sz="4"/>
              <w:left w:val="single" w:color="CBD5E1" w:sz="4"/>
              <w:bottom w:val="single" w:color="CBD5E1" w:sz="4"/>
              <w:right w:val="single" w:color="CBD5E1" w:sz="4"/>
            </w:tcBorders>
            <w:shd w:fill="F5F7FF" w:color="auto" w:val="clear"/>
            <w:tcMar>
              <w:top w:type="dxa" w:w="60"/>
              <w:left w:type="dxa" w:w="100"/>
              <w:bottom w:type="dxa" w:w="60"/>
              <w:right w:type="dxa" w:w="100"/>
            </w:tcMar>
          </w:tcPr>
          <w:p>
            <w:pPr>
              <w:spacing w:after="0" w:line="252"/>
            </w:pPr>
            <w:r>
              <w:rPr>
                <w:b w:val="false"/>
                <w:bCs w:val="false"/>
                <w:sz w:val="18"/>
                <w:szCs w:val="18"/>
              </w:rPr>
              <w:t xml:space="preserve">mala.html</w:t>
            </w:r>
          </w:p>
        </w:tc>
        <w:tc>
          <w:tcPr>
            <w:tcW w:type="dxa" w:w="3800"/>
            <w:tcBorders>
              <w:top w:val="single" w:color="CBD5E1" w:sz="4"/>
              <w:left w:val="single" w:color="CBD5E1" w:sz="4"/>
              <w:bottom w:val="single" w:color="CBD5E1" w:sz="4"/>
              <w:right w:val="single" w:color="CBD5E1" w:sz="4"/>
            </w:tcBorders>
            <w:shd w:fill="F5F7FF" w:color="auto" w:val="clear"/>
            <w:tcMar>
              <w:top w:type="dxa" w:w="60"/>
              <w:left w:type="dxa" w:w="100"/>
              <w:bottom w:type="dxa" w:w="60"/>
              <w:right w:type="dxa" w:w="100"/>
            </w:tcMar>
          </w:tcPr>
          <w:p>
            <w:pPr>
              <w:spacing w:after="0" w:line="252"/>
            </w:pPr>
            <w:r>
              <w:rPr>
                <w:b w:val="false"/>
                <w:bCs w:val="false"/>
                <w:sz w:val="18"/>
                <w:szCs w:val="18"/>
              </w:rPr>
              <w:t xml:space="preserve">32 fallos sembrados</w:t>
            </w:r>
          </w:p>
        </w:tc>
        <w:tc>
          <w:tcPr>
            <w:tcW w:type="dxa" w:w="3226"/>
            <w:tcBorders>
              <w:top w:val="single" w:color="CBD5E1" w:sz="4"/>
              <w:left w:val="single" w:color="CBD5E1" w:sz="4"/>
              <w:bottom w:val="single" w:color="CBD5E1" w:sz="4"/>
              <w:right w:val="single" w:color="CBD5E1" w:sz="4"/>
            </w:tcBorders>
            <w:shd w:fill="F5F7FF" w:color="auto" w:val="clear"/>
            <w:tcMar>
              <w:top w:type="dxa" w:w="60"/>
              <w:left w:type="dxa" w:w="100"/>
              <w:bottom w:type="dxa" w:w="60"/>
              <w:right w:type="dxa" w:w="100"/>
            </w:tcMar>
          </w:tcPr>
          <w:p>
            <w:pPr>
              <w:spacing w:after="0" w:line="252"/>
            </w:pPr>
            <w:r>
              <w:rPr>
                <w:b w:val="false"/>
                <w:bCs w:val="false"/>
                <w:sz w:val="18"/>
                <w:szCs w:val="18"/>
              </w:rPr>
              <w:t xml:space="preserve">Todos detectados; IUX ≈ 4</w:t>
            </w:r>
          </w:p>
        </w:tc>
      </w:tr>
      <w:tr>
        <w:trPr>
          <w:cantSplit/>
        </w:trPr>
        <w:tc>
          <w:tcPr>
            <w:tcW w:type="dxa" w:w="200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line="252"/>
            </w:pPr>
            <w:r>
              <w:rPr>
                <w:b w:val="false"/>
                <w:bCs w:val="false"/>
                <w:sz w:val="18"/>
                <w:szCs w:val="18"/>
              </w:rPr>
              <w:t xml:space="preserve">trampas.html</w:t>
            </w:r>
          </w:p>
        </w:tc>
        <w:tc>
          <w:tcPr>
            <w:tcW w:type="dxa" w:w="380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line="252"/>
            </w:pPr>
            <w:r>
              <w:rPr>
                <w:b w:val="false"/>
                <w:bCs w:val="false"/>
                <w:sz w:val="18"/>
                <w:szCs w:val="18"/>
              </w:rPr>
              <w:t xml:space="preserve">Patrones oscuros, rastreo, alt y nombres de mala calidad, vídeo automático, fallos de Krug (prueba del tronco, formato rígido, texto de relleno, enlace invisible)</w:t>
            </w:r>
          </w:p>
        </w:tc>
        <w:tc>
          <w:tcPr>
            <w:tcW w:type="dxa" w:w="322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line="252"/>
            </w:pPr>
            <w:r>
              <w:rPr>
                <w:b w:val="false"/>
                <w:bCs w:val="false"/>
                <w:sz w:val="18"/>
                <w:szCs w:val="18"/>
              </w:rPr>
              <w:t xml:space="preserve">Los 16 tipos de fallo detectados; nota limitada a 4,9</w:t>
            </w:r>
          </w:p>
        </w:tc>
      </w:tr>
      <w:tr>
        <w:trPr>
          <w:cantSplit/>
        </w:trPr>
        <w:tc>
          <w:tcPr>
            <w:tcW w:type="dxa" w:w="2000"/>
            <w:tcBorders>
              <w:top w:val="single" w:color="CBD5E1" w:sz="4"/>
              <w:left w:val="single" w:color="CBD5E1" w:sz="4"/>
              <w:bottom w:val="single" w:color="CBD5E1" w:sz="4"/>
              <w:right w:val="single" w:color="CBD5E1" w:sz="4"/>
            </w:tcBorders>
            <w:shd w:fill="F5F7FF" w:color="auto" w:val="clear"/>
            <w:tcMar>
              <w:top w:type="dxa" w:w="60"/>
              <w:left w:type="dxa" w:w="100"/>
              <w:bottom w:type="dxa" w:w="60"/>
              <w:right w:type="dxa" w:w="100"/>
            </w:tcMar>
          </w:tcPr>
          <w:p>
            <w:pPr>
              <w:spacing w:after="0" w:line="252"/>
            </w:pPr>
            <w:r>
              <w:rPr>
                <w:b w:val="false"/>
                <w:bCs w:val="false"/>
                <w:sz w:val="18"/>
                <w:szCs w:val="18"/>
              </w:rPr>
              <w:t xml:space="preserve">maliciosa.html</w:t>
            </w:r>
          </w:p>
        </w:tc>
        <w:tc>
          <w:tcPr>
            <w:tcW w:type="dxa" w:w="3800"/>
            <w:tcBorders>
              <w:top w:val="single" w:color="CBD5E1" w:sz="4"/>
              <w:left w:val="single" w:color="CBD5E1" w:sz="4"/>
              <w:bottom w:val="single" w:color="CBD5E1" w:sz="4"/>
              <w:right w:val="single" w:color="CBD5E1" w:sz="4"/>
            </w:tcBorders>
            <w:shd w:fill="F5F7FF" w:color="auto" w:val="clear"/>
            <w:tcMar>
              <w:top w:type="dxa" w:w="60"/>
              <w:left w:type="dxa" w:w="100"/>
              <w:bottom w:type="dxa" w:w="60"/>
              <w:right w:type="dxa" w:w="100"/>
            </w:tcMar>
          </w:tcPr>
          <w:p>
            <w:pPr>
              <w:spacing w:after="0" w:line="252"/>
            </w:pPr>
            <w:r>
              <w:rPr>
                <w:b w:val="false"/>
                <w:bCs w:val="false"/>
                <w:sz w:val="18"/>
                <w:szCs w:val="18"/>
              </w:rPr>
              <w:t xml:space="preserve">XSS, SSRF, intentos de falsear las mediciones, trampa de foco</w:t>
            </w:r>
          </w:p>
        </w:tc>
        <w:tc>
          <w:tcPr>
            <w:tcW w:type="dxa" w:w="3226"/>
            <w:tcBorders>
              <w:top w:val="single" w:color="CBD5E1" w:sz="4"/>
              <w:left w:val="single" w:color="CBD5E1" w:sz="4"/>
              <w:bottom w:val="single" w:color="CBD5E1" w:sz="4"/>
              <w:right w:val="single" w:color="CBD5E1" w:sz="4"/>
            </w:tcBorders>
            <w:shd w:fill="F5F7FF" w:color="auto" w:val="clear"/>
            <w:tcMar>
              <w:top w:type="dxa" w:w="60"/>
              <w:left w:type="dxa" w:w="100"/>
              <w:bottom w:type="dxa" w:w="60"/>
              <w:right w:type="dxa" w:w="100"/>
            </w:tcMar>
          </w:tcPr>
          <w:p>
            <w:pPr>
              <w:spacing w:after="0" w:line="252"/>
            </w:pPr>
            <w:r>
              <w:rPr>
                <w:b w:val="false"/>
                <w:bCs w:val="false"/>
                <w:sz w:val="18"/>
                <w:szCs w:val="18"/>
              </w:rPr>
              <w:t xml:space="preserve">No consigue engañar al auditor; peticiones bloqueadas</w:t>
            </w:r>
          </w:p>
        </w:tc>
      </w:tr>
      <w:tr>
        <w:trPr>
          <w:cantSplit/>
        </w:trPr>
        <w:tc>
          <w:tcPr>
            <w:tcW w:type="dxa" w:w="200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line="252"/>
            </w:pPr>
            <w:r>
              <w:rPr>
                <w:b w:val="false"/>
                <w:bCs w:val="false"/>
                <w:sz w:val="18"/>
                <w:szCs w:val="18"/>
              </w:rPr>
              <w:t xml:space="preserve">bucle.html</w:t>
            </w:r>
          </w:p>
        </w:tc>
        <w:tc>
          <w:tcPr>
            <w:tcW w:type="dxa" w:w="380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line="252"/>
            </w:pPr>
            <w:r>
              <w:rPr>
                <w:b w:val="false"/>
                <w:bCs w:val="false"/>
                <w:sz w:val="18"/>
                <w:szCs w:val="18"/>
              </w:rPr>
              <w:t xml:space="preserve">Bucle infinito</w:t>
            </w:r>
          </w:p>
        </w:tc>
        <w:tc>
          <w:tcPr>
            <w:tcW w:type="dxa" w:w="322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line="252"/>
            </w:pPr>
            <w:r>
              <w:rPr>
                <w:b w:val="false"/>
                <w:bCs w:val="false"/>
                <w:sz w:val="18"/>
                <w:szCs w:val="18"/>
              </w:rPr>
              <w:t xml:space="preserve">Se corta por tiempo sin afectar al resto</w:t>
            </w:r>
          </w:p>
        </w:tc>
      </w:tr>
    </w:tbl>
    <w:p>
      <w:pPr>
        <w:spacing w:after="120" w:line="276"/>
      </w:pPr>
      <w:r>
        <w:t xml:space="preserve">Además se comprueba que dos ejecuciones seguidas dan la misma nota, que el modo estándar es menos exigente que el estricto y que se reproduce exactamente el ejemplo del apartado 3.5.</w:t>
      </w:r>
    </w:p>
    <w:p>
      <w:pPr>
        <w:pStyle w:val="Heading1"/>
        <w:pageBreakBefore/>
      </w:pPr>
      <w:r>
        <w:t xml:space="preserve">05- Resumen de GitHub</w:t>
      </w:r>
    </w:p>
    <w:p>
      <w:pPr>
        <w:spacing w:after="120" w:line="276"/>
      </w:pPr>
      <w:r>
        <w:t xml:space="preserve">Repositorio utilizado: </w:t>
      </w:r>
      <w:r>
        <w:rPr>
          <w:b/>
          <w:bCs/>
        </w:rPr>
        <w:t xml:space="preserve">github.com/alejandrodomingo05-debug/ui-ux-pro-max-skill</w:t>
      </w:r>
      <w:r>
        <w:t xml:space="preserve">, copia (fork) del proyecto de código abierto </w:t>
      </w:r>
      <w:r>
        <w:rPr>
          <w:b/>
          <w:bCs/>
        </w:rPr>
        <w:t xml:space="preserve">UI UX Pro Max</w:t>
      </w:r>
      <w:r>
        <w:t xml:space="preserve"> de NextLevelBuilder (versión 2.15.0, licencia MIT). Es una </w:t>
      </w:r>
      <w:r>
        <w:rPr>
          <w:b/>
          <w:bCs/>
        </w:rPr>
        <w:t xml:space="preserve">skill</w:t>
      </w:r>
      <w:r>
        <w:t xml:space="preserve">: un paquete de instrucciones, datos y scripts que se instala en asistentes de programación con IA (Claude Code, Cursor, Windsurf, GitHub Copilot, Gemini CLI, Codex y otros) para darles «inteligencia de diseño» al crear interfaces.</w:t>
      </w:r>
    </w:p>
    <w:p>
      <w:pPr>
        <w:pStyle w:val="Heading2"/>
      </w:pPr>
      <w:r>
        <w:t xml:space="preserve">5.1 Qué contiene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900"/>
        <w:gridCol w:w="6126"/>
      </w:tblGrid>
      <w:tr>
        <w:trPr>
          <w:tblHeader/>
        </w:trPr>
        <w:tc>
          <w:tcPr>
            <w:tcW w:type="dxa" w:w="2900"/>
            <w:tcBorders>
              <w:top w:val="single" w:color="CBD5E1" w:sz="4"/>
              <w:left w:val="single" w:color="CBD5E1" w:sz="4"/>
              <w:bottom w:val="single" w:color="CBD5E1" w:sz="4"/>
              <w:right w:val="single" w:color="CBD5E1" w:sz="4"/>
            </w:tcBorders>
            <w:shd w:fill="E0E7FF" w:color="auto" w:val="clear"/>
            <w:tcMar>
              <w:top w:type="dxa" w:w="60"/>
              <w:left w:type="dxa" w:w="100"/>
              <w:bottom w:type="dxa" w:w="60"/>
              <w:right w:type="dxa" w:w="100"/>
            </w:tcMar>
          </w:tcPr>
          <w:p>
            <w:pPr>
              <w:spacing w:after="0" w:line="252"/>
            </w:pPr>
            <w:r>
              <w:rPr>
                <w:b/>
                <w:bCs/>
                <w:color w:val="1E1B4B"/>
                <w:sz w:val="18"/>
                <w:szCs w:val="18"/>
              </w:rPr>
              <w:t xml:space="preserve">Carpeta / fichero</w:t>
            </w:r>
          </w:p>
        </w:tc>
        <w:tc>
          <w:tcPr>
            <w:tcW w:type="dxa" w:w="6126"/>
            <w:tcBorders>
              <w:top w:val="single" w:color="CBD5E1" w:sz="4"/>
              <w:left w:val="single" w:color="CBD5E1" w:sz="4"/>
              <w:bottom w:val="single" w:color="CBD5E1" w:sz="4"/>
              <w:right w:val="single" w:color="CBD5E1" w:sz="4"/>
            </w:tcBorders>
            <w:shd w:fill="E0E7FF" w:color="auto" w:val="clear"/>
            <w:tcMar>
              <w:top w:type="dxa" w:w="60"/>
              <w:left w:type="dxa" w:w="100"/>
              <w:bottom w:type="dxa" w:w="60"/>
              <w:right w:type="dxa" w:w="100"/>
            </w:tcMar>
          </w:tcPr>
          <w:p>
            <w:pPr>
              <w:spacing w:after="0" w:line="252"/>
            </w:pPr>
            <w:r>
              <w:rPr>
                <w:b/>
                <w:bCs/>
                <w:color w:val="1E1B4B"/>
                <w:sz w:val="18"/>
                <w:szCs w:val="18"/>
              </w:rPr>
              <w:t xml:space="preserve">Contenido</w:t>
            </w:r>
          </w:p>
        </w:tc>
      </w:tr>
      <w:tr>
        <w:trPr>
          <w:cantSplit/>
        </w:trPr>
        <w:tc>
          <w:tcPr>
            <w:tcW w:type="dxa" w:w="290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line="252"/>
            </w:pPr>
            <w:r>
              <w:rPr>
                <w:rFonts w:ascii="Consolas" w:cs="Consolas" w:eastAsia="Consolas" w:hAnsi="Consolas"/>
                <w:b w:val="false"/>
                <w:bCs w:val="false"/>
                <w:color w:val="3730A3"/>
                <w:sz w:val="16"/>
                <w:szCs w:val="16"/>
              </w:rPr>
              <w:t xml:space="preserve">src/ui-ux-pro-max/data/</w:t>
            </w:r>
          </w:p>
        </w:tc>
        <w:tc>
          <w:tcPr>
            <w:tcW w:type="dxa" w:w="612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line="252"/>
            </w:pPr>
            <w:r>
              <w:rPr>
                <w:b w:val="false"/>
                <w:bCs w:val="false"/>
                <w:sz w:val="18"/>
                <w:szCs w:val="18"/>
              </w:rPr>
              <w:t xml:space="preserve">Base de conocimiento en CSV (ver tabla 8).</w:t>
            </w:r>
          </w:p>
        </w:tc>
      </w:tr>
      <w:tr>
        <w:trPr>
          <w:cantSplit/>
        </w:trPr>
        <w:tc>
          <w:tcPr>
            <w:tcW w:type="dxa" w:w="2900"/>
            <w:tcBorders>
              <w:top w:val="single" w:color="CBD5E1" w:sz="4"/>
              <w:left w:val="single" w:color="CBD5E1" w:sz="4"/>
              <w:bottom w:val="single" w:color="CBD5E1" w:sz="4"/>
              <w:right w:val="single" w:color="CBD5E1" w:sz="4"/>
            </w:tcBorders>
            <w:shd w:fill="F5F7FF" w:color="auto" w:val="clear"/>
            <w:tcMar>
              <w:top w:type="dxa" w:w="60"/>
              <w:left w:type="dxa" w:w="100"/>
              <w:bottom w:type="dxa" w:w="60"/>
              <w:right w:type="dxa" w:w="100"/>
            </w:tcMar>
          </w:tcPr>
          <w:p>
            <w:pPr>
              <w:spacing w:after="0" w:line="252"/>
            </w:pPr>
            <w:r>
              <w:rPr>
                <w:rFonts w:ascii="Consolas" w:cs="Consolas" w:eastAsia="Consolas" w:hAnsi="Consolas"/>
                <w:b w:val="false"/>
                <w:bCs w:val="false"/>
                <w:color w:val="3730A3"/>
                <w:sz w:val="16"/>
                <w:szCs w:val="16"/>
              </w:rPr>
              <w:t xml:space="preserve">src/ui-ux-pro-max/scripts/</w:t>
            </w:r>
          </w:p>
        </w:tc>
        <w:tc>
          <w:tcPr>
            <w:tcW w:type="dxa" w:w="6126"/>
            <w:tcBorders>
              <w:top w:val="single" w:color="CBD5E1" w:sz="4"/>
              <w:left w:val="single" w:color="CBD5E1" w:sz="4"/>
              <w:bottom w:val="single" w:color="CBD5E1" w:sz="4"/>
              <w:right w:val="single" w:color="CBD5E1" w:sz="4"/>
            </w:tcBorders>
            <w:shd w:fill="F5F7FF" w:color="auto" w:val="clear"/>
            <w:tcMar>
              <w:top w:type="dxa" w:w="60"/>
              <w:left w:type="dxa" w:w="100"/>
              <w:bottom w:type="dxa" w:w="60"/>
              <w:right w:type="dxa" w:w="100"/>
            </w:tcMar>
          </w:tcPr>
          <w:p>
            <w:pPr>
              <w:spacing w:after="0" w:line="252"/>
            </w:pPr>
            <w:r>
              <w:rPr>
                <w:rFonts w:ascii="Consolas" w:cs="Consolas" w:eastAsia="Consolas" w:hAnsi="Consolas"/>
                <w:b w:val="false"/>
                <w:bCs w:val="false"/>
                <w:color w:val="3730A3"/>
                <w:sz w:val="16"/>
                <w:szCs w:val="16"/>
              </w:rPr>
              <w:t xml:space="preserve">search.py</w:t>
            </w:r>
            <w:r>
              <w:rPr>
                <w:b w:val="false"/>
                <w:bCs w:val="false"/>
                <w:sz w:val="18"/>
                <w:szCs w:val="18"/>
              </w:rPr>
              <w:t xml:space="preserve"> (buscador), </w:t>
            </w:r>
            <w:r>
              <w:rPr>
                <w:rFonts w:ascii="Consolas" w:cs="Consolas" w:eastAsia="Consolas" w:hAnsi="Consolas"/>
                <w:b w:val="false"/>
                <w:bCs w:val="false"/>
                <w:color w:val="3730A3"/>
                <w:sz w:val="16"/>
                <w:szCs w:val="16"/>
              </w:rPr>
              <w:t xml:space="preserve">core.py</w:t>
            </w:r>
            <w:r>
              <w:rPr>
                <w:b w:val="false"/>
                <w:bCs w:val="false"/>
                <w:sz w:val="18"/>
                <w:szCs w:val="18"/>
              </w:rPr>
              <w:t xml:space="preserve"> (motor de búsqueda </w:t>
            </w:r>
            <w:r>
              <w:rPr>
                <w:b/>
                <w:bCs/>
                <w:sz w:val="18"/>
                <w:szCs w:val="18"/>
              </w:rPr>
              <w:t xml:space="preserve">BM25</w:t>
            </w:r>
            <w:r>
              <w:rPr>
                <w:b w:val="false"/>
                <w:bCs w:val="false"/>
                <w:sz w:val="18"/>
                <w:szCs w:val="18"/>
              </w:rPr>
              <w:t xml:space="preserve">), </w:t>
            </w:r>
            <w:r>
              <w:rPr>
                <w:rFonts w:ascii="Consolas" w:cs="Consolas" w:eastAsia="Consolas" w:hAnsi="Consolas"/>
                <w:b w:val="false"/>
                <w:bCs w:val="false"/>
                <w:color w:val="3730A3"/>
                <w:sz w:val="16"/>
                <w:szCs w:val="16"/>
              </w:rPr>
              <w:t xml:space="preserve">design_system.py</w:t>
            </w:r>
            <w:r>
              <w:rPr>
                <w:b w:val="false"/>
                <w:bCs w:val="false"/>
                <w:sz w:val="18"/>
                <w:szCs w:val="18"/>
              </w:rPr>
              <w:t xml:space="preserve"> (generador de sistemas de diseño), validación de datos y tests.</w:t>
            </w:r>
          </w:p>
        </w:tc>
      </w:tr>
      <w:tr>
        <w:trPr>
          <w:cantSplit/>
        </w:trPr>
        <w:tc>
          <w:tcPr>
            <w:tcW w:type="dxa" w:w="290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line="252"/>
            </w:pPr>
            <w:r>
              <w:rPr>
                <w:rFonts w:ascii="Consolas" w:cs="Consolas" w:eastAsia="Consolas" w:hAnsi="Consolas"/>
                <w:b w:val="false"/>
                <w:bCs w:val="false"/>
                <w:color w:val="3730A3"/>
                <w:sz w:val="16"/>
                <w:szCs w:val="16"/>
              </w:rPr>
              <w:t xml:space="preserve">src/ui-ux-pro-max/templates/</w:t>
            </w:r>
          </w:p>
        </w:tc>
        <w:tc>
          <w:tcPr>
            <w:tcW w:type="dxa" w:w="612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line="252"/>
            </w:pPr>
            <w:r>
              <w:rPr>
                <w:b w:val="false"/>
                <w:bCs w:val="false"/>
                <w:sz w:val="18"/>
                <w:szCs w:val="18"/>
              </w:rPr>
              <w:t xml:space="preserve">Plantilla del texto de la skill y adaptadores para 23 plataformas de IA.</w:t>
            </w:r>
          </w:p>
        </w:tc>
      </w:tr>
      <w:tr>
        <w:trPr>
          <w:cantSplit/>
        </w:trPr>
        <w:tc>
          <w:tcPr>
            <w:tcW w:type="dxa" w:w="2900"/>
            <w:tcBorders>
              <w:top w:val="single" w:color="CBD5E1" w:sz="4"/>
              <w:left w:val="single" w:color="CBD5E1" w:sz="4"/>
              <w:bottom w:val="single" w:color="CBD5E1" w:sz="4"/>
              <w:right w:val="single" w:color="CBD5E1" w:sz="4"/>
            </w:tcBorders>
            <w:shd w:fill="F5F7FF" w:color="auto" w:val="clear"/>
            <w:tcMar>
              <w:top w:type="dxa" w:w="60"/>
              <w:left w:type="dxa" w:w="100"/>
              <w:bottom w:type="dxa" w:w="60"/>
              <w:right w:type="dxa" w:w="100"/>
            </w:tcMar>
          </w:tcPr>
          <w:p>
            <w:pPr>
              <w:spacing w:after="0" w:line="252"/>
            </w:pPr>
            <w:r>
              <w:rPr>
                <w:rFonts w:ascii="Consolas" w:cs="Consolas" w:eastAsia="Consolas" w:hAnsi="Consolas"/>
                <w:b w:val="false"/>
                <w:bCs w:val="false"/>
                <w:color w:val="3730A3"/>
                <w:sz w:val="16"/>
                <w:szCs w:val="16"/>
              </w:rPr>
              <w:t xml:space="preserve">.claude/skills/</w:t>
            </w:r>
          </w:p>
        </w:tc>
        <w:tc>
          <w:tcPr>
            <w:tcW w:type="dxa" w:w="6126"/>
            <w:tcBorders>
              <w:top w:val="single" w:color="CBD5E1" w:sz="4"/>
              <w:left w:val="single" w:color="CBD5E1" w:sz="4"/>
              <w:bottom w:val="single" w:color="CBD5E1" w:sz="4"/>
              <w:right w:val="single" w:color="CBD5E1" w:sz="4"/>
            </w:tcBorders>
            <w:shd w:fill="F5F7FF" w:color="auto" w:val="clear"/>
            <w:tcMar>
              <w:top w:type="dxa" w:w="60"/>
              <w:left w:type="dxa" w:w="100"/>
              <w:bottom w:type="dxa" w:w="60"/>
              <w:right w:type="dxa" w:w="100"/>
            </w:tcMar>
          </w:tcPr>
          <w:p>
            <w:pPr>
              <w:spacing w:after="0" w:line="252"/>
            </w:pPr>
            <w:r>
              <w:rPr>
                <w:b w:val="false"/>
                <w:bCs w:val="false"/>
                <w:sz w:val="18"/>
                <w:szCs w:val="18"/>
              </w:rPr>
              <w:t xml:space="preserve">La skill ya instalada para Claude, más skills complementarias: brand, design, design-system, ui-styling, banner-design y slides.</w:t>
            </w:r>
          </w:p>
        </w:tc>
      </w:tr>
      <w:tr>
        <w:trPr>
          <w:cantSplit/>
        </w:trPr>
        <w:tc>
          <w:tcPr>
            <w:tcW w:type="dxa" w:w="290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line="252"/>
            </w:pPr>
            <w:r>
              <w:rPr>
                <w:rFonts w:ascii="Consolas" w:cs="Consolas" w:eastAsia="Consolas" w:hAnsi="Consolas"/>
                <w:b w:val="false"/>
                <w:bCs w:val="false"/>
                <w:color w:val="3730A3"/>
                <w:sz w:val="16"/>
                <w:szCs w:val="16"/>
              </w:rPr>
              <w:t xml:space="preserve">cli/</w:t>
            </w:r>
          </w:p>
        </w:tc>
        <w:tc>
          <w:tcPr>
            <w:tcW w:type="dxa" w:w="612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line="252"/>
            </w:pPr>
            <w:r>
              <w:rPr>
                <w:b w:val="false"/>
                <w:bCs w:val="false"/>
                <w:sz w:val="18"/>
                <w:szCs w:val="18"/>
              </w:rPr>
              <w:t xml:space="preserve">Instalador en npm (</w:t>
            </w:r>
            <w:r>
              <w:rPr>
                <w:rFonts w:ascii="Consolas" w:cs="Consolas" w:eastAsia="Consolas" w:hAnsi="Consolas"/>
                <w:b w:val="false"/>
                <w:bCs w:val="false"/>
                <w:color w:val="3730A3"/>
                <w:sz w:val="16"/>
                <w:szCs w:val="16"/>
              </w:rPr>
              <w:t xml:space="preserve">ui-ux-pro-max-cli</w:t>
            </w:r>
            <w:r>
              <w:rPr>
                <w:b w:val="false"/>
                <w:bCs w:val="false"/>
                <w:sz w:val="18"/>
                <w:szCs w:val="18"/>
              </w:rPr>
              <w:t xml:space="preserve">, comando </w:t>
            </w:r>
            <w:r>
              <w:rPr>
                <w:rFonts w:ascii="Consolas" w:cs="Consolas" w:eastAsia="Consolas" w:hAnsi="Consolas"/>
                <w:b w:val="false"/>
                <w:bCs w:val="false"/>
                <w:color w:val="3730A3"/>
                <w:sz w:val="16"/>
                <w:szCs w:val="16"/>
              </w:rPr>
              <w:t xml:space="preserve">uipro</w:t>
            </w:r>
            <w:r>
              <w:rPr>
                <w:b w:val="false"/>
                <w:bCs w:val="false"/>
                <w:sz w:val="18"/>
                <w:szCs w:val="18"/>
              </w:rPr>
              <w:t xml:space="preserve">).</w:t>
            </w:r>
          </w:p>
        </w:tc>
      </w:tr>
      <w:tr>
        <w:trPr>
          <w:cantSplit/>
        </w:trPr>
        <w:tc>
          <w:tcPr>
            <w:tcW w:type="dxa" w:w="2900"/>
            <w:tcBorders>
              <w:top w:val="single" w:color="CBD5E1" w:sz="4"/>
              <w:left w:val="single" w:color="CBD5E1" w:sz="4"/>
              <w:bottom w:val="single" w:color="CBD5E1" w:sz="4"/>
              <w:right w:val="single" w:color="CBD5E1" w:sz="4"/>
            </w:tcBorders>
            <w:shd w:fill="F5F7FF" w:color="auto" w:val="clear"/>
            <w:tcMar>
              <w:top w:type="dxa" w:w="60"/>
              <w:left w:type="dxa" w:w="100"/>
              <w:bottom w:type="dxa" w:w="60"/>
              <w:right w:type="dxa" w:w="100"/>
            </w:tcMar>
          </w:tcPr>
          <w:p>
            <w:pPr>
              <w:spacing w:after="0" w:line="252"/>
            </w:pPr>
            <w:r>
              <w:rPr>
                <w:rFonts w:ascii="Consolas" w:cs="Consolas" w:eastAsia="Consolas" w:hAnsi="Consolas"/>
                <w:b w:val="false"/>
                <w:bCs w:val="false"/>
                <w:color w:val="3730A3"/>
                <w:sz w:val="16"/>
                <w:szCs w:val="16"/>
              </w:rPr>
              <w:t xml:space="preserve">projects/</w:t>
            </w:r>
          </w:p>
        </w:tc>
        <w:tc>
          <w:tcPr>
            <w:tcW w:type="dxa" w:w="6126"/>
            <w:tcBorders>
              <w:top w:val="single" w:color="CBD5E1" w:sz="4"/>
              <w:left w:val="single" w:color="CBD5E1" w:sz="4"/>
              <w:bottom w:val="single" w:color="CBD5E1" w:sz="4"/>
              <w:right w:val="single" w:color="CBD5E1" w:sz="4"/>
            </w:tcBorders>
            <w:shd w:fill="F5F7FF" w:color="auto" w:val="clear"/>
            <w:tcMar>
              <w:top w:type="dxa" w:w="60"/>
              <w:left w:type="dxa" w:w="100"/>
              <w:bottom w:type="dxa" w:w="60"/>
              <w:right w:type="dxa" w:w="100"/>
            </w:tcMar>
          </w:tcPr>
          <w:p>
            <w:pPr>
              <w:spacing w:after="0" w:line="252"/>
            </w:pPr>
            <w:r>
              <w:rPr>
                <w:b w:val="false"/>
                <w:bCs w:val="false"/>
                <w:sz w:val="18"/>
                <w:szCs w:val="18"/>
              </w:rPr>
              <w:t xml:space="preserve">Tres ejemplos generados con la skill: landing SaaS, panel sanitario y portfolio oscuro.</w:t>
            </w:r>
          </w:p>
        </w:tc>
      </w:tr>
      <w:tr>
        <w:trPr>
          <w:cantSplit/>
        </w:trPr>
        <w:tc>
          <w:tcPr>
            <w:tcW w:type="dxa" w:w="290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line="252"/>
            </w:pPr>
            <w:r>
              <w:rPr>
                <w:rFonts w:ascii="Consolas" w:cs="Consolas" w:eastAsia="Consolas" w:hAnsi="Consolas"/>
                <w:b w:val="false"/>
                <w:bCs w:val="false"/>
                <w:color w:val="3730A3"/>
                <w:sz w:val="16"/>
                <w:szCs w:val="16"/>
              </w:rPr>
              <w:t xml:space="preserve">gallery/</w:t>
            </w:r>
            <w:r>
              <w:rPr>
                <w:b w:val="false"/>
                <w:bCs w:val="false"/>
                <w:sz w:val="18"/>
                <w:szCs w:val="18"/>
              </w:rPr>
              <w:t xml:space="preserve">, </w:t>
            </w:r>
            <w:r>
              <w:rPr>
                <w:rFonts w:ascii="Consolas" w:cs="Consolas" w:eastAsia="Consolas" w:hAnsi="Consolas"/>
                <w:b w:val="false"/>
                <w:bCs w:val="false"/>
                <w:color w:val="3730A3"/>
                <w:sz w:val="16"/>
                <w:szCs w:val="16"/>
              </w:rPr>
              <w:t xml:space="preserve">preview/</w:t>
            </w:r>
          </w:p>
        </w:tc>
        <w:tc>
          <w:tcPr>
            <w:tcW w:type="dxa" w:w="612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line="252"/>
            </w:pPr>
            <w:r>
              <w:rPr>
                <w:b w:val="false"/>
                <w:bCs w:val="false"/>
                <w:sz w:val="18"/>
                <w:szCs w:val="18"/>
              </w:rPr>
              <w:t xml:space="preserve">Galería web (Next.js + Tailwind) para explorar estilos.</w:t>
            </w:r>
          </w:p>
        </w:tc>
      </w:tr>
      <w:tr>
        <w:trPr>
          <w:cantSplit/>
        </w:trPr>
        <w:tc>
          <w:tcPr>
            <w:tcW w:type="dxa" w:w="2900"/>
            <w:tcBorders>
              <w:top w:val="single" w:color="CBD5E1" w:sz="4"/>
              <w:left w:val="single" w:color="CBD5E1" w:sz="4"/>
              <w:bottom w:val="single" w:color="CBD5E1" w:sz="4"/>
              <w:right w:val="single" w:color="CBD5E1" w:sz="4"/>
            </w:tcBorders>
            <w:shd w:fill="F5F7FF" w:color="auto" w:val="clear"/>
            <w:tcMar>
              <w:top w:type="dxa" w:w="60"/>
              <w:left w:type="dxa" w:w="100"/>
              <w:bottom w:type="dxa" w:w="60"/>
              <w:right w:type="dxa" w:w="100"/>
            </w:tcMar>
          </w:tcPr>
          <w:p>
            <w:pPr>
              <w:spacing w:after="0" w:line="252"/>
            </w:pPr>
            <w:r>
              <w:rPr>
                <w:rFonts w:ascii="Consolas" w:cs="Consolas" w:eastAsia="Consolas" w:hAnsi="Consolas"/>
                <w:b w:val="false"/>
                <w:bCs w:val="false"/>
                <w:color w:val="3730A3"/>
                <w:sz w:val="16"/>
                <w:szCs w:val="16"/>
              </w:rPr>
              <w:t xml:space="preserve">scripts/</w:t>
            </w:r>
          </w:p>
        </w:tc>
        <w:tc>
          <w:tcPr>
            <w:tcW w:type="dxa" w:w="6126"/>
            <w:tcBorders>
              <w:top w:val="single" w:color="CBD5E1" w:sz="4"/>
              <w:left w:val="single" w:color="CBD5E1" w:sz="4"/>
              <w:bottom w:val="single" w:color="CBD5E1" w:sz="4"/>
              <w:right w:val="single" w:color="CBD5E1" w:sz="4"/>
            </w:tcBorders>
            <w:shd w:fill="F5F7FF" w:color="auto" w:val="clear"/>
            <w:tcMar>
              <w:top w:type="dxa" w:w="60"/>
              <w:left w:type="dxa" w:w="100"/>
              <w:bottom w:type="dxa" w:w="60"/>
              <w:right w:type="dxa" w:w="100"/>
            </w:tcMar>
          </w:tcPr>
          <w:p>
            <w:pPr>
              <w:spacing w:after="0" w:line="252"/>
            </w:pPr>
            <w:r>
              <w:rPr>
                <w:b w:val="false"/>
                <w:bCs w:val="false"/>
                <w:sz w:val="18"/>
                <w:szCs w:val="18"/>
              </w:rPr>
              <w:t xml:space="preserve">Utilidades de mantenimiento: actualizar catálogo de fuentes e iconos, evaluar la relevancia de las búsquedas.</w:t>
            </w:r>
          </w:p>
        </w:tc>
      </w:tr>
    </w:tbl>
    <w:p>
      <w:pPr>
        <w:spacing w:after="200" w:before="60"/>
        <w:jc w:val="center"/>
      </w:pPr>
      <w:r>
        <w:rPr>
          <w:i/>
          <w:iCs/>
          <w:color w:val="475569"/>
          <w:sz w:val="18"/>
          <w:szCs w:val="18"/>
        </w:rPr>
        <w:t xml:space="preserve">Tabla 7. Estructura del repositorio.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0"/>
        <w:gridCol w:w="1700"/>
        <w:gridCol w:w="4626"/>
      </w:tblGrid>
      <w:tr>
        <w:trPr>
          <w:tblHeader/>
        </w:trPr>
        <w:tc>
          <w:tcPr>
            <w:tcW w:type="dxa" w:w="2700"/>
            <w:tcBorders>
              <w:top w:val="single" w:color="CBD5E1" w:sz="4"/>
              <w:left w:val="single" w:color="CBD5E1" w:sz="4"/>
              <w:bottom w:val="single" w:color="CBD5E1" w:sz="4"/>
              <w:right w:val="single" w:color="CBD5E1" w:sz="4"/>
            </w:tcBorders>
            <w:shd w:fill="E0E7FF" w:color="auto" w:val="clear"/>
            <w:tcMar>
              <w:top w:type="dxa" w:w="60"/>
              <w:left w:type="dxa" w:w="100"/>
              <w:bottom w:type="dxa" w:w="60"/>
              <w:right w:type="dxa" w:w="100"/>
            </w:tcMar>
          </w:tcPr>
          <w:p>
            <w:pPr>
              <w:spacing w:after="0" w:line="252"/>
            </w:pPr>
            <w:r>
              <w:rPr>
                <w:b/>
                <w:bCs/>
                <w:color w:val="1E1B4B"/>
                <w:sz w:val="18"/>
                <w:szCs w:val="18"/>
              </w:rPr>
              <w:t xml:space="preserve">Fichero de datos</w:t>
            </w:r>
          </w:p>
        </w:tc>
        <w:tc>
          <w:tcPr>
            <w:tcW w:type="dxa" w:w="1700"/>
            <w:tcBorders>
              <w:top w:val="single" w:color="CBD5E1" w:sz="4"/>
              <w:left w:val="single" w:color="CBD5E1" w:sz="4"/>
              <w:bottom w:val="single" w:color="CBD5E1" w:sz="4"/>
              <w:right w:val="single" w:color="CBD5E1" w:sz="4"/>
            </w:tcBorders>
            <w:shd w:fill="E0E7FF" w:color="auto" w:val="clear"/>
            <w:tcMar>
              <w:top w:type="dxa" w:w="60"/>
              <w:left w:type="dxa" w:w="100"/>
              <w:bottom w:type="dxa" w:w="60"/>
              <w:right w:type="dxa" w:w="100"/>
            </w:tcMar>
          </w:tcPr>
          <w:p>
            <w:pPr>
              <w:spacing w:after="0" w:line="252"/>
            </w:pPr>
            <w:r>
              <w:rPr>
                <w:b/>
                <w:bCs/>
                <w:color w:val="1E1B4B"/>
                <w:sz w:val="18"/>
                <w:szCs w:val="18"/>
              </w:rPr>
              <w:t xml:space="preserve">Registros</w:t>
            </w:r>
          </w:p>
        </w:tc>
        <w:tc>
          <w:tcPr>
            <w:tcW w:type="dxa" w:w="4626"/>
            <w:tcBorders>
              <w:top w:val="single" w:color="CBD5E1" w:sz="4"/>
              <w:left w:val="single" w:color="CBD5E1" w:sz="4"/>
              <w:bottom w:val="single" w:color="CBD5E1" w:sz="4"/>
              <w:right w:val="single" w:color="CBD5E1" w:sz="4"/>
            </w:tcBorders>
            <w:shd w:fill="E0E7FF" w:color="auto" w:val="clear"/>
            <w:tcMar>
              <w:top w:type="dxa" w:w="60"/>
              <w:left w:type="dxa" w:w="100"/>
              <w:bottom w:type="dxa" w:w="60"/>
              <w:right w:type="dxa" w:w="100"/>
            </w:tcMar>
          </w:tcPr>
          <w:p>
            <w:pPr>
              <w:spacing w:after="0" w:line="252"/>
            </w:pPr>
            <w:r>
              <w:rPr>
                <w:b/>
                <w:bCs/>
                <w:color w:val="1E1B4B"/>
                <w:sz w:val="18"/>
                <w:szCs w:val="18"/>
              </w:rPr>
              <w:t xml:space="preserve">Para qué sirve</w:t>
            </w:r>
          </w:p>
        </w:tc>
      </w:tr>
      <w:tr>
        <w:trPr>
          <w:cantSplit/>
        </w:trPr>
        <w:tc>
          <w:tcPr>
            <w:tcW w:type="dxa" w:w="270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line="252"/>
            </w:pPr>
            <w:r>
              <w:rPr>
                <w:b w:val="false"/>
                <w:bCs w:val="false"/>
                <w:sz w:val="18"/>
                <w:szCs w:val="18"/>
              </w:rPr>
              <w:t xml:space="preserve">styles.csv</w:t>
            </w:r>
          </w:p>
        </w:tc>
        <w:tc>
          <w:tcPr>
            <w:tcW w:type="dxa" w:w="170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line="252"/>
            </w:pPr>
            <w:r>
              <w:rPr>
                <w:b w:val="false"/>
                <w:bCs w:val="false"/>
                <w:sz w:val="18"/>
                <w:szCs w:val="18"/>
              </w:rPr>
              <w:t xml:space="preserve">≈ 79 estilos</w:t>
            </w:r>
          </w:p>
        </w:tc>
        <w:tc>
          <w:tcPr>
            <w:tcW w:type="dxa" w:w="462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line="252"/>
            </w:pPr>
            <w:r>
              <w:rPr>
                <w:b w:val="false"/>
                <w:bCs w:val="false"/>
                <w:sz w:val="18"/>
                <w:szCs w:val="18"/>
              </w:rPr>
              <w:t xml:space="preserve">Estilos de interfaz (glassmorphism, minimalismo, claymorphism…) con usos, accesibilidad y rendimiento.</w:t>
            </w:r>
          </w:p>
        </w:tc>
      </w:tr>
      <w:tr>
        <w:trPr>
          <w:cantSplit/>
        </w:trPr>
        <w:tc>
          <w:tcPr>
            <w:tcW w:type="dxa" w:w="2700"/>
            <w:tcBorders>
              <w:top w:val="single" w:color="CBD5E1" w:sz="4"/>
              <w:left w:val="single" w:color="CBD5E1" w:sz="4"/>
              <w:bottom w:val="single" w:color="CBD5E1" w:sz="4"/>
              <w:right w:val="single" w:color="CBD5E1" w:sz="4"/>
            </w:tcBorders>
            <w:shd w:fill="F5F7FF" w:color="auto" w:val="clear"/>
            <w:tcMar>
              <w:top w:type="dxa" w:w="60"/>
              <w:left w:type="dxa" w:w="100"/>
              <w:bottom w:type="dxa" w:w="60"/>
              <w:right w:type="dxa" w:w="100"/>
            </w:tcMar>
          </w:tcPr>
          <w:p>
            <w:pPr>
              <w:spacing w:after="0" w:line="252"/>
            </w:pPr>
            <w:r>
              <w:rPr>
                <w:b w:val="false"/>
                <w:bCs w:val="false"/>
                <w:sz w:val="18"/>
                <w:szCs w:val="18"/>
              </w:rPr>
              <w:t xml:space="preserve">colors.csv</w:t>
            </w:r>
          </w:p>
        </w:tc>
        <w:tc>
          <w:tcPr>
            <w:tcW w:type="dxa" w:w="1700"/>
            <w:tcBorders>
              <w:top w:val="single" w:color="CBD5E1" w:sz="4"/>
              <w:left w:val="single" w:color="CBD5E1" w:sz="4"/>
              <w:bottom w:val="single" w:color="CBD5E1" w:sz="4"/>
              <w:right w:val="single" w:color="CBD5E1" w:sz="4"/>
            </w:tcBorders>
            <w:shd w:fill="F5F7FF" w:color="auto" w:val="clear"/>
            <w:tcMar>
              <w:top w:type="dxa" w:w="60"/>
              <w:left w:type="dxa" w:w="100"/>
              <w:bottom w:type="dxa" w:w="60"/>
              <w:right w:type="dxa" w:w="100"/>
            </w:tcMar>
          </w:tcPr>
          <w:p>
            <w:pPr>
              <w:spacing w:after="0" w:line="252"/>
            </w:pPr>
            <w:r>
              <w:rPr>
                <w:b w:val="false"/>
                <w:bCs w:val="false"/>
                <w:sz w:val="18"/>
                <w:szCs w:val="18"/>
              </w:rPr>
              <w:t xml:space="preserve">192 paletas</w:t>
            </w:r>
          </w:p>
        </w:tc>
        <w:tc>
          <w:tcPr>
            <w:tcW w:type="dxa" w:w="4626"/>
            <w:tcBorders>
              <w:top w:val="single" w:color="CBD5E1" w:sz="4"/>
              <w:left w:val="single" w:color="CBD5E1" w:sz="4"/>
              <w:bottom w:val="single" w:color="CBD5E1" w:sz="4"/>
              <w:right w:val="single" w:color="CBD5E1" w:sz="4"/>
            </w:tcBorders>
            <w:shd w:fill="F5F7FF" w:color="auto" w:val="clear"/>
            <w:tcMar>
              <w:top w:type="dxa" w:w="60"/>
              <w:left w:type="dxa" w:w="100"/>
              <w:bottom w:type="dxa" w:w="60"/>
              <w:right w:type="dxa" w:w="100"/>
            </w:tcMar>
          </w:tcPr>
          <w:p>
            <w:pPr>
              <w:spacing w:after="0" w:line="252"/>
            </w:pPr>
            <w:r>
              <w:rPr>
                <w:b w:val="false"/>
                <w:bCs w:val="false"/>
                <w:sz w:val="18"/>
                <w:szCs w:val="18"/>
              </w:rPr>
              <w:t xml:space="preserve">Paletas por tipo de producto con tokens semánticos (primary, on-primary, background…).</w:t>
            </w:r>
          </w:p>
        </w:tc>
      </w:tr>
      <w:tr>
        <w:trPr>
          <w:cantSplit/>
        </w:trPr>
        <w:tc>
          <w:tcPr>
            <w:tcW w:type="dxa" w:w="270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line="252"/>
            </w:pPr>
            <w:r>
              <w:rPr>
                <w:b w:val="false"/>
                <w:bCs w:val="false"/>
                <w:sz w:val="18"/>
                <w:szCs w:val="18"/>
              </w:rPr>
              <w:t xml:space="preserve">typography.csv / google-fonts.csv</w:t>
            </w:r>
          </w:p>
        </w:tc>
        <w:tc>
          <w:tcPr>
            <w:tcW w:type="dxa" w:w="170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line="252"/>
            </w:pPr>
            <w:r>
              <w:rPr>
                <w:b w:val="false"/>
                <w:bCs w:val="false"/>
                <w:sz w:val="18"/>
                <w:szCs w:val="18"/>
              </w:rPr>
              <w:t xml:space="preserve">74 pares / ≈ 1.900 fuentes</w:t>
            </w:r>
          </w:p>
        </w:tc>
        <w:tc>
          <w:tcPr>
            <w:tcW w:type="dxa" w:w="462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line="252"/>
            </w:pPr>
            <w:r>
              <w:rPr>
                <w:b w:val="false"/>
                <w:bCs w:val="false"/>
                <w:sz w:val="18"/>
                <w:szCs w:val="18"/>
              </w:rPr>
              <w:t xml:space="preserve">Combinaciones tipográficas y catálogo de Google Fonts.</w:t>
            </w:r>
          </w:p>
        </w:tc>
      </w:tr>
      <w:tr>
        <w:trPr>
          <w:cantSplit/>
        </w:trPr>
        <w:tc>
          <w:tcPr>
            <w:tcW w:type="dxa" w:w="2700"/>
            <w:tcBorders>
              <w:top w:val="single" w:color="CBD5E1" w:sz="4"/>
              <w:left w:val="single" w:color="CBD5E1" w:sz="4"/>
              <w:bottom w:val="single" w:color="CBD5E1" w:sz="4"/>
              <w:right w:val="single" w:color="CBD5E1" w:sz="4"/>
            </w:tcBorders>
            <w:shd w:fill="F5F7FF" w:color="auto" w:val="clear"/>
            <w:tcMar>
              <w:top w:type="dxa" w:w="60"/>
              <w:left w:type="dxa" w:w="100"/>
              <w:bottom w:type="dxa" w:w="60"/>
              <w:right w:type="dxa" w:w="100"/>
            </w:tcMar>
          </w:tcPr>
          <w:p>
            <w:pPr>
              <w:spacing w:after="0" w:line="252"/>
            </w:pPr>
            <w:r>
              <w:rPr>
                <w:b w:val="false"/>
                <w:bCs w:val="false"/>
                <w:sz w:val="18"/>
                <w:szCs w:val="18"/>
              </w:rPr>
              <w:t xml:space="preserve">products.csv / ui-reasoning.csv</w:t>
            </w:r>
          </w:p>
        </w:tc>
        <w:tc>
          <w:tcPr>
            <w:tcW w:type="dxa" w:w="1700"/>
            <w:tcBorders>
              <w:top w:val="single" w:color="CBD5E1" w:sz="4"/>
              <w:left w:val="single" w:color="CBD5E1" w:sz="4"/>
              <w:bottom w:val="single" w:color="CBD5E1" w:sz="4"/>
              <w:right w:val="single" w:color="CBD5E1" w:sz="4"/>
            </w:tcBorders>
            <w:shd w:fill="F5F7FF" w:color="auto" w:val="clear"/>
            <w:tcMar>
              <w:top w:type="dxa" w:w="60"/>
              <w:left w:type="dxa" w:w="100"/>
              <w:bottom w:type="dxa" w:w="60"/>
              <w:right w:type="dxa" w:w="100"/>
            </w:tcMar>
          </w:tcPr>
          <w:p>
            <w:pPr>
              <w:spacing w:after="0" w:line="252"/>
            </w:pPr>
            <w:r>
              <w:rPr>
                <w:b w:val="false"/>
                <w:bCs w:val="false"/>
                <w:sz w:val="18"/>
                <w:szCs w:val="18"/>
              </w:rPr>
              <w:t xml:space="preserve">192 tipos</w:t>
            </w:r>
          </w:p>
        </w:tc>
        <w:tc>
          <w:tcPr>
            <w:tcW w:type="dxa" w:w="4626"/>
            <w:tcBorders>
              <w:top w:val="single" w:color="CBD5E1" w:sz="4"/>
              <w:left w:val="single" w:color="CBD5E1" w:sz="4"/>
              <w:bottom w:val="single" w:color="CBD5E1" w:sz="4"/>
              <w:right w:val="single" w:color="CBD5E1" w:sz="4"/>
            </w:tcBorders>
            <w:shd w:fill="F5F7FF" w:color="auto" w:val="clear"/>
            <w:tcMar>
              <w:top w:type="dxa" w:w="60"/>
              <w:left w:type="dxa" w:w="100"/>
              <w:bottom w:type="dxa" w:w="60"/>
              <w:right w:type="dxa" w:w="100"/>
            </w:tcMar>
          </w:tcPr>
          <w:p>
            <w:pPr>
              <w:spacing w:after="0" w:line="252"/>
            </w:pPr>
            <w:r>
              <w:rPr>
                <w:b w:val="false"/>
                <w:bCs w:val="false"/>
                <w:sz w:val="18"/>
                <w:szCs w:val="18"/>
              </w:rPr>
              <w:t xml:space="preserve">Reglas de razonamiento: qué estilo, color y patrón encaja con cada producto.</w:t>
            </w:r>
          </w:p>
        </w:tc>
      </w:tr>
      <w:tr>
        <w:trPr>
          <w:cantSplit/>
        </w:trPr>
        <w:tc>
          <w:tcPr>
            <w:tcW w:type="dxa" w:w="270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line="252"/>
            </w:pPr>
            <w:r>
              <w:rPr>
                <w:b/>
                <w:bCs/>
                <w:sz w:val="18"/>
                <w:szCs w:val="18"/>
              </w:rPr>
              <w:t xml:space="preserve">ux-guidelines.csv</w:t>
            </w:r>
          </w:p>
        </w:tc>
        <w:tc>
          <w:tcPr>
            <w:tcW w:type="dxa" w:w="170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line="252"/>
            </w:pPr>
            <w:r>
              <w:rPr>
                <w:b/>
                <w:bCs/>
                <w:sz w:val="18"/>
                <w:szCs w:val="18"/>
              </w:rPr>
              <w:t xml:space="preserve">119 directrices</w:t>
            </w:r>
          </w:p>
        </w:tc>
        <w:tc>
          <w:tcPr>
            <w:tcW w:type="dxa" w:w="462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line="252"/>
            </w:pPr>
            <w:r>
              <w:rPr>
                <w:b w:val="false"/>
                <w:bCs w:val="false"/>
                <w:sz w:val="18"/>
                <w:szCs w:val="18"/>
              </w:rPr>
              <w:t xml:space="preserve">Reglas UX con categoría, plataforma, qué hacer, qué evitar, ejemplo de código y severidad (4 críticas, 44 altas, 62 medias, 9 bajas). </w:t>
            </w:r>
            <w:r>
              <w:rPr>
                <w:b/>
                <w:bCs/>
                <w:sz w:val="18"/>
                <w:szCs w:val="18"/>
              </w:rPr>
              <w:t xml:space="preserve">Base de nuestro auditor.</w:t>
            </w:r>
          </w:p>
        </w:tc>
      </w:tr>
      <w:tr>
        <w:trPr>
          <w:cantSplit/>
        </w:trPr>
        <w:tc>
          <w:tcPr>
            <w:tcW w:type="dxa" w:w="2700"/>
            <w:tcBorders>
              <w:top w:val="single" w:color="CBD5E1" w:sz="4"/>
              <w:left w:val="single" w:color="CBD5E1" w:sz="4"/>
              <w:bottom w:val="single" w:color="CBD5E1" w:sz="4"/>
              <w:right w:val="single" w:color="CBD5E1" w:sz="4"/>
            </w:tcBorders>
            <w:shd w:fill="F5F7FF" w:color="auto" w:val="clear"/>
            <w:tcMar>
              <w:top w:type="dxa" w:w="60"/>
              <w:left w:type="dxa" w:w="100"/>
              <w:bottom w:type="dxa" w:w="60"/>
              <w:right w:type="dxa" w:w="100"/>
            </w:tcMar>
          </w:tcPr>
          <w:p>
            <w:pPr>
              <w:spacing w:after="0" w:line="252"/>
            </w:pPr>
            <w:r>
              <w:rPr>
                <w:b w:val="false"/>
                <w:bCs w:val="false"/>
                <w:sz w:val="18"/>
                <w:szCs w:val="18"/>
              </w:rPr>
              <w:t xml:space="preserve">app-interface.csv</w:t>
            </w:r>
          </w:p>
        </w:tc>
        <w:tc>
          <w:tcPr>
            <w:tcW w:type="dxa" w:w="1700"/>
            <w:tcBorders>
              <w:top w:val="single" w:color="CBD5E1" w:sz="4"/>
              <w:left w:val="single" w:color="CBD5E1" w:sz="4"/>
              <w:bottom w:val="single" w:color="CBD5E1" w:sz="4"/>
              <w:right w:val="single" w:color="CBD5E1" w:sz="4"/>
            </w:tcBorders>
            <w:shd w:fill="F5F7FF" w:color="auto" w:val="clear"/>
            <w:tcMar>
              <w:top w:type="dxa" w:w="60"/>
              <w:left w:type="dxa" w:w="100"/>
              <w:bottom w:type="dxa" w:w="60"/>
              <w:right w:type="dxa" w:w="100"/>
            </w:tcMar>
          </w:tcPr>
          <w:p>
            <w:pPr>
              <w:spacing w:after="0" w:line="252"/>
            </w:pPr>
            <w:r>
              <w:rPr>
                <w:b w:val="false"/>
                <w:bCs w:val="false"/>
                <w:sz w:val="18"/>
                <w:szCs w:val="18"/>
              </w:rPr>
              <w:t xml:space="preserve">32 reglas</w:t>
            </w:r>
          </w:p>
        </w:tc>
        <w:tc>
          <w:tcPr>
            <w:tcW w:type="dxa" w:w="4626"/>
            <w:tcBorders>
              <w:top w:val="single" w:color="CBD5E1" w:sz="4"/>
              <w:left w:val="single" w:color="CBD5E1" w:sz="4"/>
              <w:bottom w:val="single" w:color="CBD5E1" w:sz="4"/>
              <w:right w:val="single" w:color="CBD5E1" w:sz="4"/>
            </w:tcBorders>
            <w:shd w:fill="F5F7FF" w:color="auto" w:val="clear"/>
            <w:tcMar>
              <w:top w:type="dxa" w:w="60"/>
              <w:left w:type="dxa" w:w="100"/>
              <w:bottom w:type="dxa" w:w="60"/>
              <w:right w:type="dxa" w:w="100"/>
            </w:tcMar>
          </w:tcPr>
          <w:p>
            <w:pPr>
              <w:spacing w:after="0" w:line="252"/>
            </w:pPr>
            <w:r>
              <w:rPr>
                <w:b w:val="false"/>
                <w:bCs w:val="false"/>
                <w:sz w:val="18"/>
                <w:szCs w:val="18"/>
              </w:rPr>
              <w:t xml:space="preserve">Directrices específicas de apps móviles.</w:t>
            </w:r>
          </w:p>
        </w:tc>
      </w:tr>
      <w:tr>
        <w:trPr>
          <w:cantSplit/>
        </w:trPr>
        <w:tc>
          <w:tcPr>
            <w:tcW w:type="dxa" w:w="270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line="252"/>
            </w:pPr>
            <w:r>
              <w:rPr>
                <w:b w:val="false"/>
                <w:bCs w:val="false"/>
                <w:sz w:val="18"/>
                <w:szCs w:val="18"/>
              </w:rPr>
              <w:t xml:space="preserve">landing.csv, charts.csv, icons.csv, motion.csv</w:t>
            </w:r>
          </w:p>
        </w:tc>
        <w:tc>
          <w:tcPr>
            <w:tcW w:type="dxa" w:w="170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line="252"/>
            </w:pPr>
            <w:r>
              <w:rPr>
                <w:b w:val="false"/>
                <w:bCs w:val="false"/>
                <w:sz w:val="18"/>
                <w:szCs w:val="18"/>
              </w:rPr>
              <w:t xml:space="preserve">35 / 25 / 105 / 17</w:t>
            </w:r>
          </w:p>
        </w:tc>
        <w:tc>
          <w:tcPr>
            <w:tcW w:type="dxa" w:w="462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line="252"/>
            </w:pPr>
            <w:r>
              <w:rPr>
                <w:b w:val="false"/>
                <w:bCs w:val="false"/>
                <w:sz w:val="18"/>
                <w:szCs w:val="18"/>
              </w:rPr>
              <w:t xml:space="preserve">Patrones de landing, tipos de gráfico, iconos y animaciones.</w:t>
            </w:r>
          </w:p>
        </w:tc>
      </w:tr>
      <w:tr>
        <w:trPr>
          <w:cantSplit/>
        </w:trPr>
        <w:tc>
          <w:tcPr>
            <w:tcW w:type="dxa" w:w="2700"/>
            <w:tcBorders>
              <w:top w:val="single" w:color="CBD5E1" w:sz="4"/>
              <w:left w:val="single" w:color="CBD5E1" w:sz="4"/>
              <w:bottom w:val="single" w:color="CBD5E1" w:sz="4"/>
              <w:right w:val="single" w:color="CBD5E1" w:sz="4"/>
            </w:tcBorders>
            <w:shd w:fill="F5F7FF" w:color="auto" w:val="clear"/>
            <w:tcMar>
              <w:top w:type="dxa" w:w="60"/>
              <w:left w:type="dxa" w:w="100"/>
              <w:bottom w:type="dxa" w:w="60"/>
              <w:right w:type="dxa" w:w="100"/>
            </w:tcMar>
          </w:tcPr>
          <w:p>
            <w:pPr>
              <w:spacing w:after="0" w:line="252"/>
            </w:pPr>
            <w:r>
              <w:rPr>
                <w:b w:val="false"/>
                <w:bCs w:val="false"/>
                <w:sz w:val="18"/>
                <w:szCs w:val="18"/>
              </w:rPr>
              <w:t xml:space="preserve">stacks/*.csv</w:t>
            </w:r>
          </w:p>
        </w:tc>
        <w:tc>
          <w:tcPr>
            <w:tcW w:type="dxa" w:w="1700"/>
            <w:tcBorders>
              <w:top w:val="single" w:color="CBD5E1" w:sz="4"/>
              <w:left w:val="single" w:color="CBD5E1" w:sz="4"/>
              <w:bottom w:val="single" w:color="CBD5E1" w:sz="4"/>
              <w:right w:val="single" w:color="CBD5E1" w:sz="4"/>
            </w:tcBorders>
            <w:shd w:fill="F5F7FF" w:color="auto" w:val="clear"/>
            <w:tcMar>
              <w:top w:type="dxa" w:w="60"/>
              <w:left w:type="dxa" w:w="100"/>
              <w:bottom w:type="dxa" w:w="60"/>
              <w:right w:type="dxa" w:w="100"/>
            </w:tcMar>
          </w:tcPr>
          <w:p>
            <w:pPr>
              <w:spacing w:after="0" w:line="252"/>
            </w:pPr>
            <w:r>
              <w:rPr>
                <w:b w:val="false"/>
                <w:bCs w:val="false"/>
                <w:sz w:val="18"/>
                <w:szCs w:val="18"/>
              </w:rPr>
              <w:t xml:space="preserve">22 tecnologías</w:t>
            </w:r>
          </w:p>
        </w:tc>
        <w:tc>
          <w:tcPr>
            <w:tcW w:type="dxa" w:w="4626"/>
            <w:tcBorders>
              <w:top w:val="single" w:color="CBD5E1" w:sz="4"/>
              <w:left w:val="single" w:color="CBD5E1" w:sz="4"/>
              <w:bottom w:val="single" w:color="CBD5E1" w:sz="4"/>
              <w:right w:val="single" w:color="CBD5E1" w:sz="4"/>
            </w:tcBorders>
            <w:shd w:fill="F5F7FF" w:color="auto" w:val="clear"/>
            <w:tcMar>
              <w:top w:type="dxa" w:w="60"/>
              <w:left w:type="dxa" w:w="100"/>
              <w:bottom w:type="dxa" w:w="60"/>
              <w:right w:type="dxa" w:w="100"/>
            </w:tcMar>
          </w:tcPr>
          <w:p>
            <w:pPr>
              <w:spacing w:after="0" w:line="252"/>
            </w:pPr>
            <w:r>
              <w:rPr>
                <w:b w:val="false"/>
                <w:bCs w:val="false"/>
                <w:sz w:val="18"/>
                <w:szCs w:val="18"/>
              </w:rPr>
              <w:t xml:space="preserve">Buenas prácticas por framework: React, Vue, Flutter, SwiftUI, Jetpack Compose, Tailwind…</w:t>
            </w:r>
          </w:p>
        </w:tc>
      </w:tr>
    </w:tbl>
    <w:p>
      <w:pPr>
        <w:spacing w:after="200" w:before="60"/>
        <w:jc w:val="center"/>
      </w:pPr>
      <w:r>
        <w:rPr>
          <w:i/>
          <w:iCs/>
          <w:color w:val="475569"/>
          <w:sz w:val="18"/>
          <w:szCs w:val="18"/>
        </w:rPr>
        <w:t xml:space="preserve">Tabla 8. Base de conocimiento de la skill.</w:t>
      </w:r>
    </w:p>
    <w:p>
      <w:pPr>
        <w:pStyle w:val="Heading2"/>
      </w:pPr>
      <w:r>
        <w:t xml:space="preserve">5.2 Cómo funciona</w:t>
      </w:r>
    </w:p>
    <w:p>
      <w:pPr>
        <w:spacing w:after="120" w:line="276"/>
      </w:pPr>
      <w:r>
        <w:t xml:space="preserve">Cuando se pide a la IA crear o revisar una interfaz, la skill sigue un flujo de cuatro pasos: (1) analizar los requisitos (tipo de producto, público, plataforma), (2) generar un sistema de diseño completo, (3) buscar directrices concretas por dominio (</w:t>
      </w:r>
      <w:r>
        <w:rPr>
          <w:rFonts w:ascii="Consolas" w:cs="Consolas" w:eastAsia="Consolas" w:hAnsi="Consolas"/>
          <w:color w:val="3730A3"/>
          <w:sz w:val="20"/>
          <w:szCs w:val="20"/>
        </w:rPr>
        <w:t xml:space="preserve">ux</w:t>
      </w:r>
      <w:r>
        <w:t xml:space="preserve">, </w:t>
      </w:r>
      <w:r>
        <w:rPr>
          <w:rFonts w:ascii="Consolas" w:cs="Consolas" w:eastAsia="Consolas" w:hAnsi="Consolas"/>
          <w:color w:val="3730A3"/>
          <w:sz w:val="20"/>
          <w:szCs w:val="20"/>
        </w:rPr>
        <w:t xml:space="preserve">color</w:t>
      </w:r>
      <w:r>
        <w:t xml:space="preserve">, </w:t>
      </w:r>
      <w:r>
        <w:rPr>
          <w:rFonts w:ascii="Consolas" w:cs="Consolas" w:eastAsia="Consolas" w:hAnsi="Consolas"/>
          <w:color w:val="3730A3"/>
          <w:sz w:val="20"/>
          <w:szCs w:val="20"/>
        </w:rPr>
        <w:t xml:space="preserve">typography</w:t>
      </w:r>
      <w:r>
        <w:t xml:space="preserve">, </w:t>
      </w:r>
      <w:r>
        <w:rPr>
          <w:rFonts w:ascii="Consolas" w:cs="Consolas" w:eastAsia="Consolas" w:hAnsi="Consolas"/>
          <w:color w:val="3730A3"/>
          <w:sz w:val="20"/>
          <w:szCs w:val="20"/>
        </w:rPr>
        <w:t xml:space="preserve">chart</w:t>
      </w:r>
      <w:r>
        <w:t xml:space="preserve">…) y (4) aplicar buenas prácticas del framework. Antes de entregar, aplica una lista de comprobación (contraste, foco visible, objetivos táctiles, no usar emojis como iconos, etc.). Las reglas se ordenan en 10 categorías por prioridad: accesibilidad, interacción táctil, rendimiento, estilo, diseño adaptable, tipografía y color, animación, formularios, navegación y gráficos.</w:t>
      </w:r>
    </w:p>
    <w:p>
      <w:pPr>
        <w:pStyle w:val="Heading2"/>
      </w:pPr>
      <w:r>
        <w:t xml:space="preserve">5.3 Instalación y uso</w:t>
      </w:r>
    </w:p>
    <w:p>
      <w:pPr>
        <w:shd w:fill="F1F5F9" w:color="auto" w:val="clear"/>
        <w:spacing w:after="0" w:line="240"/>
        <w:ind w:left="200" w:right="200"/>
      </w:pPr>
      <w:r>
        <w:rPr>
          <w:rFonts w:ascii="Consolas" w:cs="Consolas" w:eastAsia="Consolas" w:hAnsi="Consolas"/>
          <w:color w:val="0F172A"/>
          <w:sz w:val="17"/>
          <w:szCs w:val="17"/>
        </w:rPr>
        <w:t xml:space="preserve"># Instalar en Claude Code como plugin</w:t>
      </w:r>
    </w:p>
    <w:p>
      <w:pPr>
        <w:shd w:fill="F1F5F9" w:color="auto" w:val="clear"/>
        <w:spacing w:after="0" w:line="240"/>
        <w:ind w:left="200" w:right="200"/>
      </w:pPr>
      <w:r>
        <w:rPr>
          <w:rFonts w:ascii="Consolas" w:cs="Consolas" w:eastAsia="Consolas" w:hAnsi="Consolas"/>
          <w:color w:val="0F172A"/>
          <w:sz w:val="17"/>
          <w:szCs w:val="17"/>
        </w:rPr>
        <w:t xml:space="preserve">/plugin marketplace add nextlevelbuilder/ui-ux-pro-max-skill</w:t>
      </w:r>
    </w:p>
    <w:p>
      <w:pPr>
        <w:shd w:fill="F1F5F9" w:color="auto" w:val="clear"/>
        <w:spacing w:after="0" w:line="240"/>
        <w:ind w:left="200" w:right="200"/>
      </w:pPr>
      <w:r>
        <w:rPr>
          <w:rFonts w:ascii="Consolas" w:cs="Consolas" w:eastAsia="Consolas" w:hAnsi="Consolas"/>
          <w:color w:val="0F172A"/>
          <w:sz w:val="17"/>
          <w:szCs w:val="17"/>
        </w:rPr>
        <w:t xml:space="preserve">/plugin install ui-ux-pro-max@ui-ux-pro-max-skill</w:t>
      </w:r>
    </w:p>
    <w:p>
      <w:pPr>
        <w:shd w:fill="F1F5F9" w:color="auto" w:val="clear"/>
        <w:spacing w:after="0" w:line="240"/>
        <w:ind w:left="200" w:right="200"/>
      </w:pPr>
      <w:r>
        <w:rPr>
          <w:rFonts w:ascii="Consolas" w:cs="Consolas" w:eastAsia="Consolas" w:hAnsi="Consolas"/>
          <w:color w:val="0F172A"/>
          <w:sz w:val="17"/>
          <w:szCs w:val="17"/>
        </w:rPr>
        <w:t xml:space="preserve"> </w:t>
      </w:r>
    </w:p>
    <w:p>
      <w:pPr>
        <w:shd w:fill="F1F5F9" w:color="auto" w:val="clear"/>
        <w:spacing w:after="0" w:line="240"/>
        <w:ind w:left="200" w:right="200"/>
      </w:pPr>
      <w:r>
        <w:rPr>
          <w:rFonts w:ascii="Consolas" w:cs="Consolas" w:eastAsia="Consolas" w:hAnsi="Consolas"/>
          <w:color w:val="0F172A"/>
          <w:sz w:val="17"/>
          <w:szCs w:val="17"/>
        </w:rPr>
        <w:t xml:space="preserve"># o con el instalador</w:t>
      </w:r>
    </w:p>
    <w:p>
      <w:pPr>
        <w:shd w:fill="F1F5F9" w:color="auto" w:val="clear"/>
        <w:spacing w:after="0" w:line="240"/>
        <w:ind w:left="200" w:right="200"/>
      </w:pPr>
      <w:r>
        <w:rPr>
          <w:rFonts w:ascii="Consolas" w:cs="Consolas" w:eastAsia="Consolas" w:hAnsi="Consolas"/>
          <w:color w:val="0F172A"/>
          <w:sz w:val="17"/>
          <w:szCs w:val="17"/>
        </w:rPr>
        <w:t xml:space="preserve">npm install -g ui-ux-pro-max-cli</w:t>
      </w:r>
    </w:p>
    <w:p>
      <w:pPr>
        <w:shd w:fill="F1F5F9" w:color="auto" w:val="clear"/>
        <w:spacing w:after="0" w:line="240"/>
        <w:ind w:left="200" w:right="200"/>
      </w:pPr>
      <w:r>
        <w:rPr>
          <w:rFonts w:ascii="Consolas" w:cs="Consolas" w:eastAsia="Consolas" w:hAnsi="Consolas"/>
          <w:color w:val="0F172A"/>
          <w:sz w:val="17"/>
          <w:szCs w:val="17"/>
        </w:rPr>
        <w:t xml:space="preserve">uipro init --ai claude</w:t>
      </w:r>
    </w:p>
    <w:p>
      <w:pPr>
        <w:shd w:fill="F1F5F9" w:color="auto" w:val="clear"/>
        <w:spacing w:after="0" w:line="240"/>
        <w:ind w:left="200" w:right="200"/>
      </w:pPr>
      <w:r>
        <w:rPr>
          <w:rFonts w:ascii="Consolas" w:cs="Consolas" w:eastAsia="Consolas" w:hAnsi="Consolas"/>
          <w:color w:val="0F172A"/>
          <w:sz w:val="17"/>
          <w:szCs w:val="17"/>
        </w:rPr>
        <w:t xml:space="preserve"> </w:t>
      </w:r>
    </w:p>
    <w:p>
      <w:pPr>
        <w:shd w:fill="F1F5F9" w:color="auto" w:val="clear"/>
        <w:spacing w:after="0" w:line="240"/>
        <w:ind w:left="200" w:right="200"/>
      </w:pPr>
      <w:r>
        <w:rPr>
          <w:rFonts w:ascii="Consolas" w:cs="Consolas" w:eastAsia="Consolas" w:hAnsi="Consolas"/>
          <w:color w:val="0F172A"/>
          <w:sz w:val="17"/>
          <w:szCs w:val="17"/>
        </w:rPr>
        <w:t xml:space="preserve"># Uso directo de los scripts (Python 3, sin dependencias)</w:t>
      </w:r>
    </w:p>
    <w:p>
      <w:pPr>
        <w:shd w:fill="F1F5F9" w:color="auto" w:val="clear"/>
        <w:spacing w:after="0" w:line="240"/>
        <w:ind w:left="200" w:right="200"/>
      </w:pPr>
      <w:r>
        <w:rPr>
          <w:rFonts w:ascii="Consolas" w:cs="Consolas" w:eastAsia="Consolas" w:hAnsi="Consolas"/>
          <w:color w:val="0F172A"/>
          <w:sz w:val="17"/>
          <w:szCs w:val="17"/>
        </w:rPr>
        <w:t xml:space="preserve">python3 scripts/search.py "form error validation" --domain ux -n 3</w:t>
      </w:r>
    </w:p>
    <w:p>
      <w:pPr>
        <w:shd w:fill="F1F5F9" w:color="auto" w:val="clear"/>
        <w:spacing w:after="160" w:line="240"/>
        <w:ind w:left="200" w:right="200"/>
      </w:pPr>
      <w:r>
        <w:rPr>
          <w:rFonts w:ascii="Consolas" w:cs="Consolas" w:eastAsia="Consolas" w:hAnsi="Consolas"/>
          <w:color w:val="0F172A"/>
          <w:sz w:val="17"/>
          <w:szCs w:val="17"/>
        </w:rPr>
        <w:t xml:space="preserve">python3 scripts/search.py "educational platform" --design-system -p "Mi proyecto"</w:t>
      </w:r>
    </w:p>
    <w:p>
      <w:pPr>
        <w:pStyle w:val="Heading2"/>
      </w:pPr>
      <w:r>
        <w:t xml:space="preserve">5.4 Cómo lo hemos aplicado en nuestro proyecto</w:t>
      </w:r>
    </w:p>
    <w:p>
      <w:pPr>
        <w:pStyle w:val="ListParagraph"/>
        <w:numPr>
          <w:ilvl w:val="0"/>
          <w:numId w:val="2"/>
        </w:numPr>
        <w:spacing w:after="60" w:line="264"/>
      </w:pPr>
      <w:r>
        <w:rPr>
          <w:b/>
          <w:bCs/>
        </w:rPr>
        <w:t xml:space="preserve">Fuente de reglas de la métrica (03):</w:t>
      </w:r>
      <w:r>
        <w:t xml:space="preserve"> las severidades Crítica/Alta/Media/Baja y las categorías de </w:t>
      </w:r>
      <w:r>
        <w:rPr>
          <w:rFonts w:ascii="Consolas" w:cs="Consolas" w:eastAsia="Consolas" w:hAnsi="Consolas"/>
          <w:color w:val="3730A3"/>
          <w:sz w:val="20"/>
          <w:szCs w:val="20"/>
        </w:rPr>
        <w:t xml:space="preserve">ux-guidelines.csv</w:t>
      </w:r>
      <w:r>
        <w:t xml:space="preserve"> se han usado para definir los pesos y las comprobaciones de cada dimensión.</w:t>
      </w:r>
    </w:p>
    <w:p>
      <w:pPr>
        <w:pStyle w:val="ListParagraph"/>
        <w:numPr>
          <w:ilvl w:val="0"/>
          <w:numId w:val="2"/>
        </w:numPr>
        <w:spacing w:after="60" w:line="264"/>
      </w:pPr>
      <w:r>
        <w:rPr>
          <w:b/>
          <w:bCs/>
        </w:rPr>
        <w:t xml:space="preserve">Base de conocimiento del auditor (04):</w:t>
      </w:r>
      <w:r>
        <w:t xml:space="preserve"> el auditor incluye </w:t>
      </w:r>
      <w:r>
        <w:rPr>
          <w:rFonts w:ascii="Consolas" w:cs="Consolas" w:eastAsia="Consolas" w:hAnsi="Consolas"/>
          <w:color w:val="3730A3"/>
          <w:sz w:val="20"/>
          <w:szCs w:val="20"/>
        </w:rPr>
        <w:t xml:space="preserve">ux-guidelines.csv</w:t>
      </w:r>
      <w:r>
        <w:t xml:space="preserve"> y, para cada fallo, muestra la directriz correspondiente, buscada con el mismo método BM25 que </w:t>
      </w:r>
      <w:r>
        <w:rPr>
          <w:rFonts w:ascii="Consolas" w:cs="Consolas" w:eastAsia="Consolas" w:hAnsi="Consolas"/>
          <w:color w:val="3730A3"/>
          <w:sz w:val="20"/>
          <w:szCs w:val="20"/>
        </w:rPr>
        <w:t xml:space="preserve">search.py</w:t>
      </w:r>
      <w:r>
        <w:t xml:space="preserve">. Por ejemplo, al detectar un formulario cuyos errores solo se marcan en rojo, la búsqueda </w:t>
      </w:r>
      <w:r>
        <w:rPr>
          <w:rFonts w:ascii="Consolas" w:cs="Consolas" w:eastAsia="Consolas" w:hAnsi="Consolas"/>
          <w:color w:val="3730A3"/>
          <w:sz w:val="20"/>
          <w:szCs w:val="20"/>
        </w:rPr>
        <w:t xml:space="preserve">"form error validation" --domain ux</w:t>
      </w:r>
      <w:r>
        <w:t xml:space="preserve"> devuelve la regla «Focusable Error Summary» (severidad Alta): colocar un resumen de errores enfocable al inicio del formulario y enlazar cada error a su campo.</w:t>
      </w:r>
    </w:p>
    <w:p>
      <w:pPr>
        <w:pStyle w:val="ListParagraph"/>
        <w:numPr>
          <w:ilvl w:val="0"/>
          <w:numId w:val="2"/>
        </w:numPr>
        <w:spacing w:after="60" w:line="264"/>
      </w:pPr>
      <w:r>
        <w:rPr>
          <w:b/>
          <w:bCs/>
        </w:rPr>
        <w:t xml:space="preserve">Generación de interfaces:</w:t>
      </w:r>
      <w:r>
        <w:t xml:space="preserve"> el generador de sistemas de diseño propone patrón, estilo, paleta, tipografía y checklist de entrega; lo usaremos para diseñar el propio informe HTML del auditor.</w:t>
      </w:r>
    </w:p>
    <w:p>
      <w:pPr>
        <w:pBdr>
          <w:left w:val="single" w:color="4F46E5" w:sz="18" w:space="8"/>
        </w:pBdr>
        <w:shd w:fill="EEF2FF" w:color="auto" w:val="clear"/>
        <w:spacing w:after="160" w:before="80" w:line="264"/>
        <w:ind w:left="160"/>
      </w:pPr>
      <w:r>
        <w:rPr>
          <w:b/>
          <w:bCs/>
        </w:rPr>
        <w:t xml:space="preserve">En resumen:</w:t>
      </w:r>
      <w:r>
        <w:t xml:space="preserve"> UI UX Pro Max aporta el </w:t>
      </w:r>
      <w:r>
        <w:rPr>
          <w:b/>
          <w:bCs/>
        </w:rPr>
        <w:t xml:space="preserve">conocimiento</w:t>
      </w:r>
      <w:r>
        <w:t xml:space="preserve"> (qué es una buena interfaz y cómo arreglarla); nuestro trabajo aporta la </w:t>
      </w:r>
      <w:r>
        <w:rPr>
          <w:b/>
          <w:bCs/>
        </w:rPr>
        <w:t xml:space="preserve">medición</w:t>
      </w:r>
      <w:r>
        <w:t xml:space="preserve"> (Índice IUX) y la </w:t>
      </w:r>
      <w:r>
        <w:rPr>
          <w:b/>
          <w:bCs/>
        </w:rPr>
        <w:t xml:space="preserve">herramienta</w:t>
      </w:r>
      <w:r>
        <w:t xml:space="preserve"> que lo aplica de forma automática y repetible (UX-Auditor).</w:t>
      </w:r>
    </w:p>
    <w:p>
      <w:pPr>
        <w:pStyle w:val="Heading2"/>
      </w:pPr>
      <w:r>
        <w:t xml:space="preserve">Referencias</w:t>
      </w:r>
    </w:p>
    <w:p>
      <w:pPr>
        <w:pStyle w:val="ListParagraph"/>
        <w:numPr>
          <w:ilvl w:val="0"/>
          <w:numId w:val="2"/>
        </w:numPr>
        <w:spacing w:after="60" w:line="264"/>
      </w:pPr>
      <w:r>
        <w:t xml:space="preserve">ISO 9241-11:2018, ISO 9241-110:2020, ISO 9241-210:2019, ISO/IEC 25010:2023.</w:t>
      </w:r>
    </w:p>
    <w:p>
      <w:pPr>
        <w:pStyle w:val="ListParagraph"/>
        <w:numPr>
          <w:ilvl w:val="0"/>
          <w:numId w:val="2"/>
        </w:numPr>
        <w:spacing w:after="60" w:line="264"/>
      </w:pPr>
      <w:r>
        <w:t xml:space="preserve">W3C. Web Content Accessibility Guidelines (WCAG) 2.2 — w3.org/TR/WCAG22. ISO/IEC 40500:2025 (w3.org/WAI/news/2025-10-21/wcag22-iso).</w:t>
      </w:r>
    </w:p>
    <w:p>
      <w:pPr>
        <w:pStyle w:val="ListParagraph"/>
        <w:numPr>
          <w:ilvl w:val="0"/>
          <w:numId w:val="2"/>
        </w:numPr>
        <w:spacing w:after="60" w:line="264"/>
      </w:pPr>
      <w:r>
        <w:t xml:space="preserve">W3C. WCAG 3.0, borrador de trabajo de marzo de 2026 — w3.org/TR/wcag-3.0.</w:t>
      </w:r>
    </w:p>
    <w:p>
      <w:pPr>
        <w:pStyle w:val="ListParagraph"/>
        <w:numPr>
          <w:ilvl w:val="0"/>
          <w:numId w:val="2"/>
        </w:numPr>
        <w:spacing w:after="60" w:line="264"/>
      </w:pPr>
      <w:r>
        <w:t xml:space="preserve">Directiva (UE) 2019/882; Ley 11/2023; Real Decreto 1112/2018; EN 301 549.</w:t>
      </w:r>
    </w:p>
    <w:p>
      <w:pPr>
        <w:pStyle w:val="ListParagraph"/>
        <w:numPr>
          <w:ilvl w:val="0"/>
          <w:numId w:val="2"/>
        </w:numPr>
        <w:spacing w:after="60" w:line="264"/>
      </w:pPr>
      <w:r>
        <w:t xml:space="preserve">W3C Design Tokens Community Group. Especificación estable 2025.10 — designtokens.org.</w:t>
      </w:r>
    </w:p>
    <w:p>
      <w:pPr>
        <w:pStyle w:val="ListParagraph"/>
        <w:numPr>
          <w:ilvl w:val="0"/>
          <w:numId w:val="2"/>
        </w:numPr>
        <w:spacing w:after="60" w:line="264"/>
      </w:pPr>
      <w:r>
        <w:t xml:space="preserve">Nielsen, J. 10 Usability Heuristics for User Interface Design — nngroup.com.</w:t>
      </w:r>
    </w:p>
    <w:p>
      <w:pPr>
        <w:pStyle w:val="ListParagraph"/>
        <w:numPr>
          <w:ilvl w:val="0"/>
          <w:numId w:val="2"/>
        </w:numPr>
        <w:spacing w:after="60" w:line="264"/>
      </w:pPr>
      <w:r>
        <w:t xml:space="preserve">Brooke, J. SUS: A «quick and dirty» usability scale (1996).</w:t>
      </w:r>
    </w:p>
    <w:p>
      <w:pPr>
        <w:pStyle w:val="ListParagraph"/>
        <w:numPr>
          <w:ilvl w:val="0"/>
          <w:numId w:val="2"/>
        </w:numPr>
        <w:spacing w:after="60" w:line="264"/>
      </w:pPr>
      <w:r>
        <w:t xml:space="preserve">Krug, S. No me hagas pensar. Una aproximación a la usabilidad web (Don't Make Me Think, Revisited, 3.ª ed.). New Riders, 2014; Anaya Multimedia.</w:t>
      </w:r>
    </w:p>
    <w:p>
      <w:pPr>
        <w:pStyle w:val="ListParagraph"/>
        <w:numPr>
          <w:ilvl w:val="0"/>
          <w:numId w:val="2"/>
        </w:numPr>
        <w:spacing w:after="60" w:line="264"/>
      </w:pPr>
      <w:r>
        <w:t xml:space="preserve">Krug, S. Haz fácil lo imposible: la guía para detectar y determinar los problemas de usabilidad (Rocket Surgery Made Easy). New Riders / Anaya, 2010.</w:t>
      </w:r>
    </w:p>
    <w:p>
      <w:pPr>
        <w:pStyle w:val="ListParagraph"/>
        <w:numPr>
          <w:ilvl w:val="0"/>
          <w:numId w:val="2"/>
        </w:numPr>
        <w:spacing w:after="60" w:line="264"/>
      </w:pPr>
      <w:r>
        <w:t xml:space="preserve">Amershi, S. et al. Guidelines for Human-AI Interaction (CHI 2019).</w:t>
      </w:r>
    </w:p>
    <w:p>
      <w:pPr>
        <w:pStyle w:val="ListParagraph"/>
        <w:numPr>
          <w:ilvl w:val="0"/>
          <w:numId w:val="2"/>
        </w:numPr>
        <w:spacing w:after="60" w:line="264"/>
      </w:pPr>
      <w:r>
        <w:t xml:space="preserve">Google. Web Vitals — web.dev/vitals.</w:t>
      </w:r>
    </w:p>
    <w:p>
      <w:pPr>
        <w:pStyle w:val="ListParagraph"/>
        <w:numPr>
          <w:ilvl w:val="0"/>
          <w:numId w:val="2"/>
        </w:numPr>
        <w:spacing w:after="60" w:line="264"/>
      </w:pPr>
      <w:r>
        <w:t xml:space="preserve">Deque Systems. Automated Testing Study Identifies 57 Percent of Digital Accessibility Issues — deque.com.</w:t>
      </w:r>
    </w:p>
    <w:p>
      <w:pPr>
        <w:pStyle w:val="ListParagraph"/>
        <w:numPr>
          <w:ilvl w:val="0"/>
          <w:numId w:val="2"/>
        </w:numPr>
        <w:spacing w:after="60" w:line="264"/>
      </w:pPr>
      <w:r>
        <w:t xml:space="preserve">Comisión Europea. Sweep on dark patterns in online shops, IP/23/418 (2023).</w:t>
      </w:r>
    </w:p>
    <w:p>
      <w:pPr>
        <w:pStyle w:val="ListParagraph"/>
        <w:numPr>
          <w:ilvl w:val="0"/>
          <w:numId w:val="2"/>
        </w:numPr>
        <w:spacing w:after="60" w:line="264"/>
      </w:pPr>
      <w:r>
        <w:t xml:space="preserve">AEPD. Guía sobre el uso de las cookies (actualización de julio de 2023).</w:t>
      </w:r>
    </w:p>
    <w:p>
      <w:pPr>
        <w:pStyle w:val="ListParagraph"/>
        <w:numPr>
          <w:ilvl w:val="0"/>
          <w:numId w:val="2"/>
        </w:numPr>
        <w:spacing w:after="60" w:line="264"/>
      </w:pPr>
      <w:r>
        <w:t xml:space="preserve">EDPB. Guidelines 03/2022 on deceptive design patterns in social media platform interfaces.</w:t>
      </w:r>
    </w:p>
    <w:p>
      <w:pPr>
        <w:pStyle w:val="ListParagraph"/>
        <w:numPr>
          <w:ilvl w:val="0"/>
          <w:numId w:val="2"/>
        </w:numPr>
        <w:spacing w:after="60" w:line="264"/>
      </w:pPr>
      <w:r>
        <w:t xml:space="preserve">Sustainable Web Design. Estimating Digital Emissions (modelo v4) y Digital Carbon Ratings — sustainablewebdesign.org.</w:t>
      </w:r>
    </w:p>
    <w:p>
      <w:pPr>
        <w:pStyle w:val="ListParagraph"/>
        <w:numPr>
          <w:ilvl w:val="0"/>
          <w:numId w:val="2"/>
        </w:numPr>
        <w:spacing w:after="60" w:line="264"/>
      </w:pPr>
      <w:r>
        <w:t xml:space="preserve">Fernández Huerta, J. Medidas sencillas de lecturabilidad. Consigna, 214 (1959).</w:t>
      </w:r>
    </w:p>
    <w:p>
      <w:pPr>
        <w:pStyle w:val="ListParagraph"/>
        <w:numPr>
          <w:ilvl w:val="0"/>
          <w:numId w:val="2"/>
        </w:numPr>
        <w:spacing w:after="60" w:line="264"/>
      </w:pPr>
      <w:r>
        <w:t xml:space="preserve">NextLevelBuilder. UI UX Pro Max Skill — github.com/nextlevelbuilder/ui-ux-pro-max-skill.</w:t>
      </w:r>
    </w:p>
    <w:sectPr>
      <w:headerReference w:type="default" r:id="rId7"/>
      <w:footerReference w:type="default" r:id="rId8"/>
      <w:pgSz w:w="11906" w:h="16838" w:orient="portrait"/>
      <w:pgMar w:top="1440" w:right="1440" w:bottom="13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026"/>
      </w:tabs>
    </w:pPr>
    <w:r>
      <w:rPr>
        <w:color w:val="475569"/>
        <w:sz w:val="16"/>
        <w:szCs w:val="16"/>
      </w:rPr>
      <w:t xml:space="preserve">Digitalización Avanzada · 2º DAM</w:t>
    </w:r>
    <w:r>
      <w:rPr>
        <w:color w:val="475569"/>
        <w:sz w:val="16"/>
        <w:szCs w:val="16"/>
      </w:rPr>
      <w:t xml:space="preserve">	Equipo UX — Experiencia de Usuario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80" w:hanging="270"/>
      </w:pPr>
    </w:lvl>
  </w:abstractNum>
  <w:abstractNum w:abstractNumId="3"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7"/>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4F46E5" w:sz="12" w:space="6"/>
      </w:pBdr>
      <w:spacing w:after="240" w:before="0"/>
      <w:outlineLvl w:val="0"/>
    </w:pPr>
    <w:rPr>
      <w:b/>
      <w:bCs/>
      <w:color w:val="1E1B4B"/>
      <w:sz w:val="36"/>
      <w:szCs w:val="36"/>
    </w:rPr>
  </w:style>
  <w:style w:type="paragraph" w:styleId="Heading2">
    <w:name w:val="Heading 2"/>
    <w:basedOn w:val="Normal"/>
    <w:next w:val="Normal"/>
    <w:qFormat/>
    <w:pPr>
      <w:keepNext/>
      <w:spacing w:after="120" w:before="280"/>
      <w:outlineLvl w:val="1"/>
    </w:pPr>
    <w:rPr>
      <w:b/>
      <w:bCs/>
      <w:color w:val="4F46E5"/>
      <w:sz w:val="28"/>
      <w:szCs w:val="28"/>
    </w:rPr>
  </w:style>
  <w:style w:type="paragraph" w:styleId="Heading3">
    <w:name w:val="Heading 3"/>
    <w:basedOn w:val="Normal"/>
    <w:next w:val="Normal"/>
    <w:qFormat/>
    <w:pPr>
      <w:keepNext/>
      <w:spacing w:after="80" w:before="200"/>
      <w:outlineLvl w:val="2"/>
    </w:pPr>
    <w:rPr>
      <w:b/>
      <w:bCs/>
      <w:color w:val="1E1B4B"/>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010335fa2bf102f62bfdb445f549d5976138f040.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Trabajo a Desarrollar del Equipo UX</dc:title>
  <dc:creator>Equipo UX</dc:creator>
  <cp:lastModifiedBy>Un-named</cp:lastModifiedBy>
  <cp:revision>1</cp:revision>
  <dcterms:created xsi:type="dcterms:W3CDTF">2026-10-14T14:45:48.989Z</dcterms:created>
  <dcterms:modified xsi:type="dcterms:W3CDTF">2026-10-14T14:45:48.990Z</dcterms:modified>
</cp:coreProperties>
</file>

<file path=docProps/custom.xml><?xml version="1.0" encoding="utf-8"?>
<Properties xmlns="http://schemas.openxmlformats.org/officeDocument/2006/custom-properties" xmlns:vt="http://schemas.openxmlformats.org/officeDocument/2006/docPropsVTypes"/>
</file>