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Análisis de Brechas (Gap Analysis): Gestión de Servicios e Infraestructura TI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Preparado por:</w:t>
      </w:r>
      <w:r>
        <w:rPr>
          <w:rFonts w:ascii="Google Sans Text;sans-serif" w:hAnsi="Google Sans Text;sans-serif"/>
        </w:rPr>
        <w:t xml:space="preserve"> Jefatura de Tecnología y Transformación Digital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Organización:</w:t>
      </w:r>
      <w:r>
        <w:rPr>
          <w:rFonts w:ascii="Google Sans Text;sans-serif" w:hAnsi="Google Sans Text;sans-serif"/>
        </w:rPr>
        <w:t xml:space="preserve"> Inversiones Avante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He finalizado la revisión del estado actual de nuestras operaciones tecnológicas basándome en la matriz de responsabilidades e implementaciones. Tras contrastar nuestra realidad operativa frente a los marcos de trabajo de </w:t>
      </w:r>
      <w:r>
        <w:rPr>
          <w:rFonts w:ascii="Google Sans Text;sans-serif" w:hAnsi="Google Sans Text;sans-serif"/>
          <w:b/>
        </w:rPr>
        <w:t>ITIL 4</w:t>
      </w:r>
      <w:r>
        <w:rPr>
          <w:rFonts w:ascii="Google Sans Text;sans-serif" w:hAnsi="Google Sans Text;sans-serif"/>
        </w:rPr>
        <w:t xml:space="preserve"> y </w:t>
      </w:r>
      <w:r>
        <w:rPr>
          <w:rFonts w:ascii="Google Sans Text;sans-serif" w:hAnsi="Google Sans Text;sans-serif"/>
          <w:b/>
        </w:rPr>
        <w:t>COBIT 2019</w:t>
      </w:r>
      <w:r>
        <w:rPr>
          <w:rFonts w:ascii="Google Sans Text;sans-serif" w:hAnsi="Google Sans Text;sans-serif"/>
        </w:rPr>
        <w:t>, he identificado deficiencias críticas y riesgos inminentes para Inversiones Avante derivados de la tercerización casi total con el proveedor IPCOM.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El hallazgo más alarmante es que </w:t>
      </w:r>
      <w:r>
        <w:rPr>
          <w:rFonts w:ascii="Google Sans Text;sans-serif" w:hAnsi="Google Sans Text;sans-serif"/>
          <w:b/>
        </w:rPr>
        <w:t>no existe un contrato formal firmado</w:t>
      </w:r>
      <w:r>
        <w:rPr>
          <w:rFonts w:ascii="Google Sans Text;sans-serif" w:hAnsi="Google Sans Text;sans-serif"/>
        </w:rPr>
        <w:t xml:space="preserve"> que regule esta relación comercial. Operar sin Acuerdos de Nivel de Servicio (SLA), sin Acuerdos de Confidencialidad (NDA), y sin cláusulas de Propiedad Intelectual o salvaguarda de activos intangibles y tangibles, nos deja en una posición de vulnerabilidad extrema.</w:t>
      </w:r>
    </w:p>
    <w:p>
      <w:pPr>
        <w:pStyle w:val="Heading3"/>
        <w:bidi w:val="0"/>
        <w:spacing w:lineRule="auto" w:line="274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Hallazgos Críticos Generales (Nivel Directivo)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Gestión de Incidentes Deficiente (Reacción reactiva y no controlada):</w:t>
      </w:r>
      <w:r>
        <w:rPr>
          <w:rFonts w:ascii="Google Sans Text;sans-serif" w:hAnsi="Google Sans Text;sans-serif"/>
        </w:rPr>
        <w:t xml:space="preserve"> Al no contar con SLAs definidos (violación de la práctica de </w:t>
      </w:r>
      <w:r>
        <w:rPr>
          <w:rFonts w:ascii="Google Sans Text;sans-serif" w:hAnsi="Google Sans Text;sans-serif"/>
          <w:i/>
        </w:rPr>
        <w:t>Service Level Management</w:t>
      </w:r>
      <w:r>
        <w:rPr>
          <w:rFonts w:ascii="Google Sans Text;sans-serif" w:hAnsi="Google Sans Text;sans-serif"/>
        </w:rPr>
        <w:t xml:space="preserve"> de ITIL 4), la reacción ante caídas de sistemas críticos (como ERP, Hospitalización o Redes) depende enteramente de la disponibilidad arbitraria del proveedor. Esto se traduce en tiempos de inactividad prolongados y pérdida de ingresos.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Sobrecostos Ocultos por Cambios y Adquisiciones:</w:t>
      </w:r>
      <w:r>
        <w:rPr>
          <w:rFonts w:ascii="Google Sans Text;sans-serif" w:hAnsi="Google Sans Text;sans-serif"/>
        </w:rPr>
        <w:t xml:space="preserve"> Sin un marco contractual que fije tarifas, el modelo de "cobro por evento" o la cotización a demanda para cada cambio en el ERP/HIS o cada nueva adquisición de infraestructura genera un sobrecosto insostenible (</w:t>
      </w:r>
      <w:r>
        <w:rPr>
          <w:rFonts w:ascii="Google Sans Text;sans-serif" w:hAnsi="Google Sans Text;sans-serif"/>
          <w:i/>
        </w:rPr>
        <w:t>IT Asset Management</w:t>
      </w:r>
      <w:r>
        <w:rPr>
          <w:rFonts w:ascii="Google Sans Text;sans-serif" w:hAnsi="Google Sans Text;sans-serif"/>
        </w:rPr>
        <w:t xml:space="preserve"> y </w:t>
      </w:r>
      <w:r>
        <w:rPr>
          <w:rFonts w:ascii="Google Sans Text;sans-serif" w:hAnsi="Google Sans Text;sans-serif"/>
          <w:i/>
        </w:rPr>
        <w:t>Financial Management</w:t>
      </w:r>
      <w:r>
        <w:rPr>
          <w:rFonts w:ascii="Google Sans Text;sans-serif" w:hAnsi="Google Sans Text;sans-serif"/>
        </w:rPr>
        <w:t xml:space="preserve"> - ITIL 4).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Pérdida de Propiedad Intelectual (IP):</w:t>
      </w:r>
      <w:r>
        <w:rPr>
          <w:rFonts w:ascii="Google Sans Text;sans-serif" w:hAnsi="Google Sans Text;sans-serif"/>
        </w:rPr>
        <w:t xml:space="preserve"> Todo el desarrollo del código, bases de datos y personalizaciones del ERP/HIS en los que Inversiones Avante ha invertido, actualmente pertenecen de facto a IPCOM al no existir un contrato de cesión de derechos.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Riesgo Legal y de Cumplimiento (Software Pirata):</w:t>
      </w:r>
      <w:r>
        <w:rPr>
          <w:rFonts w:ascii="Google Sans Text;sans-serif" w:hAnsi="Google Sans Text;sans-serif"/>
        </w:rPr>
        <w:t xml:space="preserve"> La falta de un inventario físico y lógico gestionado por nosotros, sumado a la opacidad del proveedor, abre la puerta a la instalación de software no licenciado. Bajo COBIT 2019 (MEA03 - </w:t>
      </w:r>
      <w:r>
        <w:rPr>
          <w:rFonts w:ascii="Google Sans Text;sans-serif" w:hAnsi="Google Sans Text;sans-serif"/>
          <w:i/>
        </w:rPr>
        <w:t>Managed Compliance with External Requirements</w:t>
      </w:r>
      <w:r>
        <w:rPr>
          <w:rFonts w:ascii="Google Sans Text;sans-serif" w:hAnsi="Google Sans Text;sans-serif"/>
        </w:rPr>
        <w:t>), Inversiones Avante es el único responsable legal ante auditorías de fabricantes (ej. Microsoft, Oracle), enfrentando multas millonarias y daño reputacional.</w:t>
      </w:r>
    </w:p>
    <w:p>
      <w:pPr>
        <w:pStyle w:val="Lneahorizontaluser"/>
        <w:bidi w:val="0"/>
        <w:jc w:val="start"/>
        <w:rPr/>
      </w:pPr>
      <w:r>
        <w:rPr/>
      </w:r>
    </w:p>
    <w:p>
      <w:pPr>
        <w:pStyle w:val="Heading3"/>
        <w:bidi w:val="0"/>
        <w:spacing w:lineRule="auto" w:line="274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Análisis Detallado por Procesos y Sugerencias de Mitigación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A continuación, presento la tabla de análisis detallado por área y proceso, delineando el problema, las consecuencias directas y mis directrices para la mitigación.</w:t>
      </w:r>
    </w:p>
    <w:tbl>
      <w:tblPr>
        <w:tblW w:w="997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834"/>
        <w:gridCol w:w="1545"/>
        <w:gridCol w:w="2123"/>
        <w:gridCol w:w="2361"/>
        <w:gridCol w:w="2109"/>
      </w:tblGrid>
      <w:tr>
        <w:trPr>
          <w:tblHeader w:val="true"/>
        </w:trPr>
        <w:tc>
          <w:tcPr>
            <w:tcW w:w="183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user"/>
              <w:bidi w:val="0"/>
              <w:spacing w:lineRule="auto" w:line="274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 Text;sans-serif" w:hAnsi="Google Sans Text;sans-serif"/>
              </w:rPr>
              <w:t>Área / Sistema</w:t>
            </w:r>
          </w:p>
        </w:tc>
        <w:tc>
          <w:tcPr>
            <w:tcW w:w="154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user"/>
              <w:bidi w:val="0"/>
              <w:spacing w:lineRule="auto" w:line="274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 Text;sans-serif" w:hAnsi="Google Sans Text;sans-serif"/>
              </w:rPr>
              <w:t>Proceso(s)</w:t>
            </w:r>
          </w:p>
        </w:tc>
        <w:tc>
          <w:tcPr>
            <w:tcW w:w="212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user"/>
              <w:bidi w:val="0"/>
              <w:spacing w:lineRule="auto" w:line="274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 Text;sans-serif" w:hAnsi="Google Sans Text;sans-serif"/>
              </w:rPr>
              <w:t>Problema Operativo (Brecha)</w:t>
            </w:r>
          </w:p>
        </w:tc>
        <w:tc>
          <w:tcPr>
            <w:tcW w:w="236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user"/>
              <w:bidi w:val="0"/>
              <w:spacing w:lineRule="auto" w:line="274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 Text;sans-serif" w:hAnsi="Google Sans Text;sans-serif"/>
              </w:rPr>
              <w:t>Consecuencia (Riesgo/Impacto)</w:t>
            </w:r>
          </w:p>
        </w:tc>
        <w:tc>
          <w:tcPr>
            <w:tcW w:w="210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user"/>
              <w:bidi w:val="0"/>
              <w:spacing w:lineRule="auto" w:line="274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 Text;sans-serif" w:hAnsi="Google Sans Text;sans-serif"/>
              </w:rPr>
              <w:t>Sugerencia de Mitigación (ITIL 4 / COBIT 2019)</w:t>
            </w:r>
          </w:p>
        </w:tc>
      </w:tr>
      <w:tr>
        <w:trPr/>
        <w:tc>
          <w:tcPr>
            <w:tcW w:w="183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user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Desarrollo (ERP/HIS)</w:t>
            </w:r>
          </w:p>
        </w:tc>
        <w:tc>
          <w:tcPr>
            <w:tcW w:w="154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user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Facturación, Cuentas, Inventario, Ventas, Hospitalización, Laboratorio, Rayos X, etc.</w:t>
            </w:r>
          </w:p>
        </w:tc>
        <w:tc>
          <w:tcPr>
            <w:tcW w:w="212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user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Cero control sobre el código fuente, diccionarios de datos y arquitecturas. Dependencia absoluta de IPCOM para modificaciones operativas.</w:t>
            </w:r>
          </w:p>
        </w:tc>
        <w:tc>
          <w:tcPr>
            <w:tcW w:w="236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user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  <w:b/>
              </w:rPr>
              <w:t>Secuestro de datos (Vendor Lock-in):</w:t>
            </w:r>
            <w:r>
              <w:rPr>
                <w:rFonts w:ascii="Google Sans Text;sans-serif" w:hAnsi="Google Sans Text;sans-serif"/>
              </w:rPr>
              <w:t xml:space="preserve"> Imposibilidad de cambiar de proveedor. Caos si IPCOM cesa operaciones. Costos exorbitantes por cada personalización solicitada.</w:t>
            </w:r>
          </w:p>
        </w:tc>
        <w:tc>
          <w:tcPr>
            <w:tcW w:w="210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user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  <w:b/>
              </w:rPr>
              <w:t>COBIT (APO09/APO10):</w:t>
            </w:r>
            <w:r>
              <w:rPr>
                <w:rFonts w:ascii="Google Sans Text;sans-serif" w:hAnsi="Google Sans Text;sans-serif"/>
              </w:rPr>
              <w:t xml:space="preserve"> Exigir entrega inmediata de repositorios de código y respaldos de BD. Firmar NDA y contratos de Propiedad Intelectual con carácter retroactivo.</w:t>
            </w:r>
          </w:p>
        </w:tc>
      </w:tr>
      <w:tr>
        <w:trPr/>
        <w:tc>
          <w:tcPr>
            <w:tcW w:w="183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user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Desarrollo (Web &amp; Datos)</w:t>
            </w:r>
          </w:p>
        </w:tc>
        <w:tc>
          <w:tcPr>
            <w:tcW w:w="154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user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Página Web, Base de datos</w:t>
            </w:r>
          </w:p>
        </w:tc>
        <w:tc>
          <w:tcPr>
            <w:tcW w:w="212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user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La publicación de información e integridad de la base de datos está en manos de terceros sin supervisión de seguridad.</w:t>
            </w:r>
          </w:p>
        </w:tc>
        <w:tc>
          <w:tcPr>
            <w:tcW w:w="236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user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Fugas de información sensible de pacientes/clientes. Alteración de datos financieros o de salud sin trazabilidad (falta de logs de auditoría).</w:t>
            </w:r>
          </w:p>
        </w:tc>
        <w:tc>
          <w:tcPr>
            <w:tcW w:w="210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user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  <w:b/>
              </w:rPr>
              <w:t>ITIL 4 (Information Security Management):</w:t>
            </w:r>
            <w:r>
              <w:rPr>
                <w:rFonts w:ascii="Google Sans Text;sans-serif" w:hAnsi="Google Sans Text;sans-serif"/>
              </w:rPr>
              <w:t xml:space="preserve"> Implementar controles de acceso estandarizados. Reubicar la administración de la base de datos a control interno de TI.</w:t>
            </w:r>
          </w:p>
        </w:tc>
      </w:tr>
      <w:tr>
        <w:trPr/>
        <w:tc>
          <w:tcPr>
            <w:tcW w:w="183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user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Infraestructura (Core)</w:t>
            </w:r>
          </w:p>
        </w:tc>
        <w:tc>
          <w:tcPr>
            <w:tcW w:w="154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user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Redes, Cloud, Servidores, Telefonía IP</w:t>
            </w:r>
          </w:p>
        </w:tc>
        <w:tc>
          <w:tcPr>
            <w:tcW w:w="212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user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Inexistencia de un mapa topológico de red, inventario de direccionamiento IP o control del tenant en la nube.</w:t>
            </w:r>
          </w:p>
        </w:tc>
        <w:tc>
          <w:tcPr>
            <w:tcW w:w="236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user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Imposibilidad de resolver incidentes de conectividad sin IPCOM. Riesgo de que apaguen los servidores Cloud si hay una disputa no contractual.</w:t>
            </w:r>
          </w:p>
        </w:tc>
        <w:tc>
          <w:tcPr>
            <w:tcW w:w="210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user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  <w:b/>
              </w:rPr>
              <w:t>ITIL 4 (IT Asset Management):</w:t>
            </w:r>
            <w:r>
              <w:rPr>
                <w:rFonts w:ascii="Google Sans Text;sans-serif" w:hAnsi="Google Sans Text;sans-serif"/>
              </w:rPr>
              <w:t xml:space="preserve"> Realizar un levantamiento técnico exhaustivo e independiente para recuperar las credenciales root/admin de los equipos físicos y del Cloud.</w:t>
            </w:r>
          </w:p>
        </w:tc>
      </w:tr>
      <w:tr>
        <w:trPr/>
        <w:tc>
          <w:tcPr>
            <w:tcW w:w="183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user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Infraestructura (End User)</w:t>
            </w:r>
          </w:p>
        </w:tc>
        <w:tc>
          <w:tcPr>
            <w:tcW w:w="154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user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Soporte técnico, Impresoras, Celulares</w:t>
            </w:r>
          </w:p>
        </w:tc>
        <w:tc>
          <w:tcPr>
            <w:tcW w:w="212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user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Falta de inventario físico y lógico de equipos asignados a usuarios finales. Implementación de software de origen desconocido.</w:t>
            </w:r>
          </w:p>
        </w:tc>
        <w:tc>
          <w:tcPr>
            <w:tcW w:w="236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user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  <w:b/>
              </w:rPr>
              <w:t>Riesgo Legal:</w:t>
            </w:r>
            <w:r>
              <w:rPr>
                <w:rFonts w:ascii="Google Sans Text;sans-serif" w:hAnsi="Google Sans Text;sans-serif"/>
              </w:rPr>
              <w:t xml:space="preserve"> Uso potencial de software pirata en los endpoints. Robo o extravío de activos físicos sin posibilidad de deducir responsabilidades.</w:t>
            </w:r>
          </w:p>
        </w:tc>
        <w:tc>
          <w:tcPr>
            <w:tcW w:w="210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user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  <w:b/>
              </w:rPr>
              <w:t>COBIT (BAI09 - Managed Assets):</w:t>
            </w:r>
            <w:r>
              <w:rPr>
                <w:rFonts w:ascii="Google Sans Text;sans-serif" w:hAnsi="Google Sans Text;sans-serif"/>
              </w:rPr>
              <w:t xml:space="preserve"> Despliegue de un agente de escaneo de red (MDM/RMM) para inventariar licenciamiento y hardware. Legalizar software de inmediato.</w:t>
            </w:r>
          </w:p>
        </w:tc>
      </w:tr>
      <w:tr>
        <w:trPr/>
        <w:tc>
          <w:tcPr>
            <w:tcW w:w="183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user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Infraestructura (Seguridad)</w:t>
            </w:r>
          </w:p>
        </w:tc>
        <w:tc>
          <w:tcPr>
            <w:tcW w:w="154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user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Video vigilancia</w:t>
            </w:r>
          </w:p>
        </w:tc>
        <w:tc>
          <w:tcPr>
            <w:tcW w:w="212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user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Grabaciones de seguridad física y lógica bajo el control de personal externo sin filtros de confidencialidad.</w:t>
            </w:r>
          </w:p>
        </w:tc>
        <w:tc>
          <w:tcPr>
            <w:tcW w:w="236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user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Vulneración a la privacidad de Inversiones Avante. Uso indebido de material audiovisual sensible o pérdida de evidencia ante siniestros.</w:t>
            </w:r>
          </w:p>
        </w:tc>
        <w:tc>
          <w:tcPr>
            <w:tcW w:w="210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user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  <w:b/>
              </w:rPr>
              <w:t>COBIT (DSS05 - Managed Security Services):</w:t>
            </w:r>
            <w:r>
              <w:rPr>
                <w:rFonts w:ascii="Google Sans Text;sans-serif" w:hAnsi="Google Sans Text;sans-serif"/>
              </w:rPr>
              <w:t xml:space="preserve"> Aislar la red de CCTV. Cambiar contraseñas maestras de los DVR/NVR y restringir acceso exclusivo a Seguridad Interna/TI.</w:t>
            </w:r>
          </w:p>
        </w:tc>
      </w:tr>
    </w:tbl>
    <w:p>
      <w:pPr>
        <w:pStyle w:val="Heading3"/>
        <w:bidi w:val="0"/>
        <w:spacing w:lineRule="auto" w:line="274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Plan de Acción Inmediato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Como líder de esta unidad, recomiendo ejecutar las siguientes acciones en un plazo no mayor a 15 días: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Intervención Legal Inmediata:</w:t>
      </w:r>
      <w:r>
        <w:rPr>
          <w:rFonts w:ascii="Google Sans Text;sans-serif" w:hAnsi="Google Sans Text;sans-serif"/>
        </w:rPr>
        <w:t xml:space="preserve"> Redactar y forzar la firma de un Acuerdo de Confidencialidad (NDA), un Acuerdo de Nivel de Servicio (SLA) transitorio y un contrato de cesión de Propiedad Intelectual que cubra todos los sistemas (especialmente el ERPS/HIS y Bases de Datos).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Auditoría de Activos y Licenciamiento:</w:t>
      </w:r>
      <w:r>
        <w:rPr>
          <w:rFonts w:ascii="Google Sans Text;sans-serif" w:hAnsi="Google Sans Text;sans-serif"/>
        </w:rPr>
        <w:t xml:space="preserve"> Congelar nuevas compras hasta no tener un levantamiento completo de activos de hardware y un escaneo de software para erradicar cualquier aplicativo no licenciado.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Recuperación de Credenciales:</w:t>
      </w:r>
      <w:r>
        <w:rPr>
          <w:rFonts w:ascii="Google Sans Text;sans-serif" w:hAnsi="Google Sans Text;sans-serif"/>
        </w:rPr>
        <w:t xml:space="preserve"> Exigir la entrega documentada de todas las contraseñas de administrador global, llaves de encriptación y accesos a plataformas Cloud y equipos de red (firewalls, switches). El proveedor debe operar con cuentas con privilegios limitados y auditables, no como administrador absoluto.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Google Sans Text">
    <w:altName w:val="sans-serif"/>
    <w:charset w:val="00" w:characterSet="windows-1252"/>
    <w:family w:val="roman"/>
    <w:pitch w:val="variable"/>
  </w:font>
  <w:font w:name="Google Sans">
    <w:altName w:val="sans-serif"/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8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s-SV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s-SV" w:eastAsia="zh-CN" w:bidi="hi-IN"/>
    </w:rPr>
  </w:style>
  <w:style w:type="paragraph" w:styleId="Heading3">
    <w:name w:val="heading 3"/>
    <w:basedOn w:val="Ttulouser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Smbolosdenumeracinuser">
    <w:name w:val="Símbolos de numeración (user)"/>
    <w:qFormat/>
    <w:rPr/>
  </w:style>
  <w:style w:type="character" w:styleId="Strong">
    <w:name w:val="Strong"/>
    <w:qFormat/>
    <w:rPr>
      <w:b/>
      <w:b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  <w:style w:type="paragraph" w:styleId="Lneahorizontaluser">
    <w:name w:val="Línea horizontal (user)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Contenidodelatablauser">
    <w:name w:val="Contenido de la tabla (user)"/>
    <w:basedOn w:val="Normal"/>
    <w:qFormat/>
    <w:pPr>
      <w:widowControl w:val="false"/>
      <w:suppressLineNumbers/>
    </w:pPr>
    <w:rPr/>
  </w:style>
  <w:style w:type="paragraph" w:styleId="Ttulodelatablauser">
    <w:name w:val="Título de la tabla (user)"/>
    <w:basedOn w:val="Contenidodelatablauser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LibreOffice/25.8.5.2$Windows_X86_64 LibreOffice_project/9c8b85f387cc00a89945a79c9e6239f32e450ac2</Application>
  <AppVersion>15.0000</AppVersion>
  <Pages>3</Pages>
  <Words>883</Words>
  <Characters>5247</Characters>
  <CharactersWithSpaces>6076</CharactersWithSpaces>
  <Paragraphs>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2026-04-07T12:40:46Z</dcterms:created>
  <dc:creator/>
  <dc:description/>
  <dc:language>es-SV</dc:language>
  <cp:lastModifiedBy/>
  <dcterms:modified xsi:type="dcterms:W3CDTF">2026-04-07T12:31:09Z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