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 w:before="200"/>
      </w:pPr>
      <w:r>
        <w:rPr>
          <w:rFonts w:ascii="Arial" w:cs="Arial" w:eastAsia="Arial" w:hAnsi="Arial"/>
          <w:b/>
          <w:bCs/>
          <w:color w:val="1F3A5F"/>
          <w:sz w:val="44"/>
          <w:szCs w:val="44"/>
        </w:rPr>
        <w:t xml:space="preserve">Modelagem de uma bateria zinco-ar</w:t>
      </w:r>
    </w:p>
    <w:p>
      <w:pPr>
        <w:spacing w:after="200"/>
      </w:pPr>
      <w:r>
        <w:rPr>
          <w:rFonts w:ascii="Arial" w:cs="Arial" w:eastAsia="Arial" w:hAnsi="Arial"/>
          <w:b/>
          <w:bCs/>
          <w:color w:val="1F3A5F"/>
          <w:sz w:val="44"/>
          <w:szCs w:val="44"/>
        </w:rPr>
        <w:t xml:space="preserve">de eletrólito neutro (ZnCl₂ + NH₄Cl)</w:t>
      </w:r>
    </w:p>
    <w:p>
      <w:pPr>
        <w:spacing w:after="200" w:line="300"/>
      </w:pPr>
      <w:r>
        <w:rPr>
          <w:rFonts w:ascii="Arial" w:cs="Arial" w:eastAsia="Arial" w:hAnsi="Arial"/>
          <w:i/>
          <w:iCs/>
          <w:color w:val="444444"/>
          <w:sz w:val="24"/>
          <w:szCs w:val="24"/>
        </w:rPr>
        <w:t xml:space="preserve">Do artigo ao modelo: reconstrução crítica e implementação de um modelo físico-químico de uma bateria zinco-ar recarregável com eletrólito aquoso neutro.</w:t>
      </w:r>
    </w:p>
    <w:p>
      <w:pPr>
        <w:spacing w:after="120" w:line="276"/>
      </w:pPr>
      <w:r>
        <w:rPr>
          <w:rFonts w:ascii="Arial" w:cs="Arial" w:eastAsia="Arial" w:hAnsi="Arial"/>
        </w:rPr>
        <w:t xml:space="preserve">Este repositório documenta um trabalho de engenharia reversa e reconstrução científica. Partiu de um artigo publicado, passou por uma auditoria crítica de um simulador existente, refez o núcleo matemático do zero e validou o resultado contra os dados do artigo, com os desvios registrados.</w:t>
      </w:r>
    </w:p>
    <w:p>
      <w:pPr>
        <w:spacing w:after="120" w:line="276"/>
      </w:pPr>
      <w:r>
        <w:rPr>
          <w:rFonts w:ascii="Arial" w:cs="Arial" w:eastAsia="Arial" w:hAnsi="Arial"/>
        </w:rPr>
        <w:t xml:space="preserve">O programa (Python + Tkinter, roda no celular) é o veículo. </w:t>
      </w:r>
      <w:r>
        <w:rPr>
          <w:rFonts w:ascii="Arial" w:cs="Arial" w:eastAsia="Arial" w:hAnsi="Arial"/>
          <w:b/>
          <w:bCs/>
        </w:rPr>
        <w:t xml:space="preserve">O trabalho está no modelo, nas decisões e na validação.</w:t>
      </w:r>
    </w:p>
    <w:p>
      <w:pPr>
        <w:spacing w:after="60" w:before="160"/>
        <w:jc w:val="center"/>
      </w:pPr>
      <w:r>
        <w:drawing>
          <wp:inline distT="0" distB="0" distL="0" distR="0">
            <wp:extent cx="1809750" cy="4162425"/>
            <wp:effectExtent t="0" r="0" b="0" l="0"/>
            <wp:docPr id="1" name="painel" descr="Painel de gráficos do simulador" title="Painel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09750" cy="4162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Arial" w:cs="Arial" w:eastAsia="Arial" w:hAnsi="Arial"/>
          <w:i/>
          <w:iCs/>
          <w:color w:val="666666"/>
          <w:sz w:val="18"/>
          <w:szCs w:val="18"/>
        </w:rPr>
        <w:t xml:space="preserve">Painel de gráficos do simulador (prévia em 340 px)</w:t>
      </w:r>
    </w:p>
    <w:p>
      <w:pPr>
        <w:pStyle w:val="Heading1"/>
        <w:keepNext/>
        <w:pBdr>
          <w:bottom w:val="single" w:color="9DB4CE" w:sz="6" w:space="2"/>
        </w:pBdr>
        <w:spacing w:after="140" w:before="320"/>
      </w:pPr>
      <w:r>
        <w:rPr>
          <w:rFonts w:ascii="Arial" w:cs="Arial" w:eastAsia="Arial" w:hAnsi="Arial"/>
          <w:b/>
          <w:bCs/>
          <w:color w:val="1F3A5F"/>
          <w:sz w:val="30"/>
          <w:szCs w:val="30"/>
        </w:rPr>
        <w:t xml:space="preserve">1. O problema</w:t>
      </w:r>
    </w:p>
    <w:p>
      <w:pPr>
        <w:spacing w:after="120" w:line="276"/>
      </w:pPr>
      <w:r>
        <w:rPr>
          <w:rFonts w:ascii="Arial" w:cs="Arial" w:eastAsia="Arial" w:hAnsi="Arial"/>
        </w:rPr>
        <w:t xml:space="preserve">Baterias zinco-ar com eletrólito neutro evitam a carbonatação do eletrólito alcalino, mas trocam um problema por outro. O pH local varia durante a operação, e dele dependem a especiação do zinco e a precipitação de sólidos (ZnO, hidróxidos, simonkolleíta, complexos amoniacais). Esses sólidos governam a capacidade, a passivação do eletrodo e a estabilidade do ciclo.</w:t>
      </w:r>
    </w:p>
    <w:p>
      <w:pPr>
        <w:spacing w:after="120" w:line="276"/>
      </w:pPr>
      <w:r>
        <w:rPr>
          <w:rFonts w:ascii="Arial" w:cs="Arial" w:eastAsia="Arial" w:hAnsi="Arial"/>
        </w:rPr>
        <w:t xml:space="preserve">Prever esse comportamento exige acoplar:</w:t>
      </w:r>
    </w:p>
    <w:p>
      <w:pPr>
        <w:pStyle w:val="ListParagraph"/>
        <w:numPr>
          <w:ilvl w:val="0"/>
          <w:numId w:val="2"/>
        </w:numPr>
        <w:spacing w:after="70" w:line="270"/>
      </w:pPr>
      <w:r>
        <w:rPr>
          <w:rFonts w:ascii="Arial" w:cs="Arial" w:eastAsia="Arial" w:hAnsi="Arial"/>
        </w:rPr>
        <w:t xml:space="preserve">equilíbrio químico multiespécie;</w:t>
      </w:r>
    </w:p>
    <w:p>
      <w:pPr>
        <w:pStyle w:val="ListParagraph"/>
        <w:numPr>
          <w:ilvl w:val="0"/>
          <w:numId w:val="2"/>
        </w:numPr>
        <w:spacing w:after="70" w:line="270"/>
      </w:pPr>
      <w:r>
        <w:rPr>
          <w:rFonts w:ascii="Arial" w:cs="Arial" w:eastAsia="Arial" w:hAnsi="Arial"/>
        </w:rPr>
        <w:t xml:space="preserve">precipitação e dissolução;</w:t>
      </w:r>
    </w:p>
    <w:p>
      <w:pPr>
        <w:pStyle w:val="ListParagraph"/>
        <w:numPr>
          <w:ilvl w:val="0"/>
          <w:numId w:val="2"/>
        </w:numPr>
        <w:spacing w:after="70" w:line="270"/>
      </w:pPr>
      <w:r>
        <w:rPr>
          <w:rFonts w:ascii="Arial" w:cs="Arial" w:eastAsia="Arial" w:hAnsi="Arial"/>
        </w:rPr>
        <w:t xml:space="preserve">cinética eletroquímica nos dois eletrodos;</w:t>
      </w:r>
    </w:p>
    <w:p>
      <w:pPr>
        <w:pStyle w:val="ListParagraph"/>
        <w:numPr>
          <w:ilvl w:val="0"/>
          <w:numId w:val="2"/>
        </w:numPr>
        <w:spacing w:after="70" w:line="270"/>
      </w:pPr>
      <w:r>
        <w:rPr>
          <w:rFonts w:ascii="Arial" w:cs="Arial" w:eastAsia="Arial" w:hAnsi="Arial"/>
        </w:rPr>
        <w:t xml:space="preserve">transporte de massa e de carga no eletrólito.</w:t>
      </w:r>
    </w:p>
    <w:p>
      <w:pPr>
        <w:pStyle w:val="Heading1"/>
        <w:keepNext/>
        <w:pBdr>
          <w:bottom w:val="single" w:color="9DB4CE" w:sz="6" w:space="2"/>
        </w:pBdr>
        <w:spacing w:after="140" w:before="320"/>
      </w:pPr>
      <w:r>
        <w:rPr>
          <w:rFonts w:ascii="Arial" w:cs="Arial" w:eastAsia="Arial" w:hAnsi="Arial"/>
          <w:b/>
          <w:bCs/>
          <w:color w:val="1F3A5F"/>
          <w:sz w:val="30"/>
          <w:szCs w:val="30"/>
        </w:rPr>
        <w:t xml:space="preserve">2. Referência científica</w:t>
      </w:r>
    </w:p>
    <w:p>
      <w:pPr>
        <w:spacing w:after="120" w:line="276"/>
      </w:pPr>
      <w:r>
        <w:rPr>
          <w:rFonts w:ascii="Arial" w:cs="Arial" w:eastAsia="Arial" w:hAnsi="Arial"/>
        </w:rPr>
        <w:t xml:space="preserve">Clark, S.; Latz, A.; Horstmann, B. </w:t>
      </w:r>
      <w:r>
        <w:rPr>
          <w:rFonts w:ascii="Arial" w:cs="Arial" w:eastAsia="Arial" w:hAnsi="Arial"/>
          <w:i/>
          <w:iCs/>
        </w:rPr>
        <w:t xml:space="preserve">ChemSusChem</w:t>
      </w:r>
      <w:r>
        <w:rPr>
          <w:rFonts w:ascii="Arial" w:cs="Arial" w:eastAsia="Arial" w:hAnsi="Arial"/>
        </w:rPr>
        <w:t xml:space="preserve"> 2017. DOI: </w:t>
      </w:r>
      <w:hyperlink w:history="1" r:id="rIdfxv7r9e0etoetsr6_dvez">
        <w:r>
          <w:rPr>
            <w:rFonts w:ascii="Arial" w:cs="Arial" w:eastAsia="Arial" w:hAnsi="Arial"/>
            <w:color w:val="1155CC"/>
            <w:u w:val="single"/>
          </w:rPr>
          <w:t xml:space="preserve">10.1002/cssc.201701468</w:t>
        </w:r>
      </w:hyperlink>
    </w:p>
    <w:p>
      <w:pPr>
        <w:spacing w:after="120" w:line="276"/>
      </w:pPr>
      <w:r>
        <w:rPr>
          <w:rFonts w:ascii="Arial" w:cs="Arial" w:eastAsia="Arial" w:hAnsi="Arial"/>
        </w:rPr>
        <w:t xml:space="preserve">O artigo e o seu Supporting Information são a base de todas as constantes termodinâmicas (Tabela 1) e do formalismo de quasipartículas (Eqs. 21–23). Quando um parâmetro não vem do artigo e foi calibrado, isso está declarado (seção 5).</w:t>
      </w:r>
    </w:p>
    <w:p>
      <w:pPr>
        <w:pStyle w:val="Heading1"/>
        <w:keepNext/>
        <w:pBdr>
          <w:bottom w:val="single" w:color="9DB4CE" w:sz="6" w:space="2"/>
        </w:pBdr>
        <w:spacing w:after="140" w:before="320"/>
      </w:pPr>
      <w:r>
        <w:rPr>
          <w:rFonts w:ascii="Arial" w:cs="Arial" w:eastAsia="Arial" w:hAnsi="Arial"/>
          <w:b/>
          <w:bCs/>
          <w:color w:val="1F3A5F"/>
          <w:sz w:val="30"/>
          <w:szCs w:val="30"/>
        </w:rPr>
        <w:t xml:space="preserve">3. O trabalho, em três etapas</w:t>
      </w:r>
    </w:p>
    <w:p>
      <w:pPr>
        <w:pStyle w:val="Heading2"/>
        <w:keepNext/>
        <w:spacing w:after="100" w:before="220"/>
      </w:pPr>
      <w:r>
        <w:rPr>
          <w:rFonts w:ascii="Arial" w:cs="Arial" w:eastAsia="Arial" w:hAnsi="Arial"/>
          <w:b/>
          <w:bCs/>
          <w:color w:val="2E5C8A"/>
          <w:sz w:val="25"/>
          <w:szCs w:val="25"/>
        </w:rPr>
        <w:t xml:space="preserve">3.1 Auditoria do simulador original</w:t>
      </w:r>
    </w:p>
    <w:p>
      <w:pPr>
        <w:spacing w:after="120" w:line="276"/>
      </w:pPr>
      <w:r>
        <w:rPr>
          <w:rFonts w:ascii="Arial" w:cs="Arial" w:eastAsia="Arial" w:hAnsi="Arial"/>
        </w:rPr>
        <w:t xml:space="preserve">Análise crítica de um simulador anterior de cerca de 3.400 linhas. Principais achados: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300"/>
        <w:gridCol w:w="5338"/>
      </w:tblGrid>
      <w:tr>
        <w:trPr>
          <w:tblHeader/>
        </w:trPr>
        <w:tc>
          <w:tcPr>
            <w:tcW w:type="dxa" w:w="4300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1F3A5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Achado</w:t>
            </w:r>
          </w:p>
        </w:tc>
        <w:tc>
          <w:tcPr>
            <w:tcW w:type="dxa" w:w="5338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1F3A5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Consequência</w:t>
            </w:r>
          </w:p>
        </w:tc>
      </w:tr>
      <w:tr>
        <w:trPr>
          <w:cantSplit/>
        </w:trPr>
        <w:tc>
          <w:tcPr>
            <w:tcW w:type="dxa" w:w="4300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Simulava só descarga galvanostática, sem carga real</w:t>
            </w:r>
          </w:p>
        </w:tc>
        <w:tc>
          <w:tcPr>
            <w:tcW w:type="dxa" w:w="5338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Metade do ciclo ausente</w:t>
            </w:r>
          </w:p>
        </w:tc>
      </w:tr>
      <w:tr>
        <w:trPr>
          <w:cantSplit/>
        </w:trPr>
        <w:tc>
          <w:tcPr>
            <w:tcW w:type="dxa" w:w="4300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Funções de Butler-Volmer definidas mas não usadas</w:t>
            </w:r>
          </w:p>
        </w:tc>
        <w:tc>
          <w:tcPr>
            <w:tcW w:type="dxa" w:w="5338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Sem sobrepotenciais; tensão inicial praticamente de equilíbrio</w:t>
            </w:r>
          </w:p>
        </w:tc>
      </w:tr>
      <w:tr>
        <w:trPr>
          <w:cantSplit/>
        </w:trPr>
        <w:tc>
          <w:tcPr>
            <w:tcW w:type="dxa" w:w="4300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Sólidos precipitados inertes</w:t>
            </w:r>
          </w:p>
        </w:tc>
        <w:tc>
          <w:tcPr>
            <w:tcW w:type="dxa" w:w="5338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Sem efeito sobre transporte ou passivação</w:t>
            </w:r>
          </w:p>
        </w:tc>
      </w:tr>
      <w:tr>
        <w:trPr>
          <w:cantSplit/>
        </w:trPr>
        <w:tc>
          <w:tcPr>
            <w:tcW w:type="dxa" w:w="4300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Instabilidade numérica com passo de tempo acima de 0,2 s</w:t>
            </w:r>
          </w:p>
        </w:tc>
        <w:tc>
          <w:tcPr>
            <w:tcW w:type="dxa" w:w="5338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Resultados dependentes do passo</w:t>
            </w:r>
          </w:p>
        </w:tc>
      </w:tr>
      <w:tr>
        <w:trPr>
          <w:cantSplit/>
        </w:trPr>
        <w:tc>
          <w:tcPr>
            <w:tcW w:type="dxa" w:w="4300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“Validação” por ajuste de um único parâmetro contra curvas digitalizadas</w:t>
            </w:r>
          </w:p>
        </w:tc>
        <w:tc>
          <w:tcPr>
            <w:tcW w:type="dxa" w:w="5338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Validação fraca</w:t>
            </w:r>
          </w:p>
        </w:tc>
      </w:tr>
      <w:tr>
        <w:trPr>
          <w:cantSplit/>
        </w:trPr>
        <w:tc>
          <w:tcPr>
            <w:tcW w:type="dxa" w:w="4300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Simonkolleíta nunca precipitava</w:t>
            </w:r>
          </w:p>
        </w:tc>
        <w:tc>
          <w:tcPr>
            <w:tcW w:type="dxa" w:w="5338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Sequência de fases incorreta</w:t>
            </w:r>
          </w:p>
        </w:tc>
      </w:tr>
    </w:tbl>
    <w:p>
      <w:pPr>
        <w:spacing w:after="100"/>
      </w:pPr>
    </w:p>
    <w:p>
      <w:pPr>
        <w:pStyle w:val="Heading2"/>
        <w:keepNext/>
        <w:spacing w:after="100" w:before="220"/>
      </w:pPr>
      <w:r>
        <w:rPr>
          <w:rFonts w:ascii="Arial" w:cs="Arial" w:eastAsia="Arial" w:hAnsi="Arial"/>
          <w:b/>
          <w:bCs/>
          <w:color w:val="2E5C8A"/>
          <w:sz w:val="25"/>
          <w:szCs w:val="25"/>
        </w:rPr>
        <w:t xml:space="preserve">3.2 Reconstrução do núcleo (v2)</w:t>
      </w:r>
    </w:p>
    <w:p>
      <w:pPr>
        <w:pStyle w:val="ListParagraph"/>
        <w:numPr>
          <w:ilvl w:val="0"/>
          <w:numId w:val="2"/>
        </w:numPr>
        <w:spacing w:after="70" w:line="270"/>
      </w:pPr>
      <w:r>
        <w:rPr>
          <w:rFonts w:ascii="Arial" w:cs="Arial" w:eastAsia="Arial" w:hAnsi="Arial"/>
          <w:b/>
          <w:bCs/>
        </w:rPr>
        <w:t xml:space="preserve">Estado reduzido a 3 quasipartículas</w:t>
      </w:r>
      <w:r>
        <w:rPr>
          <w:rFonts w:ascii="Arial" w:cs="Arial" w:eastAsia="Arial" w:hAnsi="Arial"/>
        </w:rPr>
        <w:t xml:space="preserve"> por volume (Zn~, NH₃~, NH₄~). Cloreto e nitrogênio total saem da eletroneutralidade.</w:t>
      </w:r>
    </w:p>
    <w:p>
      <w:pPr>
        <w:pStyle w:val="ListParagraph"/>
        <w:numPr>
          <w:ilvl w:val="0"/>
          <w:numId w:val="2"/>
        </w:numPr>
        <w:spacing w:after="70" w:line="270"/>
      </w:pPr>
      <w:r>
        <w:rPr>
          <w:rFonts w:ascii="Arial" w:cs="Arial" w:eastAsia="Arial" w:hAnsi="Arial"/>
          <w:b/>
          <w:bCs/>
        </w:rPr>
        <w:t xml:space="preserve">Especiação:</w:t>
      </w:r>
      <w:r>
        <w:rPr>
          <w:rFonts w:ascii="Arial" w:cs="Arial" w:eastAsia="Arial" w:hAnsi="Arial"/>
        </w:rPr>
        <w:t xml:space="preserve"> 16 espécies aquosas, 12 constantes de equilíbrio, Newton 4×4 em variáveis logarítmicas com Jacobiana analítica, vetorizado.</w:t>
      </w:r>
    </w:p>
    <w:p>
      <w:pPr>
        <w:pStyle w:val="ListParagraph"/>
        <w:numPr>
          <w:ilvl w:val="0"/>
          <w:numId w:val="2"/>
        </w:numPr>
        <w:spacing w:after="70" w:line="270"/>
      </w:pPr>
      <w:r>
        <w:rPr>
          <w:rFonts w:ascii="Arial" w:cs="Arial" w:eastAsia="Arial" w:hAnsi="Arial"/>
          <w:b/>
          <w:bCs/>
        </w:rPr>
        <w:t xml:space="preserve">Precipitação:</w:t>
      </w:r>
      <w:r>
        <w:rPr>
          <w:rFonts w:ascii="Arial" w:cs="Arial" w:eastAsia="Arial" w:hAnsi="Arial"/>
        </w:rPr>
        <w:t xml:space="preserve"> 4 sólidos (ZnO, simonkolleíta, Zn(OH)₂, ZnCl₂·2NH₃) em equilíbrio local (índice de saturação = 0).</w:t>
      </w:r>
    </w:p>
    <w:p>
      <w:pPr>
        <w:pStyle w:val="ListParagraph"/>
        <w:numPr>
          <w:ilvl w:val="0"/>
          <w:numId w:val="2"/>
        </w:numPr>
        <w:spacing w:after="70" w:line="270"/>
      </w:pPr>
      <w:r>
        <w:rPr>
          <w:rFonts w:ascii="Arial" w:cs="Arial" w:eastAsia="Arial" w:hAnsi="Arial"/>
          <w:b/>
          <w:bCs/>
        </w:rPr>
        <w:t xml:space="preserve">Cinética real:</w:t>
      </w:r>
      <w:r>
        <w:rPr>
          <w:rFonts w:ascii="Arial" w:cs="Arial" w:eastAsia="Arial" w:hAnsi="Arial"/>
        </w:rPr>
        <w:t xml:space="preserve"> Butler-Volmer para o Zn e para o eletrodo de difusão de gás (ORR e OER separadas), com potencial de difusão e queda ôhmica.</w:t>
      </w:r>
    </w:p>
    <w:p>
      <w:pPr>
        <w:pStyle w:val="ListParagraph"/>
        <w:numPr>
          <w:ilvl w:val="0"/>
          <w:numId w:val="2"/>
        </w:numPr>
        <w:spacing w:after="70" w:line="270"/>
      </w:pPr>
      <w:r>
        <w:rPr>
          <w:rFonts w:ascii="Arial" w:cs="Arial" w:eastAsia="Arial" w:hAnsi="Arial"/>
          <w:b/>
          <w:bCs/>
        </w:rPr>
        <w:t xml:space="preserve">Transporte:</w:t>
      </w:r>
      <w:r>
        <w:rPr>
          <w:rFonts w:ascii="Arial" w:cs="Arial" w:eastAsia="Arial" w:hAnsi="Arial"/>
        </w:rPr>
        <w:t xml:space="preserve"> Nernst-Planck implícito (bloco-tridiagonal 3N×3N), passo de tempo adaptativo.</w:t>
      </w:r>
    </w:p>
    <w:p>
      <w:pPr>
        <w:pStyle w:val="ListParagraph"/>
        <w:numPr>
          <w:ilvl w:val="0"/>
          <w:numId w:val="2"/>
        </w:numPr>
        <w:spacing w:after="70" w:line="270"/>
      </w:pPr>
      <w:r>
        <w:rPr>
          <w:rFonts w:ascii="Arial" w:cs="Arial" w:eastAsia="Arial" w:hAnsi="Arial"/>
          <w:b/>
          <w:bCs/>
        </w:rPr>
        <w:t xml:space="preserve">Zinco:</w:t>
      </w:r>
      <w:r>
        <w:rPr>
          <w:rFonts w:ascii="Arial" w:cs="Arial" w:eastAsia="Arial" w:hAnsi="Arial"/>
        </w:rPr>
        <w:t xml:space="preserve"> modelo de pasta (partículas esféricas com passivação por casca) ou de folha polida.</w:t>
      </w:r>
    </w:p>
    <w:p>
      <w:pPr>
        <w:pStyle w:val="ListParagraph"/>
        <w:numPr>
          <w:ilvl w:val="0"/>
          <w:numId w:val="2"/>
        </w:numPr>
        <w:spacing w:after="70" w:line="270"/>
      </w:pPr>
      <w:r>
        <w:rPr>
          <w:rFonts w:ascii="Arial" w:cs="Arial" w:eastAsia="Arial" w:hAnsi="Arial"/>
          <w:b/>
          <w:bCs/>
        </w:rPr>
        <w:t xml:space="preserve">Protocolo:</w:t>
      </w:r>
      <w:r>
        <w:rPr>
          <w:rFonts w:ascii="Arial" w:cs="Arial" w:eastAsia="Arial" w:hAnsi="Arial"/>
        </w:rPr>
        <w:t xml:space="preserve"> segmentos de descarga, carga e repouso, em múltiplos ciclos.</w:t>
      </w:r>
    </w:p>
    <w:p>
      <w:pPr>
        <w:pStyle w:val="Heading2"/>
        <w:keepNext/>
        <w:spacing w:after="100" w:before="220"/>
      </w:pPr>
      <w:r>
        <w:rPr>
          <w:rFonts w:ascii="Arial" w:cs="Arial" w:eastAsia="Arial" w:hAnsi="Arial"/>
          <w:b/>
          <w:bCs/>
          <w:color w:val="2E5C8A"/>
          <w:sz w:val="25"/>
          <w:szCs w:val="25"/>
        </w:rPr>
        <w:t xml:space="preserve">3.3 Validação e verificação numérica</w:t>
      </w:r>
    </w:p>
    <w:p>
      <w:pPr>
        <w:pStyle w:val="ListParagraph"/>
        <w:numPr>
          <w:ilvl w:val="0"/>
          <w:numId w:val="2"/>
        </w:numPr>
        <w:spacing w:after="70" w:line="270"/>
      </w:pPr>
      <w:r>
        <w:rPr>
          <w:rFonts w:ascii="Arial" w:cs="Arial" w:eastAsia="Arial" w:hAnsi="Arial"/>
          <w:b/>
          <w:bCs/>
        </w:rPr>
        <w:t xml:space="preserve">Conservação</w:t>
      </w:r>
      <w:r>
        <w:rPr>
          <w:rFonts w:ascii="Arial" w:cs="Arial" w:eastAsia="Arial" w:hAnsi="Arial"/>
        </w:rPr>
        <w:t xml:space="preserve"> dos invariantes Zn, Cl e N: deriva da ordem de 10⁻¹².</w:t>
      </w:r>
    </w:p>
    <w:p>
      <w:pPr>
        <w:pStyle w:val="ListParagraph"/>
        <w:numPr>
          <w:ilvl w:val="0"/>
          <w:numId w:val="2"/>
        </w:numPr>
        <w:spacing w:after="70" w:line="270"/>
      </w:pPr>
      <w:r>
        <w:rPr>
          <w:rFonts w:ascii="Arial" w:cs="Arial" w:eastAsia="Arial" w:hAnsi="Arial"/>
          <w:b/>
          <w:bCs/>
        </w:rPr>
        <w:t xml:space="preserve">Sensibilidades</w:t>
      </w:r>
      <w:r>
        <w:rPr>
          <w:rFonts w:ascii="Arial" w:cs="Arial" w:eastAsia="Arial" w:hAnsi="Arial"/>
        </w:rPr>
        <w:t xml:space="preserve"> analíticas contra diferenças finitas: erro abaixo de 0,4%.</w:t>
      </w:r>
    </w:p>
    <w:p>
      <w:pPr>
        <w:pStyle w:val="ListParagraph"/>
        <w:numPr>
          <w:ilvl w:val="0"/>
          <w:numId w:val="2"/>
        </w:numPr>
        <w:spacing w:after="70" w:line="270"/>
      </w:pPr>
      <w:r>
        <w:rPr>
          <w:rFonts w:ascii="Arial" w:cs="Arial" w:eastAsia="Arial" w:hAnsi="Arial"/>
          <w:b/>
          <w:bCs/>
        </w:rPr>
        <w:t xml:space="preserve">Fronteiras de solubilidade</w:t>
      </w:r>
      <w:r>
        <w:rPr>
          <w:rFonts w:ascii="Arial" w:cs="Arial" w:eastAsia="Arial" w:hAnsi="Arial"/>
        </w:rPr>
        <w:t xml:space="preserve"> comparadas com a Fig. 2a e o SI do artigo.</w:t>
      </w:r>
    </w:p>
    <w:p>
      <w:pPr>
        <w:pStyle w:val="ListParagraph"/>
        <w:numPr>
          <w:ilvl w:val="0"/>
          <w:numId w:val="2"/>
        </w:numPr>
        <w:spacing w:after="70" w:line="270"/>
      </w:pPr>
      <w:r>
        <w:rPr>
          <w:rFonts w:ascii="Arial" w:cs="Arial" w:eastAsia="Arial" w:hAnsi="Arial"/>
          <w:b/>
          <w:bCs/>
        </w:rPr>
        <w:t xml:space="preserve">Ciclagem multi-ciclo</w:t>
      </w:r>
      <w:r>
        <w:rPr>
          <w:rFonts w:ascii="Arial" w:cs="Arial" w:eastAsia="Arial" w:hAnsi="Arial"/>
        </w:rPr>
        <w:t xml:space="preserve"> da célula de folha de Zn (3 ciclos de descarga 5 mA / 4 h e carga 2,5 mA / 8 h).</w:t>
      </w:r>
    </w:p>
    <w:p>
      <w:pPr>
        <w:pStyle w:val="Heading1"/>
        <w:keepNext/>
        <w:pBdr>
          <w:bottom w:val="single" w:color="9DB4CE" w:sz="6" w:space="2"/>
        </w:pBdr>
        <w:spacing w:after="140" w:before="320"/>
      </w:pPr>
      <w:r>
        <w:rPr>
          <w:rFonts w:ascii="Arial" w:cs="Arial" w:eastAsia="Arial" w:hAnsi="Arial"/>
          <w:b/>
          <w:bCs/>
          <w:color w:val="1F3A5F"/>
          <w:sz w:val="30"/>
          <w:szCs w:val="30"/>
        </w:rPr>
        <w:t xml:space="preserve">4. Resultados</w:t>
      </w:r>
    </w:p>
    <w:p>
      <w:pPr>
        <w:spacing w:after="120" w:line="276"/>
      </w:pPr>
      <w:r>
        <w:rPr>
          <w:rFonts w:ascii="Arial" w:cs="Arial" w:eastAsia="Arial" w:hAnsi="Arial"/>
        </w:rPr>
        <w:t xml:space="preserve">Descarga a 1 mA/cm², Zn de 5 mm, corte em 0,6 V.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2300"/>
        <w:gridCol w:w="2500"/>
        <w:gridCol w:w="3338"/>
      </w:tblGrid>
      <w:tr>
        <w:trPr>
          <w:tblHeader/>
        </w:trPr>
        <w:tc>
          <w:tcPr>
            <w:tcW w:type="dxa" w:w="1500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1F3A5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Eletrólito</w:t>
            </w:r>
          </w:p>
        </w:tc>
        <w:tc>
          <w:tcPr>
            <w:tcW w:type="dxa" w:w="2300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1F3A5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Capacidade (mAh/cm²)</w:t>
            </w:r>
          </w:p>
        </w:tc>
        <w:tc>
          <w:tcPr>
            <w:tcW w:type="dxa" w:w="2500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1F3A5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Densidade de energia (Wh/L)</w:t>
            </w:r>
          </w:p>
        </w:tc>
        <w:tc>
          <w:tcPr>
            <w:tcW w:type="dxa" w:w="3338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1F3A5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Sequência de sólidos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A</w:t>
            </w:r>
          </w:p>
        </w:tc>
        <w:tc>
          <w:tcPr>
            <w:tcW w:type="dxa" w:w="2300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255</w:t>
            </w:r>
          </w:p>
        </w:tc>
        <w:tc>
          <w:tcPr>
            <w:tcW w:type="dxa" w:w="2500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325</w:t>
            </w:r>
          </w:p>
        </w:tc>
        <w:tc>
          <w:tcPr>
            <w:tcW w:type="dxa" w:w="3338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simonkolleíta → Zn(OH)₂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B</w:t>
            </w:r>
          </w:p>
        </w:tc>
        <w:tc>
          <w:tcPr>
            <w:tcW w:type="dxa" w:w="2300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158</w:t>
            </w:r>
          </w:p>
        </w:tc>
        <w:tc>
          <w:tcPr>
            <w:tcW w:type="dxa" w:w="2500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212</w:t>
            </w:r>
          </w:p>
        </w:tc>
        <w:tc>
          <w:tcPr>
            <w:tcW w:type="dxa" w:w="3338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ZnCl₂·2NH₃ → simonkolleíta → Zn(OH)₂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C</w:t>
            </w:r>
          </w:p>
        </w:tc>
        <w:tc>
          <w:tcPr>
            <w:tcW w:type="dxa" w:w="2300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139</w:t>
            </w:r>
          </w:p>
        </w:tc>
        <w:tc>
          <w:tcPr>
            <w:tcW w:type="dxa" w:w="2500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185</w:t>
            </w:r>
          </w:p>
        </w:tc>
        <w:tc>
          <w:tcPr>
            <w:tcW w:type="dxa" w:w="3338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quase só Zn(OH)₂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D (só ZnO)</w:t>
            </w:r>
          </w:p>
        </w:tc>
        <w:tc>
          <w:tcPr>
            <w:tcW w:type="dxa" w:w="2300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633</w:t>
            </w:r>
          </w:p>
        </w:tc>
        <w:tc>
          <w:tcPr>
            <w:tcW w:type="dxa" w:w="2500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834</w:t>
            </w:r>
          </w:p>
        </w:tc>
        <w:tc>
          <w:tcPr>
            <w:tcW w:type="dxa" w:w="3338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ZnO</w:t>
            </w:r>
          </w:p>
        </w:tc>
      </w:tr>
    </w:tbl>
    <w:p>
      <w:pPr>
        <w:spacing w:after="100"/>
      </w:pPr>
    </w:p>
    <w:p>
      <w:pPr>
        <w:spacing w:after="120" w:line="276"/>
      </w:pPr>
      <w:r>
        <w:rPr>
          <w:rFonts w:ascii="Arial" w:cs="Arial" w:eastAsia="Arial" w:hAnsi="Arial"/>
        </w:rPr>
        <w:t xml:space="preserve">Para o eletrólito D, o artigo reporta um pico de 952 Wh/L. O valor do modelo é da mesma ordem e abaixo.</w:t>
      </w:r>
    </w:p>
    <w:p>
      <w:pPr>
        <w:spacing w:after="120" w:line="276"/>
      </w:pPr>
      <w:r>
        <w:rPr>
          <w:rFonts w:ascii="Arial" w:cs="Arial" w:eastAsia="Arial" w:hAnsi="Arial"/>
        </w:rPr>
        <w:t xml:space="preserve">A </w:t>
      </w:r>
      <w:r>
        <w:rPr>
          <w:rFonts w:ascii="Arial" w:cs="Arial" w:eastAsia="Arial" w:hAnsi="Arial"/>
          <w:b/>
          <w:bCs/>
        </w:rPr>
        <w:t xml:space="preserve">ordem relativa</w:t>
      </w:r>
      <w:r>
        <w:rPr>
          <w:rFonts w:ascii="Arial" w:cs="Arial" w:eastAsia="Arial" w:hAnsi="Arial"/>
        </w:rPr>
        <w:t xml:space="preserve"> entre os eletrólitos e a </w:t>
      </w:r>
      <w:r>
        <w:rPr>
          <w:rFonts w:ascii="Arial" w:cs="Arial" w:eastAsia="Arial" w:hAnsi="Arial"/>
          <w:b/>
          <w:bCs/>
        </w:rPr>
        <w:t xml:space="preserve">sequência de fases</w:t>
      </w:r>
      <w:r>
        <w:rPr>
          <w:rFonts w:ascii="Arial" w:cs="Arial" w:eastAsia="Arial" w:hAnsi="Arial"/>
        </w:rPr>
        <w:t xml:space="preserve"> são o resultado de interesse. Os números absolutos dependem das calibrações da seção 5.</w:t>
      </w:r>
    </w:p>
    <w:p>
      <w:pPr>
        <w:pStyle w:val="Heading1"/>
        <w:keepNext/>
        <w:pBdr>
          <w:bottom w:val="single" w:color="9DB4CE" w:sz="6" w:space="2"/>
        </w:pBdr>
        <w:spacing w:after="140" w:before="320"/>
      </w:pPr>
      <w:r>
        <w:rPr>
          <w:rFonts w:ascii="Arial" w:cs="Arial" w:eastAsia="Arial" w:hAnsi="Arial"/>
          <w:b/>
          <w:bCs/>
          <w:color w:val="1F3A5F"/>
          <w:sz w:val="30"/>
          <w:szCs w:val="30"/>
        </w:rPr>
        <w:t xml:space="preserve">5. Premissas, calibrações e limites conhecidos</w:t>
      </w:r>
    </w:p>
    <w:p>
      <w:pPr>
        <w:spacing w:after="120" w:line="276"/>
      </w:pPr>
      <w:r>
        <w:rPr>
          <w:rFonts w:ascii="Arial" w:cs="Arial" w:eastAsia="Arial" w:hAnsi="Arial"/>
        </w:rPr>
        <w:t xml:space="preserve">Os desvios abaixo são registrados porque fazem parte do resultado.</w:t>
      </w:r>
    </w:p>
    <w:p>
      <w:pPr>
        <w:pStyle w:val="Heading2"/>
        <w:keepNext/>
        <w:spacing w:after="100" w:before="220"/>
      </w:pPr>
      <w:r>
        <w:rPr>
          <w:rFonts w:ascii="Arial" w:cs="Arial" w:eastAsia="Arial" w:hAnsi="Arial"/>
          <w:b/>
          <w:bCs/>
          <w:color w:val="2E5C8A"/>
          <w:sz w:val="25"/>
          <w:szCs w:val="25"/>
        </w:rPr>
        <w:t xml:space="preserve">Calibrado, não vem do artigo</w:t>
      </w:r>
    </w:p>
    <w:p>
      <w:pPr>
        <w:pStyle w:val="ListParagraph"/>
        <w:numPr>
          <w:ilvl w:val="0"/>
          <w:numId w:val="2"/>
        </w:numPr>
        <w:spacing w:after="70" w:line="270"/>
      </w:pPr>
      <w:r>
        <w:rPr>
          <w:rFonts w:ascii="Arial" w:cs="Arial" w:eastAsia="Arial" w:hAnsi="Arial"/>
        </w:rPr>
        <w:t xml:space="preserve">Correntes de troca da ORR e da OER, ajustadas a tensões digitalizadas das Figs. 5 e 8f. A do Zn vem do SI.</w:t>
      </w:r>
    </w:p>
    <w:p>
      <w:pPr>
        <w:pStyle w:val="ListParagraph"/>
        <w:numPr>
          <w:ilvl w:val="0"/>
          <w:numId w:val="2"/>
        </w:numPr>
        <w:spacing w:after="70" w:line="270"/>
      </w:pPr>
      <w:r>
        <w:rPr>
          <w:rFonts w:ascii="Arial" w:cs="Arial" w:eastAsia="Arial" w:hAnsi="Arial"/>
        </w:rPr>
        <w:t xml:space="preserve">Deslocamento de +1,0 em log₁₀ Ksp dos hidróxidos, para corrigir supersaturação irreal do eletrólito C.</w:t>
      </w:r>
    </w:p>
    <w:p>
      <w:pPr>
        <w:pStyle w:val="ListParagraph"/>
        <w:numPr>
          <w:ilvl w:val="0"/>
          <w:numId w:val="2"/>
        </w:numPr>
        <w:spacing w:after="70" w:line="270"/>
      </w:pPr>
      <w:r>
        <w:rPr>
          <w:rFonts w:ascii="Arial" w:cs="Arial" w:eastAsia="Arial" w:hAnsi="Arial"/>
        </w:rPr>
        <w:t xml:space="preserve">Simonkolleíta na forma por-Zn, para reproduzir o cruzamento de solubilidade do artigo.</w:t>
      </w:r>
    </w:p>
    <w:p>
      <w:pPr>
        <w:pStyle w:val="Heading2"/>
        <w:keepNext/>
        <w:spacing w:after="100" w:before="220"/>
      </w:pPr>
      <w:r>
        <w:rPr>
          <w:rFonts w:ascii="Arial" w:cs="Arial" w:eastAsia="Arial" w:hAnsi="Arial"/>
          <w:b/>
          <w:bCs/>
          <w:color w:val="2E5C8A"/>
          <w:sz w:val="25"/>
          <w:szCs w:val="25"/>
        </w:rPr>
        <w:t xml:space="preserve">Desvios conhecidos</w:t>
      </w:r>
    </w:p>
    <w:p>
      <w:pPr>
        <w:pStyle w:val="ListParagraph"/>
        <w:numPr>
          <w:ilvl w:val="0"/>
          <w:numId w:val="2"/>
        </w:numPr>
        <w:spacing w:after="70" w:line="270"/>
      </w:pPr>
      <w:r>
        <w:rPr>
          <w:rFonts w:ascii="Arial" w:cs="Arial" w:eastAsia="Arial" w:hAnsi="Arial"/>
        </w:rPr>
        <w:t xml:space="preserve">A tensão de descarga da célula de folha cai mais que no artigo (0,61 → 0,36 V em 4 h).</w:t>
      </w:r>
    </w:p>
    <w:p>
      <w:pPr>
        <w:pStyle w:val="ListParagraph"/>
        <w:numPr>
          <w:ilvl w:val="0"/>
          <w:numId w:val="2"/>
        </w:numPr>
        <w:spacing w:after="70" w:line="270"/>
      </w:pPr>
      <w:r>
        <w:rPr>
          <w:rFonts w:ascii="Arial" w:cs="Arial" w:eastAsia="Arial" w:hAnsi="Arial"/>
        </w:rPr>
        <w:t xml:space="preserve">A tensão de carga sobe mais (~2,6–2,8 V contra ~2,25 V).</w:t>
      </w:r>
    </w:p>
    <w:p>
      <w:pPr>
        <w:pStyle w:val="ListParagraph"/>
        <w:numPr>
          <w:ilvl w:val="0"/>
          <w:numId w:val="2"/>
        </w:numPr>
        <w:spacing w:after="70" w:line="270"/>
      </w:pPr>
      <w:r>
        <w:rPr>
          <w:rFonts w:ascii="Arial" w:cs="Arial" w:eastAsia="Arial" w:hAnsi="Arial"/>
        </w:rPr>
        <w:t xml:space="preserve">O eletrólito A sai otimista: a instabilidade de pH da Fig. 8d não é reproduzida.</w:t>
      </w:r>
    </w:p>
    <w:p>
      <w:pPr>
        <w:pStyle w:val="ListParagraph"/>
        <w:numPr>
          <w:ilvl w:val="0"/>
          <w:numId w:val="2"/>
        </w:numPr>
        <w:spacing w:after="70" w:line="270"/>
      </w:pPr>
      <w:r>
        <w:rPr>
          <w:rFonts w:ascii="Arial" w:cs="Arial" w:eastAsia="Arial" w:hAnsi="Arial"/>
        </w:rPr>
        <w:t xml:space="preserve">Não há rugosidade crescente do Zn, inundação do eletrodo de gás, balanço de H₂O nem atividades iônicas (o modelo usa concentrações).</w:t>
      </w:r>
    </w:p>
    <w:p>
      <w:pPr>
        <w:pStyle w:val="Heading2"/>
        <w:keepNext/>
        <w:spacing w:after="100" w:before="220"/>
      </w:pPr>
      <w:r>
        <w:rPr>
          <w:rFonts w:ascii="Arial" w:cs="Arial" w:eastAsia="Arial" w:hAnsi="Arial"/>
          <w:b/>
          <w:bCs/>
          <w:color w:val="2E5C8A"/>
          <w:sz w:val="25"/>
          <w:szCs w:val="25"/>
        </w:rPr>
        <w:t xml:space="preserve">Escopo de verificação</w:t>
      </w:r>
    </w:p>
    <w:p>
      <w:pPr>
        <w:pStyle w:val="ListParagraph"/>
        <w:numPr>
          <w:ilvl w:val="0"/>
          <w:numId w:val="2"/>
        </w:numPr>
        <w:spacing w:after="70" w:line="270"/>
      </w:pPr>
      <w:r>
        <w:rPr>
          <w:rFonts w:ascii="Arial" w:cs="Arial" w:eastAsia="Arial" w:hAnsi="Arial"/>
        </w:rPr>
        <w:t xml:space="preserve">Todo o teste da interface foi feito com stubs do Tkinter, nunca em Tk real. A interface foi aprovada visualmente pelo autor no aparelho.</w:t>
      </w:r>
    </w:p>
    <w:p>
      <w:pPr>
        <w:pStyle w:val="ListParagraph"/>
        <w:numPr>
          <w:ilvl w:val="0"/>
          <w:numId w:val="2"/>
        </w:numPr>
        <w:spacing w:after="70" w:line="270"/>
      </w:pPr>
      <w:r>
        <w:rPr>
          <w:rFonts w:ascii="Arial" w:cs="Arial" w:eastAsia="Arial" w:hAnsi="Arial"/>
        </w:rPr>
        <w:t xml:space="preserve">Desempenho medido só em PC: descarga completa em 15–40 s.</w:t>
      </w:r>
    </w:p>
    <w:p>
      <w:pPr>
        <w:pStyle w:val="Heading1"/>
        <w:keepNext/>
        <w:pBdr>
          <w:bottom w:val="single" w:color="9DB4CE" w:sz="6" w:space="2"/>
        </w:pBdr>
        <w:spacing w:after="140" w:before="320"/>
      </w:pPr>
      <w:r>
        <w:rPr>
          <w:rFonts w:ascii="Arial" w:cs="Arial" w:eastAsia="Arial" w:hAnsi="Arial"/>
          <w:b/>
          <w:bCs/>
          <w:color w:val="1F3A5F"/>
          <w:sz w:val="30"/>
          <w:szCs w:val="30"/>
        </w:rPr>
        <w:t xml:space="preserve">6. Estrutura do repositório</w:t>
      </w:r>
    </w:p>
    <w:p>
      <w:pPr>
        <w:shd w:fill="F1F4F8" w:color="auto" w:val="clear"/>
        <w:spacing w:after="0" w:line="250"/>
        <w:ind w:left="140" w:right="140"/>
      </w:pPr>
      <w:r>
        <w:rPr>
          <w:rFonts w:ascii="Courier New" w:cs="Courier New" w:eastAsia="Courier New" w:hAnsi="Courier New"/>
          <w:sz w:val="18"/>
          <w:szCs w:val="18"/>
        </w:rPr>
        <w:t xml:space="preserve">.</w:t>
      </w:r>
    </w:p>
    <w:p>
      <w:pPr>
        <w:shd w:fill="F1F4F8" w:color="auto" w:val="clear"/>
        <w:spacing w:after="0" w:line="250"/>
        <w:ind w:left="140" w:right="140"/>
      </w:pPr>
      <w:r>
        <w:rPr>
          <w:rFonts w:ascii="Courier New" w:cs="Courier New" w:eastAsia="Courier New" w:hAnsi="Courier New"/>
          <w:sz w:val="18"/>
          <w:szCs w:val="18"/>
        </w:rPr>
        <w:t xml:space="preserve">├── final6.py        # aplicação completa (núcleo + interface + gráficos + glossário)</w:t>
      </w:r>
    </w:p>
    <w:p>
      <w:pPr>
        <w:shd w:fill="F1F4F8" w:color="auto" w:val="clear"/>
        <w:spacing w:after="0" w:line="250"/>
        <w:ind w:left="140" w:right="140"/>
      </w:pPr>
      <w:r>
        <w:rPr>
          <w:rFonts w:ascii="Courier New" w:cs="Courier New" w:eastAsia="Courier New" w:hAnsi="Courier New"/>
          <w:sz w:val="18"/>
          <w:szCs w:val="18"/>
        </w:rPr>
        <w:t xml:space="preserve">├── zba_v2.py        # núcleo matemático isolado, com CLI (ver nota)</w:t>
      </w:r>
    </w:p>
    <w:p>
      <w:pPr>
        <w:shd w:fill="F1F4F8" w:color="auto" w:val="clear"/>
        <w:spacing w:after="0" w:line="250"/>
        <w:ind w:left="140" w:right="140"/>
      </w:pPr>
      <w:r>
        <w:rPr>
          <w:rFonts w:ascii="Courier New" w:cs="Courier New" w:eastAsia="Courier New" w:hAnsi="Courier New"/>
          <w:sz w:val="18"/>
          <w:szCs w:val="18"/>
        </w:rPr>
        <w:t xml:space="preserve">├── docs/</w:t>
      </w:r>
    </w:p>
    <w:p>
      <w:pPr>
        <w:shd w:fill="F1F4F8" w:color="auto" w:val="clear"/>
        <w:spacing w:after="0" w:line="250"/>
        <w:ind w:left="140" w:right="140"/>
      </w:pPr>
      <w:r>
        <w:rPr>
          <w:rFonts w:ascii="Courier New" w:cs="Courier New" w:eastAsia="Courier New" w:hAnsi="Courier New"/>
          <w:sz w:val="18"/>
          <w:szCs w:val="18"/>
        </w:rPr>
        <w:t xml:space="preserve">│   └── previa_graficos_340px.png</w:t>
      </w:r>
    </w:p>
    <w:p>
      <w:pPr>
        <w:shd w:fill="F1F4F8" w:color="auto" w:val="clear"/>
        <w:spacing w:after="0" w:line="250"/>
        <w:ind w:left="140" w:right="140"/>
      </w:pPr>
      <w:r>
        <w:rPr>
          <w:rFonts w:ascii="Courier New" w:cs="Courier New" w:eastAsia="Courier New" w:hAnsi="Courier New"/>
          <w:sz w:val="18"/>
          <w:szCs w:val="18"/>
        </w:rPr>
        <w:t xml:space="preserve">└── README.md</w:t>
      </w:r>
    </w:p>
    <w:p>
      <w:pPr>
        <w:spacing w:after="100"/>
      </w:pPr>
    </w:p>
    <w:p>
      <w:pPr>
        <w:spacing w:after="120" w:line="276"/>
      </w:pPr>
      <w:r>
        <w:rPr>
          <w:rFonts w:ascii="Arial" w:cs="Arial" w:eastAsia="Arial" w:hAnsi="Arial"/>
          <w:b/>
          <w:bCs/>
        </w:rPr>
        <w:t xml:space="preserve">Nota. </w:t>
      </w:r>
      <w:r>
        <w:rPr>
          <w:rFonts w:ascii="Arial" w:cs="Arial" w:eastAsia="Arial" w:hAnsi="Arial"/>
        </w:rPr>
        <w:t xml:space="preserve">zba_v2.py é o núcleo sem interface e pode estar defasado em relação ao núcleo embutido em final6.py, que é a referência.</w:t>
      </w:r>
    </w:p>
    <w:p>
      <w:pPr>
        <w:pStyle w:val="Heading1"/>
        <w:keepNext/>
        <w:pBdr>
          <w:bottom w:val="single" w:color="9DB4CE" w:sz="6" w:space="2"/>
        </w:pBdr>
        <w:spacing w:after="140" w:before="320"/>
      </w:pPr>
      <w:r>
        <w:rPr>
          <w:rFonts w:ascii="Arial" w:cs="Arial" w:eastAsia="Arial" w:hAnsi="Arial"/>
          <w:b/>
          <w:bCs/>
          <w:color w:val="1F3A5F"/>
          <w:sz w:val="30"/>
          <w:szCs w:val="30"/>
        </w:rPr>
        <w:t xml:space="preserve">7. Como executar</w:t>
      </w:r>
    </w:p>
    <w:p>
      <w:pPr>
        <w:spacing w:after="120" w:line="276"/>
      </w:pPr>
      <w:r>
        <w:rPr>
          <w:rFonts w:ascii="Arial" w:cs="Arial" w:eastAsia="Arial" w:hAnsi="Arial"/>
        </w:rPr>
        <w:t xml:space="preserve">Requisitos: Python 3, numpy, Tkinter. Testado como alvo no Pydroid 3 (Android).</w:t>
      </w:r>
    </w:p>
    <w:p>
      <w:pPr>
        <w:shd w:fill="F1F4F8" w:color="auto" w:val="clear"/>
        <w:spacing w:after="0" w:line="250"/>
        <w:ind w:left="140" w:right="140"/>
      </w:pPr>
      <w:r>
        <w:rPr>
          <w:rFonts w:ascii="Courier New" w:cs="Courier New" w:eastAsia="Courier New" w:hAnsi="Courier New"/>
          <w:sz w:val="18"/>
          <w:szCs w:val="18"/>
        </w:rPr>
        <w:t xml:space="preserve">python final6.py        # interface gráfica</w:t>
      </w:r>
    </w:p>
    <w:p>
      <w:pPr>
        <w:shd w:fill="F1F4F8" w:color="auto" w:val="clear"/>
        <w:spacing w:after="0" w:line="250"/>
        <w:ind w:left="140" w:right="140"/>
      </w:pPr>
      <w:r>
        <w:rPr>
          <w:rFonts w:ascii="Courier New" w:cs="Courier New" w:eastAsia="Courier New" w:hAnsi="Courier New"/>
          <w:sz w:val="18"/>
          <w:szCs w:val="18"/>
        </w:rPr>
        <w:t xml:space="preserve">python zba_v2.py C      # núcleo via terminal: A | B | C | D | cellA</w:t>
      </w:r>
    </w:p>
    <w:p>
      <w:pPr>
        <w:spacing w:after="100"/>
      </w:pPr>
    </w:p>
    <w:p>
      <w:pPr>
        <w:spacing w:after="120" w:line="276"/>
      </w:pPr>
      <w:r>
        <w:rPr>
          <w:rFonts w:ascii="Arial" w:cs="Arial" w:eastAsia="Arial" w:hAnsi="Arial"/>
        </w:rPr>
        <w:t xml:space="preserve">A interface traz 5 predefinições (eletrólitos A, B, C, D e a célula do artigo em 3 ciclos), protocolo configurável, 11 gráficos em Canvas puro (sem matplotlib), varredura de espessura de Zn × energia (análoga à Fig. 9) e um glossário de 126 verbetes técnicos com referências.</w:t>
      </w:r>
    </w:p>
    <w:p>
      <w:pPr>
        <w:pStyle w:val="Heading1"/>
        <w:keepNext/>
        <w:pBdr>
          <w:bottom w:val="single" w:color="9DB4CE" w:sz="6" w:space="2"/>
        </w:pBdr>
        <w:spacing w:after="140" w:before="320"/>
      </w:pPr>
      <w:r>
        <w:rPr>
          <w:rFonts w:ascii="Arial" w:cs="Arial" w:eastAsia="Arial" w:hAnsi="Arial"/>
          <w:b/>
          <w:bCs/>
          <w:color w:val="1F3A5F"/>
          <w:sz w:val="30"/>
          <w:szCs w:val="30"/>
        </w:rPr>
        <w:t xml:space="preserve">8. Citação e licença</w:t>
      </w:r>
    </w:p>
    <w:p>
      <w:pPr>
        <w:spacing w:after="120" w:line="276"/>
      </w:pPr>
      <w:r>
        <w:rPr>
          <w:rFonts w:ascii="Arial" w:cs="Arial" w:eastAsia="Arial" w:hAnsi="Arial"/>
        </w:rPr>
        <w:t xml:space="preserve">Se usar este trabalho, cite também o artigo-fonte (seção 2).</w:t>
      </w:r>
    </w:p>
    <w:p>
      <w:pPr>
        <w:spacing w:after="120" w:line="276"/>
      </w:pPr>
      <w:r>
        <w:rPr>
          <w:rFonts w:ascii="Arial" w:cs="Arial" w:eastAsia="Arial" w:hAnsi="Arial"/>
          <w:b/>
          <w:bCs/>
        </w:rPr>
        <w:t xml:space="preserve">Autor: </w:t>
      </w:r>
      <w:r>
        <w:rPr>
          <w:rFonts w:ascii="Arial" w:cs="Arial" w:eastAsia="Arial" w:hAnsi="Arial"/>
        </w:rPr>
        <w:t xml:space="preserve">Alejandro — (completar nome e contato)</w:t>
      </w:r>
    </w:p>
    <w:p>
      <w:pPr>
        <w:spacing w:after="120" w:line="276"/>
      </w:pPr>
      <w:r>
        <w:rPr>
          <w:rFonts w:ascii="Arial" w:cs="Arial" w:eastAsia="Arial" w:hAnsi="Arial"/>
          <w:b/>
          <w:bCs/>
        </w:rPr>
        <w:t xml:space="preserve">Licença: </w:t>
      </w:r>
      <w:r>
        <w:rPr>
          <w:rFonts w:ascii="Arial" w:cs="Arial" w:eastAsia="Arial" w:hAnsi="Arial"/>
        </w:rPr>
        <w:t xml:space="preserve">(escolher, por exemplo MIT)</w:t>
      </w:r>
    </w:p>
    <w:p>
      <w:pPr>
        <w:spacing w:before="160"/>
      </w:pPr>
      <w:r>
        <w:rPr>
          <w:rFonts w:ascii="Arial" w:cs="Arial" w:eastAsia="Arial" w:hAnsi="Arial"/>
          <w:i/>
          <w:iCs/>
          <w:color w:val="555555"/>
        </w:rPr>
        <w:t xml:space="preserve">Este é um modelo de pesquisa e estudo. Não é uma ferramenta validada para projeto de produto.</w:t>
      </w:r>
    </w:p>
    <w:sectPr>
      <w:footerReference w:type="default" r:id="rId7"/>
      <w:pgSz w:w="11906" w:h="16838" w:orient="portrait"/>
      <w:pgMar w:top="1304" w:right="1134" w:bottom="130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888888"/>
        <w:sz w:val="17"/>
        <w:szCs w:val="17"/>
      </w:rPr>
      <w:t xml:space="preserve">Modelagem zinco-ar neutra — página </w:t>
    </w:r>
    <w:r>
      <w:rPr>
        <w:rFonts w:ascii="Arial" w:cs="Arial" w:eastAsia="Arial" w:hAnsi="Arial"/>
        <w:color w:val="888888"/>
        <w:sz w:val="17"/>
        <w:szCs w:val="17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27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fxv7r9e0etoetsr6_dvez" Type="http://schemas.openxmlformats.org/officeDocument/2006/relationships/hyperlink" Target="https://doi.org/10.1002/cssc.201701468" TargetMode="External"/><Relationship Id="rId8" Type="http://schemas.openxmlformats.org/officeDocument/2006/relationships/image" Target="media/f117630cd11983a9cc5487fd1c14fbe75e799056.png"/><Relationship Id="rId10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2026-10-11T13:46:52.718Z</dcterms:created>
  <dcterms:modified xsi:type="dcterms:W3CDTF">2026-10-11T13:46:52.718Z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