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TRIBO_SOFT — NOVO MAIN (v11)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Modelo de integridade tribológica acoplada: fadiga multiaxial, atrito misto e desgaste incremental com realimentação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Reestruturação operacional do MAIN_TRIBOSOFT. Implementação de referência: TRIBOCONTATOGRACIA11.py (Pydroid 3 / Tkinter, biblioteca padrão).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 Escopo e regra de leitura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Este documento substitui, no nível operacional, as formulações do MAIN que o código v10 simplificava: desgaste linear sobre geometria fixa, atrito de Coulomb constante, curva S-N de dois pontos sobre a pressão superficial e temperatura de Blok sem solução para Pe &lt; 10. As seções do MAIN original que não aparecem aqui permanecem válidas como estão (mapa na seção 10).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Regra de honestidade. </w:t>
      </w:r>
      <w:r>
        <w:rPr>
          <w:rFonts w:ascii="Arial" w:cs="Arial" w:eastAsia="Arial" w:hAnsi="Arial"/>
          <w:sz w:val="21"/>
          <w:szCs w:val="21"/>
        </w:rPr>
        <w:t xml:space="preserve">Nada do que é novo na v11 foi validado contra dado experimental. Cada elemento recebe um nível: [V] verificação matemática (identidade ou solução fechada, testada); [R] referência analítica publicada, testada numericamente; [C] calibrado em dado externo; [N] não validado. Premissas estáticas (valores fixos durante o cálculo) são marcadas como tais.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Ordem de implementação adotada: </w:t>
      </w:r>
      <w:r>
        <w:rPr>
          <w:rFonts w:ascii="Arial" w:cs="Arial" w:eastAsia="Arial" w:hAnsi="Arial"/>
          <w:sz w:val="21"/>
          <w:szCs w:val="21"/>
        </w:rPr>
        <w:t xml:space="preserve">3 (fadiga), 2 (atrito e temperatura), 1 (desgaste incremental), conforme solicitado.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 que mudou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700"/>
        <w:gridCol w:w="2138"/>
      </w:tblGrid>
      <w:tr>
        <w:trPr>
          <w:tblHeader/>
        </w:trPr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Simplificação do v10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Substituição na v11</w:t>
            </w:r>
          </w:p>
        </w:tc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Seções do MAIN afetadas</w:t>
            </w:r>
          </w:p>
        </w:tc>
        <w:tc>
          <w:tcPr>
            <w:tcW w:type="dxa" w:w="2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w_N = N·w₁ sobre elipse fixa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Desgaste incremental com realimentação geometria → pressão (contato em grade, Heun)</w:t>
            </w:r>
          </w:p>
        </w:tc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14.9, 14.10, 14.38, 22.16, 25.13, 25.20</w:t>
            </w:r>
          </w:p>
        </w:tc>
        <w:tc>
          <w:tcPr>
            <w:tcW w:type="dxa" w:w="2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[V] solver e laço; [N] resultado físico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 = 0,05 constante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 misto: asperezas (Greenwood-Williamson) + fluido (Eyring)</w:t>
            </w:r>
          </w:p>
        </w:tc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19, 25.11, 36.9</w:t>
            </w:r>
          </w:p>
        </w:tc>
        <w:tc>
          <w:tcPr>
            <w:tcW w:type="dxa" w:w="2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[V] limites e integrais; [N] parâmetros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Blok n/a para Pe &lt; 10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Cota estacionária de temperatura (teto)</w:t>
            </w:r>
          </w:p>
        </w:tc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20, 36.11</w:t>
            </w:r>
          </w:p>
        </w:tc>
        <w:tc>
          <w:tcPr>
            <w:tcW w:type="dxa" w:w="2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[V]/[R] identidades; [N] uso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S-N de 2 pontos em pH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S-N em Φ(z) = τ_amp + λ·p_hid,max, D(z) por profundidade</w:t>
            </w:r>
          </w:p>
        </w:tc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9.12, 13.6–13.11, 13.16, 13.22</w:t>
            </w:r>
          </w:p>
        </w:tc>
        <w:tc>
          <w:tcPr>
            <w:tcW w:type="dxa" w:w="2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[V] identidades; [N] λ e ausência de H(z)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Cadeia causal da v11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entradas → Hertz (a, b, p0) → filme EHL (hmin, hc, Λ)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→ atrito misto μ_din → calor / T_flash / T_estac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→ historico de tensoes sigma(x,y,z,t) → Φ(z) → D(z)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→ [opt-in] laço de desgaste: w(y,N) → folga g → p(x,y) → dw/dN → ...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 laço de desgaste é opt-in porque custa mais que o cálculo padrão. A realimentação para o filme (hmin muda com a geometria desgastada) e para a temperatura (η depende de T) não está fechada na v11: ver seção 9.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Fadiga multiaxial por profundidade (etapa 3)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 Formulação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Em cada profundidade z, o ponto material fixo vê o ciclo H_c(z) do tensor completo (6 componentes, núcleo de Boussinesq integrado sobre a elipse de Hertz, já verificado na v10). Com compressão positiva: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τ_amp(z) = [max τ_zs − min τ_zs]/2      (cisalhamento ortogonal ao longo da trajetória)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p_hid,max(z) = max_t (σx + σy + σz)/3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Φ(z) = τ_amp(z) + λ · p_hid,max(z)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λ é constante de material, de entrada (padrão 0,3), e NÃO consta no MAIN. A forma é do tipo Crossland/Dang Van; não se afirma equivalência com um desses critérios, que exigem limites de fadiga que o MAIN não fornece.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 Curva S-N e dano por profundidade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lei de potência de dois pontos do MAIN (800 MPa → 2,75·10⁶ ciclos; 700 MPa → 6,73·10⁶) é reescrita em Φ pela razão de referência ρ_ref = Φ_max / p0 do contato nominal (premissa estática: os ensaios do MAIN correspondem ao contato nominal do caso). Então: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p_eq(z) = Φ(z) / ρ_ref ;   N_f(z) = N_f,SN(p_eq(z)) ;   D(z) = Σ_i n_i / N_f(z)   (v11: um nível, n = N)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D_φ = max_z D(z)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Consequência exata da calibração: no contato nominal, D(z_crít) = N / N_f,SN(p0) para qualquer λ. O parâmetro λ só altera a distribuição de D em profundidade e a comparação entre contatos de geometrias diferentes.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3.3 O que não está incluído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Gradiente de dureza H(z) do perfil cementado do AISI 8620: o MAIN não fornece o perfil. N_f é o mesmo em todas as profundidades [N].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G_sub = R_sub − Φ_sub (MAIN 9.12, 13.16): continua sem R_sub nem Φ_sub; não é calculado.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Espectro de carga com vários níveis: a função dano_miner_phi aceita a lista [(n_i, Φ_i)], mas a interface usa um nível.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Fora de 700–800 MPa a S-N é extrapolada; o relatório rotula a faixa.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Atrito misto e temperatura (etapa 2)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4.1 Atrito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μ = α_asp · μ_asp + (1 − α_asp) · (∫ τ_f dA) / F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τ_f = τ0 · asinh( η(p) · γ̇ / τ0 ),  η(p) = η0 · exp(α_p · p),  γ̇ = v_desl / h_f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α_asp(Λ) = F_3/2(Λ) / F_3/2(0),  F_3/2(t) = E[(X − t)₊^(3/2)],  X ~ N(0,1)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integral de τ_f sobre a elipse é reduzida a uma quadratura 1D em s = √(1 − ρ²): ∫τ_f dA = 2π a b ∫₀¹ τ_f(p0·s) · s ds. O filme h_f é h_c quando disponível; no ramo angular (sem h_c), h_min. η é avaliada em T_bulk (acoplamento com a temperatura de contato não incluído).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Níveis. </w:t>
      </w:r>
      <w:r>
        <w:rPr>
          <w:rFonts w:ascii="Arial" w:cs="Arial" w:eastAsia="Arial" w:hAnsi="Arial"/>
          <w:sz w:val="21"/>
          <w:szCs w:val="21"/>
        </w:rPr>
        <w:t xml:space="preserve">Limites verificados: α_asp(0) = 1; F_3/2(0) = 2^(1/4)·Γ(5/4)/√(2π); decaimento monótono; limite newtoniano e de alto cisalhamento da lei de Eyring; μ = μ_asp quando α = 1 e μ = μ_fluido quando α = 0; integral 1D contra grade cartesiana.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[N]: </w:t>
      </w:r>
      <w:r>
        <w:rPr>
          <w:rFonts w:ascii="Arial" w:cs="Arial" w:eastAsia="Arial" w:hAnsi="Arial"/>
          <w:sz w:val="21"/>
          <w:szCs w:val="21"/>
        </w:rPr>
        <w:t xml:space="preserve">μ_asp (padrão 0,12, faixa 0,1–0,12 citada na versão anterior do rascunho), τ0 (padrão 5 MPa, ilustrativo) e a magnitude de α_asp (apenas a forma gaussiana, normalizada, não a carga absoluta nas asperezas).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4.2 Temperatura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 flash de Blok (MAIN 20) permanece inalterado e, agora, também é calculado com μ_din. Para Pe &lt; 10, em que o MAIN o declara inaplicável, a v11 não inventa uma temperatura: informa uma cota superior estacionária.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T_estac = q0 · G / (2 k),   q0 = μ · p0 · v_desl,   G = (1/8) ∮ ρ(φ) dφ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ρ(φ) é a semi-corda da elipse na direção φ. Para o círculo, G = π a / 4 (solução exata). Para fonte móvel com o mesmo fluxo, o núcleo de Green em regime permanente é o estacionário multiplicado por exp(−v(R + ξ)/2κ) ≤ 1; logo a temperatura sob a fonte móvel não excede a estacionária. Com partição por temperaturas iguais entre dois corpos de mesma condutividade, o teto é q0·G/(2k). O valor costuma ser muito conservador (milhares de kelvin em deslizamento rápido) e serve apenas como limite, não como estimativa.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Não foi implementada a equação de energia tridimensional transiente proposta no rascunho anterior: exige malha 3D e não é compatível com o requisito de processamento leve em Android; também não há dado de temperatura para validá-la.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Desgaste incremental com realimentação (etapa 1)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5.1 Modelo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g(x,y,N) = x²/(2Rx) + y²/(2Ry) + w(y,N) − δ</w:t>
      </w:r>
    </w:p>
    <w:p>
      <w:pPr>
        <w:shd w:fill="F1F5F9" w:val="clear"/>
        <w:spacing w:after="100" w:before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dw/dN (y) = K · v_desl / H · (1/u1 + 1/u2) · ∫ p(x,y) dx      (soma dos dois corpos)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trilha de desgaste ao longo de x faz w depender apenas de y (premissa estática; o ângulo de arrastamento θ é ignorado no desgaste, como no cálculo padrão). A cada passo, a pressão é recalculada resolvendo o contato elástico sem atrito sobre a folga g. Quando o centro desgasta mais que as bordas, a pressão migra e o contato se alarga: a conformidade desacelera o desgaste, que é o mecanismo que o v10 não tinha.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5.2 Solver de contato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Deslocamento por influência de células retangulares de pressão uniforme (fórmula de Love), um quadrante com as três imagens espelhadas (simetria em x e y). u = (1/π E*) ∫ p/r dA, mesma convenção do teste de Hertz do código.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Problema de complementaridade (p ≥ 0, não-penetração, ΣpΔA = F) por conjunto ativo, com Cholesky do bloco em contato. Grade padrão 10×10 por quadrante.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Domínio: x livre (ajusta-se ao contato), y adaptativo; o desgaste é guardado em tabela fina em y, independente da grade.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5.3 Integração no tempo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Euler modificado (Heun) em N. O passo é limitado por dw ≤ γ (w_max + 0,1 δ0), com γ = 0,5, e, por estabilidade, pela variação relativa da taxa de desgaste entre preditor e corretor (≤ 0,35); o passo é reduzido pela metade enquanto exceder esse limite. Sem esse controle o esquema explícito oscilou (pressão do centro aliviava e se concentrava nas bordas).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5.4 Resultados de verificação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38"/>
      </w:tblGrid>
      <w:tr>
        <w:trPr>
          <w:tblHeader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Tolerância (posterior)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Grade sem desgaste: p_max vs Hertz exato (n = 10)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0,32 %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1 %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Grade sem desgaste: δ vs Hertz (deslocamento exato)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0,03 %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0,5 %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Equilíbrio de força; p ≥ 0; compatibilidade; não-penetração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1e-16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1e-9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Desgaste pequeno: w(0) incremental vs N(w1+w2) linear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1,4 %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5 %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Convergência (n = 10 vs 12; passo 0,35 vs 0,2), w(0)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diferença 0,015 %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3 %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 = 0: sem desgaste e sem alteração de pressão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exato</w:t>
            </w:r>
          </w:p>
        </w:tc>
        <w:tc>
          <w:tcPr>
            <w:tcW w:type="dxa" w:w="2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Exemplo (padrões do programa, K reduzido para 2·10⁻¹¹ de modo a ficar no regime em que a malha converge): </w:t>
      </w:r>
      <w:r>
        <w:rPr>
          <w:rFonts w:ascii="Arial" w:cs="Arial" w:eastAsia="Arial" w:hAnsi="Arial"/>
          <w:sz w:val="21"/>
          <w:szCs w:val="21"/>
        </w:rPr>
        <w:t xml:space="preserve">w(0) incremental = 41,5 µm contra 118,5 µm do cálculo linear estático (razão 0,35); p_max cai de 843 para 456 MPa; área de contato × 1,71; semi-largura em y de 1,37 para 3,95 mm.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5.5 Limites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Com K = 2·10⁻⁹ (padrão do programa) o desgaste é da ordem de 10 mm; o laço é limitado a 60 passos e termina antes de N, com o relatório marcado como INCOMPLETO. Nesse regime o semiespaço elástico e Archard com K constante já não são defensáveis.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p_max é sensível à malha em bordas de sulco; o relatório também traz p0eq = (4/3)·p_ef (p_ef = ∫p²dA / F), mais suave. O Miner com p_max(t) é indicativo [N].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N é tomado igual nos dois corpos; K e H constantes; sem micropitting nem mudança de rugosidade.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Algoritmo por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Operação</w:t>
            </w:r>
          </w:p>
        </w:tc>
        <w:tc>
          <w:tcPr>
            <w:tcW w:type="dxa" w:w="3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 (referência em PC)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Padrão</w:t>
            </w:r>
          </w:p>
        </w:tc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Hertz, filme, μ misto, T, tensões no eixo, veredito</w:t>
            </w:r>
          </w:p>
        </w:tc>
        <w:tc>
          <w:tcPr>
            <w:tcW w:type="dxa" w:w="3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0,05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+ D(z)</w:t>
            </w:r>
          </w:p>
        </w:tc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de tensões em 10 profundidades × 41 pontos</w:t>
            </w:r>
          </w:p>
        </w:tc>
        <w:tc>
          <w:tcPr>
            <w:tcW w:type="dxa" w:w="3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1,5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Desgaste incremental</w:t>
            </w:r>
          </w:p>
        </w:tc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10×10 por quadrante, ≈ 35 passos, até ~3 resoluções por passo</w:t>
            </w:r>
          </w:p>
        </w:tc>
        <w:tc>
          <w:tcPr>
            <w:tcW w:type="dxa" w:w="3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1–3 s (aparelho Android: ordem de 10× mais)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v11</w:t>
            </w:r>
          </w:p>
        </w:tc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 testes</w:t>
            </w:r>
          </w:p>
        </w:tc>
        <w:tc>
          <w:tcPr>
            <w:tcW w:type="dxa" w:w="3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8 s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Os tempos de aparelho não foram medidos: a estimativa de 10× é uma ordem de grandeza, não um resultado.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Verificação e validação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 das execuções (26/10/2026, ambiente de desenvolvimento, não Pydroid): </w:t>
      </w:r>
      <w:r>
        <w:rPr>
          <w:rFonts w:ascii="Arial" w:cs="Arial" w:eastAsia="Arial" w:hAnsi="Arial"/>
          <w:sz w:val="21"/>
          <w:szCs w:val="21"/>
        </w:rPr>
        <w:t xml:space="preserve">--validar 69/69; --validar-hist 47/47; --validar-v11 37/37.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Parte dos testes da v11 são identidades por construção (por exemplo, D(z_crít) = D em pH após calibração; Φ(z_i) igual à soma definida). Elas verificam fiação e unidades, não física. Os testes com conteúdo físico independente são: kernel de Love contra quadratura; contato em grade contra Hertz exato; hidrostática no eixo contra Johnson; escalamento de Φ; integral do fluido contra grade cartesiana; G elíptico contra integral dupla; limites de Eyring; convergência do desgaste.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Tolerâncias da v11 foram fixadas após prototipar o solver </w:t>
      </w:r>
      <w:r>
        <w:rPr>
          <w:rFonts w:ascii="Arial" w:cs="Arial" w:eastAsia="Arial" w:hAnsi="Arial"/>
          <w:sz w:val="21"/>
          <w:szCs w:val="21"/>
        </w:rPr>
        <w:t xml:space="preserve">(escolha de n = 10 e dos critérios de passo feita com Hertz exato e convergência à vista). Pelo critério 28.26 do MAIN, devem ser tratadas como posteriores ao resultado. Os testes de dado externo (E) do v10 não mudaram, e nenhum dado externo novo foi usado na v11.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Parâmetros novos e natureza (estático ou dinâmico)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3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/ nível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mu_asp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Atrito limite entre asperezas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 (constante)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Entrada, padrão 0,12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tau0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Tensão de Eyring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 (constante)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Entrada, padrão 5 MPa, ilustrativo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Peso da pressão hidrostática em Φ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 (constante)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Entrada, padrão 0,3, sem fonte no MAIN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ρ_ref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Φ_max/p0 de calibração da S-N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 por caso (calculado no nominal)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Premissa de calibração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w(y,N)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de desgaste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DINÂMICO (evolui com N)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Calculado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p(x,y,N)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Pressão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DINÂMICO no laço de desgaste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Calculado [V] (solver)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η, h_f, α_asp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Viscosidade, filme e fração de asperezas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Estáticos durante o laço (não realimentam)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Premissa [N]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</w:t>
            </w:r>
          </w:p>
        </w:tc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Atrito de entrada (Blok) e μ_din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Estáticos durante o laço</w:t>
            </w:r>
          </w:p>
        </w:tc>
        <w:tc>
          <w:tcPr>
            <w:tcW w:type="dxa" w:w="2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μ_din calculado no contato inicial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Limitações e próximos passos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Realimentação do desgaste para o filme (h_min com a geometria desgastada) e do atrito para a temperatura e desta para η: não fechadas.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Calibração de K, τ0, μ_asp e λ com dado do par real; sem isso os resultados absolutos de vida e desgaste são tendências.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Perfil H(z) do aço cementado, necessário para N_f contínuo em profundidade.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Desgaste com ângulo de arrastamento θ ≠ 0 (hoje ignorado) e contatos múltiplos no ciclo de engrenamento.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Substituir p_max por medida independente de malha para o dano com pressão não hertziana.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Mapa para o MAIN original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Seções do MAIN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 na v11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1–8, E1–E5, 10, 12, 15–18, 21, 23, 24, 26, 30–35, 37–39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Mantidas.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(campo de pressão e tensões)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Mantida; 9.12 ganha Φ(z) com hidrostática (seção 3).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 20 (térmica, flash)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Blok mantido; acrescenta cota estacionária (seção 4.2).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(fadiga e macropitting)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13.6–13.11, 13.16 e 13.22 substituídas por Φ(z) e D(z) (seção 3).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(desgaste)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14.9, 14.10, 14.38 passam a ser operacionais (seção 5).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 25.11 (atrito e cisalhamento)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 constante substituído por μ misto (seção 4.1).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22, 25 (formulação computacional e solução numérica)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22.16, 25.13 e 25.20 implementadas no laço opt-in.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 28 (calibração, verificação)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28.26 aplicado com a ressalva de tolerâncias posteriores (seção 7). 27 segue pendente para os parâmetros novos.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(incerteza)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Inalterada; não inclui os parâmetros novos.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(limitações)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Estendida pelas seções 3.3, 4, 5.5 e 9.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NOVO MAIN v11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MAIN v11</dc:title>
  <dc:creator>TRIBO_SOFT</dc:creator>
  <cp:lastModifiedBy>Un-named</cp:lastModifiedBy>
  <cp:revision>1</cp:revision>
  <dcterms:created xsi:type="dcterms:W3CDTF">2026-10-26T20:09:59.004Z</dcterms:created>
  <dcterms:modified xsi:type="dcterms:W3CDTF">2026-10-26T20:09:59.013Z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