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Auditoría Interna (documento ficticio)</w:t>
      </w:r>
    </w:p>
    <w:p>
      <w:r>
        <w:t>Documento de prueba para el proyecto. Los datos son inventados.</w:t>
      </w:r>
    </w:p>
    <w:p>
      <w:pPr>
        <w:pStyle w:val="Heading2"/>
      </w:pPr>
      <w:r>
        <w:t>1. Frecuencia</w:t>
      </w:r>
    </w:p>
    <w:p>
      <w:r>
        <w:t>Las auditorías internas se realizan una vez al año por cada área.</w:t>
      </w:r>
    </w:p>
    <w:p>
      <w:pPr>
        <w:pStyle w:val="Heading2"/>
      </w:pPr>
      <w:r>
        <w:t>2. Informe</w:t>
      </w:r>
    </w:p>
    <w:p>
      <w:r>
        <w:t>El informe final se entrega en un plazo de 20 días hábiles tras el cierre del trabajo de campo.</w:t>
      </w:r>
    </w:p>
    <w:p>
      <w:pPr>
        <w:pStyle w:val="Heading2"/>
      </w:pPr>
      <w:r>
        <w:t>3. Hallazgos</w:t>
      </w:r>
    </w:p>
    <w:p>
      <w:r>
        <w:t>Los hallazgos críticos deben corregirse en un plazo de 30 días desde la entrega del informe.</w:t>
      </w:r>
    </w:p>
    <w:p>
      <w:pPr>
        <w:pStyle w:val="Heading2"/>
      </w:pPr>
      <w:r>
        <w:t>4. Muestreo</w:t>
      </w:r>
    </w:p>
    <w:p>
      <w:r>
        <w:t>Se revisan 25 registros seleccionados al azar por cada proceso auditado.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