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240"/>
        <w:gridCol w:w="2840"/>
      </w:tblGrid>
      <w:tr w:rsidR="00594AFD" w14:paraId="24D1B513" w14:textId="77777777">
        <w:tc>
          <w:tcPr>
            <w:tcW w:w="7880" w:type="dxa"/>
            <w:tcBorders>
              <w:top w:val="none" w:sz="0" w:space="0" w:color="FFFFFF"/>
              <w:left w:val="none" w:sz="0" w:space="0" w:color="FFFFFF"/>
              <w:bottom w:val="none" w:sz="0" w:space="0" w:color="FFFFFF"/>
              <w:right w:val="none" w:sz="0" w:space="0" w:color="FFFFFF"/>
            </w:tcBorders>
            <w:shd w:val="clear" w:color="auto" w:fill="16263F"/>
            <w:tcMar>
              <w:top w:w="200" w:type="dxa"/>
              <w:left w:w="220" w:type="dxa"/>
              <w:bottom w:w="200" w:type="dxa"/>
              <w:right w:w="120" w:type="dxa"/>
            </w:tcMar>
            <w:vAlign w:val="center"/>
          </w:tcPr>
          <w:p w14:paraId="146B7F60" w14:textId="77777777" w:rsidR="00594AFD" w:rsidRDefault="00000000">
            <w:pPr>
              <w:spacing w:after="30"/>
            </w:pPr>
            <w:r>
              <w:rPr>
                <w:b/>
                <w:bCs/>
                <w:color w:val="FFFFFF"/>
                <w:sz w:val="36"/>
                <w:szCs w:val="36"/>
              </w:rPr>
              <w:t>Sprouts Farmers Market, Inc.</w:t>
            </w:r>
          </w:p>
          <w:p w14:paraId="7B023D18" w14:textId="77777777" w:rsidR="00594AFD" w:rsidRDefault="00000000">
            <w:r>
              <w:rPr>
                <w:b/>
                <w:bCs/>
                <w:color w:val="AFC2DA"/>
                <w:sz w:val="19"/>
                <w:szCs w:val="19"/>
              </w:rPr>
              <w:t>NASDAQ: SFM</w:t>
            </w:r>
            <w:r>
              <w:rPr>
                <w:color w:val="AFC2DA"/>
                <w:sz w:val="19"/>
                <w:szCs w:val="19"/>
              </w:rPr>
              <w:t xml:space="preserve">      Equity Research  •  Consumer Staples / Grocery Retail</w:t>
            </w:r>
          </w:p>
        </w:tc>
        <w:tc>
          <w:tcPr>
            <w:tcW w:w="2200" w:type="dxa"/>
            <w:tcBorders>
              <w:top w:val="none" w:sz="0" w:space="0" w:color="FFFFFF"/>
              <w:left w:val="none" w:sz="0" w:space="0" w:color="FFFFFF"/>
              <w:bottom w:val="none" w:sz="0" w:space="0" w:color="FFFFFF"/>
              <w:right w:val="none" w:sz="0" w:space="0" w:color="FFFFFF"/>
            </w:tcBorders>
            <w:shd w:val="clear" w:color="auto" w:fill="16263F"/>
            <w:tcMar>
              <w:top w:w="120" w:type="dxa"/>
              <w:left w:w="120" w:type="dxa"/>
              <w:bottom w:w="120" w:type="dxa"/>
              <w:right w:w="200" w:type="dxa"/>
            </w:tcMar>
            <w:vAlign w:val="center"/>
          </w:tcPr>
          <w:p w14:paraId="1FEEBCE7" w14:textId="77777777" w:rsidR="00594AFD" w:rsidRDefault="00000000">
            <w:pPr>
              <w:jc w:val="right"/>
            </w:pPr>
            <w:r>
              <w:rPr>
                <w:noProof/>
              </w:rPr>
              <w:drawing>
                <wp:inline distT="0" distB="0" distL="0" distR="0" wp14:anchorId="7EB4C197" wp14:editId="7773B61D">
                  <wp:extent cx="1600200" cy="838200"/>
                  <wp:effectExtent l="0" t="0" r="0" b="0"/>
                  <wp:docPr id="1" name="logo" descr="Sprouts Farmers Market" title="Sprou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00200" cy="838200"/>
                          </a:xfrm>
                          <a:prstGeom prst="rect">
                            <a:avLst/>
                          </a:prstGeom>
                        </pic:spPr>
                      </pic:pic>
                    </a:graphicData>
                  </a:graphic>
                </wp:inline>
              </w:drawing>
            </w:r>
          </w:p>
        </w:tc>
      </w:tr>
    </w:tbl>
    <w:p w14:paraId="1C1C5480" w14:textId="77777777" w:rsidR="00594AFD" w:rsidRDefault="00000000">
      <w:pPr>
        <w:pBdr>
          <w:bottom w:val="single" w:sz="6" w:space="4" w:color="D6DDE6"/>
        </w:pBdr>
        <w:tabs>
          <w:tab w:val="right" w:pos="10080"/>
        </w:tabs>
        <w:spacing w:before="80" w:after="160"/>
      </w:pPr>
      <w:r>
        <w:rPr>
          <w:color w:val="667085"/>
          <w:sz w:val="18"/>
          <w:szCs w:val="18"/>
        </w:rPr>
        <w:t>Report Date: 08 January 2026</w:t>
      </w:r>
      <w:r>
        <w:rPr>
          <w:color w:val="667085"/>
          <w:sz w:val="18"/>
          <w:szCs w:val="18"/>
        </w:rPr>
        <w:tab/>
        <w:t>Exchange: NASDAQ  •  Currency: USD</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00"/>
        <w:gridCol w:w="7780"/>
      </w:tblGrid>
      <w:tr w:rsidR="00594AFD" w14:paraId="0B7349C3" w14:textId="77777777">
        <w:tc>
          <w:tcPr>
            <w:tcW w:w="2300" w:type="dxa"/>
            <w:tcBorders>
              <w:top w:val="single" w:sz="6" w:space="0" w:color="16263F"/>
              <w:left w:val="single" w:sz="6" w:space="0" w:color="16263F"/>
              <w:bottom w:val="single" w:sz="6" w:space="0" w:color="16263F"/>
              <w:right w:val="single" w:sz="6" w:space="0" w:color="16263F"/>
            </w:tcBorders>
            <w:tcMar>
              <w:top w:w="80" w:type="dxa"/>
              <w:left w:w="140" w:type="dxa"/>
              <w:bottom w:w="80" w:type="dxa"/>
              <w:right w:w="100" w:type="dxa"/>
            </w:tcMar>
            <w:vAlign w:val="center"/>
          </w:tcPr>
          <w:p w14:paraId="05E267A1" w14:textId="77777777" w:rsidR="00594AFD" w:rsidRDefault="00000000">
            <w:pPr>
              <w:jc w:val="center"/>
            </w:pPr>
            <w:r>
              <w:rPr>
                <w:b/>
                <w:bCs/>
                <w:color w:val="16263F"/>
                <w:sz w:val="24"/>
                <w:szCs w:val="24"/>
              </w:rPr>
              <w:t>STRONG BUY</w:t>
            </w:r>
          </w:p>
        </w:tc>
        <w:tc>
          <w:tcPr>
            <w:tcW w:w="7780" w:type="dxa"/>
            <w:tcBorders>
              <w:top w:val="none" w:sz="0" w:space="0" w:color="FFFFFF"/>
              <w:left w:val="none" w:sz="0" w:space="0" w:color="FFFFFF"/>
              <w:bottom w:val="none" w:sz="0" w:space="0" w:color="FFFFFF"/>
              <w:right w:val="none" w:sz="0" w:space="0" w:color="FFFFFF"/>
            </w:tcBorders>
            <w:tcMar>
              <w:top w:w="80" w:type="dxa"/>
              <w:left w:w="200" w:type="dxa"/>
              <w:bottom w:w="80" w:type="dxa"/>
              <w:right w:w="0" w:type="dxa"/>
            </w:tcMar>
            <w:vAlign w:val="center"/>
          </w:tcPr>
          <w:p w14:paraId="59AE36A5" w14:textId="17AAEA78" w:rsidR="00594AFD" w:rsidRDefault="00000000">
            <w:r>
              <w:rPr>
                <w:color w:val="667085"/>
                <w:sz w:val="19"/>
                <w:szCs w:val="19"/>
              </w:rPr>
              <w:t xml:space="preserve">Current Price </w:t>
            </w:r>
            <w:r>
              <w:rPr>
                <w:b/>
                <w:bCs/>
                <w:sz w:val="19"/>
                <w:szCs w:val="19"/>
              </w:rPr>
              <w:t>$80.30</w:t>
            </w:r>
            <w:r>
              <w:rPr>
                <w:color w:val="D6DDE6"/>
                <w:sz w:val="19"/>
                <w:szCs w:val="19"/>
              </w:rPr>
              <w:t xml:space="preserve">   |   </w:t>
            </w:r>
            <w:r>
              <w:rPr>
                <w:color w:val="667085"/>
                <w:sz w:val="19"/>
                <w:szCs w:val="19"/>
              </w:rPr>
              <w:t xml:space="preserve">Target Price </w:t>
            </w:r>
            <w:r>
              <w:rPr>
                <w:b/>
                <w:bCs/>
                <w:sz w:val="19"/>
                <w:szCs w:val="19"/>
              </w:rPr>
              <w:t>$12</w:t>
            </w:r>
            <w:r w:rsidR="0083480E">
              <w:rPr>
                <w:b/>
                <w:bCs/>
                <w:sz w:val="19"/>
                <w:szCs w:val="19"/>
              </w:rPr>
              <w:t>2</w:t>
            </w:r>
            <w:r>
              <w:rPr>
                <w:b/>
                <w:bCs/>
                <w:sz w:val="19"/>
                <w:szCs w:val="19"/>
              </w:rPr>
              <w:t xml:space="preserve"> </w:t>
            </w:r>
            <w:r>
              <w:rPr>
                <w:color w:val="667085"/>
                <w:sz w:val="18"/>
                <w:szCs w:val="18"/>
              </w:rPr>
              <w:t>(+5</w:t>
            </w:r>
            <w:r w:rsidR="006D1F58">
              <w:rPr>
                <w:color w:val="667085"/>
                <w:sz w:val="18"/>
                <w:szCs w:val="18"/>
              </w:rPr>
              <w:t>2</w:t>
            </w:r>
            <w:r>
              <w:rPr>
                <w:color w:val="667085"/>
                <w:sz w:val="18"/>
                <w:szCs w:val="18"/>
              </w:rPr>
              <w:t>.9%)</w:t>
            </w:r>
            <w:r>
              <w:rPr>
                <w:color w:val="D6DDE6"/>
                <w:sz w:val="19"/>
                <w:szCs w:val="19"/>
              </w:rPr>
              <w:t xml:space="preserve">   |   </w:t>
            </w:r>
            <w:r>
              <w:rPr>
                <w:color w:val="667085"/>
                <w:sz w:val="19"/>
                <w:szCs w:val="19"/>
              </w:rPr>
              <w:t xml:space="preserve">Risk </w:t>
            </w:r>
            <w:r>
              <w:rPr>
                <w:b/>
                <w:bCs/>
                <w:sz w:val="19"/>
                <w:szCs w:val="19"/>
              </w:rPr>
              <w:t>Medium</w:t>
            </w:r>
            <w:r>
              <w:rPr>
                <w:color w:val="D6DDE6"/>
                <w:sz w:val="19"/>
                <w:szCs w:val="19"/>
              </w:rPr>
              <w:t xml:space="preserve">   |   </w:t>
            </w:r>
            <w:r>
              <w:rPr>
                <w:color w:val="667085"/>
                <w:sz w:val="19"/>
                <w:szCs w:val="19"/>
              </w:rPr>
              <w:t>12–24 mo.</w:t>
            </w:r>
          </w:p>
        </w:tc>
      </w:tr>
    </w:tbl>
    <w:p w14:paraId="60E16DF1" w14:textId="77777777" w:rsidR="00594AFD" w:rsidRDefault="00594AFD">
      <w:pPr>
        <w:spacing w:after="60"/>
      </w:pPr>
    </w:p>
    <w:tbl>
      <w:tblPr>
        <w:tblW w:w="1005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
        <w:gridCol w:w="4314"/>
        <w:gridCol w:w="5600"/>
        <w:gridCol w:w="107"/>
      </w:tblGrid>
      <w:tr w:rsidR="00594AFD" w14:paraId="6D13D4EE" w14:textId="77777777" w:rsidTr="0083480E">
        <w:tc>
          <w:tcPr>
            <w:tcW w:w="4344" w:type="dxa"/>
            <w:gridSpan w:val="2"/>
            <w:tcBorders>
              <w:top w:val="none" w:sz="0" w:space="0" w:color="FFFFFF"/>
              <w:left w:val="none" w:sz="0" w:space="0" w:color="FFFFFF"/>
              <w:bottom w:val="none" w:sz="0" w:space="0" w:color="FFFFFF"/>
              <w:right w:val="none" w:sz="0" w:space="0" w:color="FFFFFF"/>
            </w:tcBorders>
            <w:tcMar>
              <w:top w:w="60" w:type="dxa"/>
              <w:left w:w="0" w:type="dxa"/>
              <w:bottom w:w="60" w:type="dxa"/>
              <w:right w:w="220" w:type="dxa"/>
            </w:tcMar>
          </w:tcPr>
          <w:p w14:paraId="4343A7EB" w14:textId="77777777" w:rsidR="00594AFD" w:rsidRDefault="00000000">
            <w:pPr>
              <w:spacing w:after="60"/>
            </w:pPr>
            <w:r>
              <w:rPr>
                <w:b/>
                <w:bCs/>
                <w:color w:val="335074"/>
                <w:spacing w:val="16"/>
                <w:sz w:val="15"/>
                <w:szCs w:val="15"/>
              </w:rPr>
              <w:t>MARKET DATA</w:t>
            </w:r>
          </w:p>
          <w:p w14:paraId="158DB565" w14:textId="77777777" w:rsidR="00594AFD" w:rsidRDefault="00000000">
            <w:pPr>
              <w:pBdr>
                <w:bottom w:val="single" w:sz="4" w:space="3" w:color="D6DDE6"/>
              </w:pBdr>
              <w:tabs>
                <w:tab w:val="right" w:pos="4140"/>
              </w:tabs>
              <w:spacing w:before="30" w:after="30"/>
            </w:pPr>
            <w:r>
              <w:rPr>
                <w:color w:val="667085"/>
                <w:sz w:val="18"/>
                <w:szCs w:val="18"/>
              </w:rPr>
              <w:t>Market Cap</w:t>
            </w:r>
            <w:r>
              <w:rPr>
                <w:b/>
                <w:bCs/>
                <w:sz w:val="18"/>
                <w:szCs w:val="18"/>
              </w:rPr>
              <w:tab/>
              <w:t>$7.9 B</w:t>
            </w:r>
          </w:p>
          <w:p w14:paraId="7874A10E" w14:textId="77777777" w:rsidR="00594AFD" w:rsidRDefault="00000000">
            <w:pPr>
              <w:pBdr>
                <w:bottom w:val="single" w:sz="4" w:space="3" w:color="D6DDE6"/>
              </w:pBdr>
              <w:tabs>
                <w:tab w:val="right" w:pos="4140"/>
              </w:tabs>
              <w:spacing w:before="30" w:after="30"/>
            </w:pPr>
            <w:r>
              <w:rPr>
                <w:color w:val="667085"/>
                <w:sz w:val="18"/>
                <w:szCs w:val="18"/>
              </w:rPr>
              <w:t>Revenue (FY24)</w:t>
            </w:r>
            <w:r>
              <w:rPr>
                <w:b/>
                <w:bCs/>
                <w:sz w:val="18"/>
                <w:szCs w:val="18"/>
              </w:rPr>
              <w:tab/>
              <w:t>$7,719 M</w:t>
            </w:r>
          </w:p>
          <w:p w14:paraId="2D538D39" w14:textId="77777777" w:rsidR="00594AFD" w:rsidRDefault="00000000">
            <w:pPr>
              <w:pBdr>
                <w:bottom w:val="single" w:sz="4" w:space="3" w:color="D6DDE6"/>
              </w:pBdr>
              <w:tabs>
                <w:tab w:val="right" w:pos="4140"/>
              </w:tabs>
              <w:spacing w:before="30" w:after="30"/>
            </w:pPr>
            <w:r>
              <w:rPr>
                <w:color w:val="667085"/>
                <w:sz w:val="18"/>
                <w:szCs w:val="18"/>
              </w:rPr>
              <w:t>Revenue (LTM)</w:t>
            </w:r>
            <w:r>
              <w:rPr>
                <w:b/>
                <w:bCs/>
                <w:sz w:val="18"/>
                <w:szCs w:val="18"/>
              </w:rPr>
              <w:tab/>
              <w:t>$8,653 M</w:t>
            </w:r>
          </w:p>
          <w:p w14:paraId="795D9633" w14:textId="77777777" w:rsidR="00594AFD" w:rsidRDefault="00000000">
            <w:pPr>
              <w:pBdr>
                <w:bottom w:val="single" w:sz="4" w:space="3" w:color="D6DDE6"/>
              </w:pBdr>
              <w:tabs>
                <w:tab w:val="right" w:pos="4140"/>
              </w:tabs>
              <w:spacing w:before="30" w:after="30"/>
            </w:pPr>
            <w:r>
              <w:rPr>
                <w:color w:val="667085"/>
                <w:sz w:val="18"/>
                <w:szCs w:val="18"/>
              </w:rPr>
              <w:t>Net Income (FY24)</w:t>
            </w:r>
            <w:r>
              <w:rPr>
                <w:b/>
                <w:bCs/>
                <w:sz w:val="18"/>
                <w:szCs w:val="18"/>
              </w:rPr>
              <w:tab/>
              <w:t>$380 M</w:t>
            </w:r>
          </w:p>
          <w:p w14:paraId="16582235" w14:textId="77777777" w:rsidR="00594AFD" w:rsidRDefault="00000000">
            <w:pPr>
              <w:pBdr>
                <w:bottom w:val="single" w:sz="4" w:space="3" w:color="D6DDE6"/>
              </w:pBdr>
              <w:tabs>
                <w:tab w:val="right" w:pos="4140"/>
              </w:tabs>
              <w:spacing w:before="30" w:after="30"/>
            </w:pPr>
            <w:r>
              <w:rPr>
                <w:color w:val="667085"/>
                <w:sz w:val="18"/>
                <w:szCs w:val="18"/>
              </w:rPr>
              <w:t>Net Income (LTM)</w:t>
            </w:r>
            <w:r>
              <w:rPr>
                <w:b/>
                <w:bCs/>
                <w:sz w:val="18"/>
                <w:szCs w:val="18"/>
              </w:rPr>
              <w:tab/>
              <w:t>$513 M</w:t>
            </w:r>
          </w:p>
          <w:p w14:paraId="4E251283" w14:textId="77777777" w:rsidR="00594AFD" w:rsidRDefault="00000000">
            <w:pPr>
              <w:pBdr>
                <w:bottom w:val="single" w:sz="4" w:space="3" w:color="D6DDE6"/>
              </w:pBdr>
              <w:tabs>
                <w:tab w:val="right" w:pos="4140"/>
              </w:tabs>
              <w:spacing w:before="30" w:after="30"/>
            </w:pPr>
            <w:r>
              <w:rPr>
                <w:color w:val="667085"/>
                <w:sz w:val="18"/>
                <w:szCs w:val="18"/>
              </w:rPr>
              <w:t>LTM EPS</w:t>
            </w:r>
            <w:r>
              <w:rPr>
                <w:b/>
                <w:bCs/>
                <w:sz w:val="18"/>
                <w:szCs w:val="18"/>
              </w:rPr>
              <w:tab/>
              <w:t>$5.22</w:t>
            </w:r>
          </w:p>
          <w:p w14:paraId="7F43FB76" w14:textId="77777777" w:rsidR="00594AFD" w:rsidRDefault="00000000">
            <w:pPr>
              <w:pBdr>
                <w:bottom w:val="single" w:sz="4" w:space="3" w:color="D6DDE6"/>
              </w:pBdr>
              <w:tabs>
                <w:tab w:val="right" w:pos="4140"/>
              </w:tabs>
              <w:spacing w:before="30" w:after="30"/>
            </w:pPr>
            <w:r>
              <w:rPr>
                <w:color w:val="667085"/>
                <w:sz w:val="18"/>
                <w:szCs w:val="18"/>
              </w:rPr>
              <w:t>P/E</w:t>
            </w:r>
            <w:r>
              <w:rPr>
                <w:b/>
                <w:bCs/>
                <w:sz w:val="18"/>
                <w:szCs w:val="18"/>
              </w:rPr>
              <w:tab/>
              <w:t>15.4x</w:t>
            </w:r>
          </w:p>
          <w:p w14:paraId="6E12CFD5" w14:textId="77777777" w:rsidR="00594AFD" w:rsidRDefault="00000000">
            <w:pPr>
              <w:pBdr>
                <w:bottom w:val="single" w:sz="4" w:space="3" w:color="D6DDE6"/>
              </w:pBdr>
              <w:tabs>
                <w:tab w:val="right" w:pos="4140"/>
              </w:tabs>
              <w:spacing w:before="30" w:after="30"/>
            </w:pPr>
            <w:r>
              <w:rPr>
                <w:color w:val="667085"/>
                <w:sz w:val="18"/>
                <w:szCs w:val="18"/>
              </w:rPr>
              <w:t>EV / EBITDA (LTM)</w:t>
            </w:r>
            <w:r>
              <w:rPr>
                <w:b/>
                <w:bCs/>
                <w:sz w:val="18"/>
                <w:szCs w:val="18"/>
              </w:rPr>
              <w:tab/>
              <w:t>7.79x</w:t>
            </w:r>
          </w:p>
          <w:p w14:paraId="62BC02DB" w14:textId="77777777" w:rsidR="00594AFD" w:rsidRDefault="00000000">
            <w:pPr>
              <w:pBdr>
                <w:bottom w:val="single" w:sz="4" w:space="3" w:color="D6DDE6"/>
              </w:pBdr>
              <w:tabs>
                <w:tab w:val="right" w:pos="4140"/>
              </w:tabs>
              <w:spacing w:before="30" w:after="30"/>
            </w:pPr>
            <w:r>
              <w:rPr>
                <w:color w:val="667085"/>
                <w:sz w:val="18"/>
                <w:szCs w:val="18"/>
              </w:rPr>
              <w:t>EV / EBIT (LTM)</w:t>
            </w:r>
            <w:r>
              <w:rPr>
                <w:b/>
                <w:bCs/>
                <w:sz w:val="18"/>
                <w:szCs w:val="18"/>
              </w:rPr>
              <w:tab/>
              <w:t>11.18x</w:t>
            </w:r>
          </w:p>
          <w:p w14:paraId="61C67BB9" w14:textId="77777777" w:rsidR="00594AFD" w:rsidRDefault="00000000">
            <w:pPr>
              <w:tabs>
                <w:tab w:val="right" w:pos="4140"/>
              </w:tabs>
              <w:spacing w:before="30" w:after="30"/>
            </w:pPr>
            <w:r>
              <w:rPr>
                <w:color w:val="667085"/>
                <w:sz w:val="18"/>
                <w:szCs w:val="18"/>
              </w:rPr>
              <w:t>Beta</w:t>
            </w:r>
            <w:r>
              <w:rPr>
                <w:b/>
                <w:bCs/>
                <w:sz w:val="18"/>
                <w:szCs w:val="18"/>
              </w:rPr>
              <w:tab/>
              <w:t>0.68</w:t>
            </w:r>
          </w:p>
          <w:p w14:paraId="16856531" w14:textId="77777777" w:rsidR="00594AFD" w:rsidRDefault="00000000">
            <w:pPr>
              <w:spacing w:before="60"/>
            </w:pPr>
            <w:r>
              <w:rPr>
                <w:i/>
                <w:iCs/>
                <w:color w:val="667085"/>
                <w:sz w:val="14"/>
                <w:szCs w:val="14"/>
              </w:rPr>
              <w:t>All figures in USD; $ in millions unless noted.</w:t>
            </w:r>
          </w:p>
        </w:tc>
        <w:tc>
          <w:tcPr>
            <w:tcW w:w="5707" w:type="dxa"/>
            <w:gridSpan w:val="2"/>
            <w:tcBorders>
              <w:left w:val="single" w:sz="4" w:space="8" w:color="D6DDE6"/>
            </w:tcBorders>
            <w:tcMar>
              <w:top w:w="60" w:type="dxa"/>
              <w:left w:w="220" w:type="dxa"/>
              <w:bottom w:w="60" w:type="dxa"/>
              <w:right w:w="0" w:type="dxa"/>
            </w:tcMar>
          </w:tcPr>
          <w:p w14:paraId="1687BB61" w14:textId="77777777" w:rsidR="00594AFD" w:rsidRDefault="00000000">
            <w:pPr>
              <w:spacing w:after="60"/>
            </w:pPr>
            <w:r>
              <w:rPr>
                <w:b/>
                <w:bCs/>
                <w:color w:val="335074"/>
                <w:spacing w:val="16"/>
                <w:sz w:val="15"/>
                <w:szCs w:val="15"/>
              </w:rPr>
              <w:t>SHARE PRICE — TRAILING 12 MONTHS</w:t>
            </w:r>
          </w:p>
          <w:p w14:paraId="702C4304" w14:textId="77777777" w:rsidR="00594AFD" w:rsidRDefault="00000000">
            <w:pPr>
              <w:jc w:val="center"/>
            </w:pPr>
            <w:r>
              <w:rPr>
                <w:noProof/>
              </w:rPr>
              <w:drawing>
                <wp:inline distT="0" distB="0" distL="0" distR="0" wp14:anchorId="2D1E64E8" wp14:editId="0211E131">
                  <wp:extent cx="3343275" cy="2095500"/>
                  <wp:effectExtent l="0" t="0" r="0" b="0"/>
                  <wp:docPr id="484715521" name="image2" descr="Exhibit 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343275" cy="2095500"/>
                          </a:xfrm>
                          <a:prstGeom prst="rect">
                            <a:avLst/>
                          </a:prstGeom>
                        </pic:spPr>
                      </pic:pic>
                    </a:graphicData>
                  </a:graphic>
                </wp:inline>
              </w:drawing>
            </w:r>
          </w:p>
        </w:tc>
      </w:tr>
      <w:tr w:rsidR="00594AFD" w14:paraId="70098D9E" w14:textId="77777777" w:rsidTr="0083480E">
        <w:trPr>
          <w:gridBefore w:val="1"/>
          <w:gridAfter w:val="1"/>
          <w:wBefore w:w="30" w:type="dxa"/>
          <w:wAfter w:w="107" w:type="dxa"/>
        </w:trPr>
        <w:tc>
          <w:tcPr>
            <w:tcW w:w="9914" w:type="dxa"/>
            <w:gridSpan w:val="2"/>
            <w:tcBorders>
              <w:left w:val="single" w:sz="24" w:space="0" w:color="B11226"/>
            </w:tcBorders>
            <w:tcMar>
              <w:top w:w="130" w:type="dxa"/>
              <w:left w:w="200" w:type="dxa"/>
              <w:bottom w:w="130" w:type="dxa"/>
              <w:right w:w="200" w:type="dxa"/>
            </w:tcMar>
          </w:tcPr>
          <w:p w14:paraId="2CDC9EA1" w14:textId="77777777" w:rsidR="00594AFD" w:rsidRPr="0083480E" w:rsidRDefault="00000000">
            <w:pPr>
              <w:spacing w:after="60"/>
            </w:pPr>
            <w:r w:rsidRPr="0083480E">
              <w:rPr>
                <w:b/>
                <w:bCs/>
                <w:color w:val="B11226"/>
                <w:spacing w:val="18"/>
                <w:sz w:val="16"/>
                <w:szCs w:val="16"/>
              </w:rPr>
              <w:t>INVESTMENT SUMMARY</w:t>
            </w:r>
          </w:p>
          <w:p w14:paraId="26BE5D2F" w14:textId="7B9EDC97" w:rsidR="00594AFD" w:rsidRPr="0083480E" w:rsidRDefault="00000000">
            <w:pPr>
              <w:spacing w:line="264" w:lineRule="auto"/>
              <w:jc w:val="both"/>
            </w:pPr>
            <w:r w:rsidRPr="0083480E">
              <w:t>Sprouts Farmers Market appears materially undervalued following a sharp 2025 share-price decline driven by a temporary earnings miss and cautious guidance. The company remains well positioned to capture share through continued store expansion and sustained demand for healthy and organic food, and its differentiated farmers-market format supports a resilient long-term growth profile. Under conservative assumptions</w:t>
            </w:r>
            <w:r w:rsidR="0083480E">
              <w:t xml:space="preserve"> -</w:t>
            </w:r>
            <w:r w:rsidRPr="0083480E">
              <w:t xml:space="preserve"> roughly 5% revenue growth and normalized capital spending</w:t>
            </w:r>
            <w:r w:rsidR="0083480E">
              <w:t xml:space="preserve"> - </w:t>
            </w:r>
            <w:r w:rsidRPr="0083480E">
              <w:t>our DCF implies a target price of approximately $126, suggesting meaningful upside from current levels. We rate the shares STRONG BUY</w:t>
            </w:r>
          </w:p>
        </w:tc>
      </w:tr>
    </w:tbl>
    <w:p w14:paraId="398AD36B" w14:textId="60C18A92" w:rsidR="00594AFD" w:rsidRDefault="00000000">
      <w:pPr>
        <w:keepNext/>
        <w:pBdr>
          <w:bottom w:val="single" w:sz="14" w:space="6" w:color="16263F"/>
        </w:pBdr>
        <w:spacing w:before="300" w:after="140"/>
      </w:pPr>
      <w:r>
        <w:rPr>
          <w:b/>
          <w:bCs/>
          <w:color w:val="16263F"/>
          <w:sz w:val="27"/>
          <w:szCs w:val="27"/>
        </w:rPr>
        <w:t>Recent Results &amp; Outlook</w:t>
      </w:r>
    </w:p>
    <w:p w14:paraId="1DDD94CD" w14:textId="77777777" w:rsidR="00594AFD" w:rsidRDefault="00000000">
      <w:pPr>
        <w:keepNext/>
        <w:spacing w:before="60" w:after="80"/>
      </w:pPr>
      <w:r>
        <w:rPr>
          <w:b/>
          <w:bCs/>
          <w:color w:val="335074"/>
          <w:sz w:val="22"/>
          <w:szCs w:val="22"/>
        </w:rPr>
        <w:t>Third-Quarter FY2025 Results</w:t>
      </w:r>
    </w:p>
    <w:p w14:paraId="58A249A6" w14:textId="77777777" w:rsidR="00594AFD" w:rsidRDefault="00000000">
      <w:pPr>
        <w:spacing w:after="160" w:line="264" w:lineRule="auto"/>
        <w:jc w:val="both"/>
      </w:pPr>
      <w:r>
        <w:t xml:space="preserve">The company delivered a </w:t>
      </w:r>
      <w:r>
        <w:rPr>
          <w:b/>
          <w:bCs/>
        </w:rPr>
        <w:t>strong third quarter</w:t>
      </w:r>
      <w:r>
        <w:t xml:space="preserve">, with </w:t>
      </w:r>
      <w:r>
        <w:rPr>
          <w:b/>
          <w:bCs/>
        </w:rPr>
        <w:t>net sales increasing 13% year over year to $2.2 billion</w:t>
      </w:r>
      <w:r>
        <w:t xml:space="preserve">, supported by </w:t>
      </w:r>
      <w:r>
        <w:rPr>
          <w:b/>
          <w:bCs/>
        </w:rPr>
        <w:t>comparable-store sales growth of 5.9%</w:t>
      </w:r>
      <w:r>
        <w:t xml:space="preserve">. Profitability improved meaningfully, as </w:t>
      </w:r>
      <w:r>
        <w:rPr>
          <w:b/>
          <w:bCs/>
        </w:rPr>
        <w:t>diluted EPS rose to $1.22 from $0.91</w:t>
      </w:r>
      <w:r>
        <w:t xml:space="preserve"> a year earlier, reflecting operating leverage on higher sales. Store expansion continued, with </w:t>
      </w:r>
      <w:r>
        <w:rPr>
          <w:b/>
          <w:bCs/>
        </w:rPr>
        <w:t>nine new locations</w:t>
      </w:r>
      <w:r>
        <w:t xml:space="preserve"> opened, bringing the total base to </w:t>
      </w:r>
      <w:r>
        <w:rPr>
          <w:b/>
          <w:bCs/>
        </w:rPr>
        <w:t>464 stores across 24 states</w:t>
      </w:r>
      <w:r>
        <w:t xml:space="preserve"> as of September 28, 2025. The company entered into a new </w:t>
      </w:r>
      <w:r>
        <w:rPr>
          <w:b/>
          <w:bCs/>
        </w:rPr>
        <w:t>$600 million revolving credit facility</w:t>
      </w:r>
      <w:r>
        <w:t xml:space="preserve"> on terms largely consistent with its prior agreement, ending the quarter with </w:t>
      </w:r>
      <w:r>
        <w:rPr>
          <w:b/>
          <w:bCs/>
        </w:rPr>
        <w:t>$322 million in cash</w:t>
      </w:r>
      <w:r>
        <w:t xml:space="preserve"> and </w:t>
      </w:r>
      <w:r>
        <w:rPr>
          <w:b/>
          <w:bCs/>
        </w:rPr>
        <w:t>no outstanding borrowings</w:t>
      </w:r>
      <w:r>
        <w:t xml:space="preserve">. Capital allocation remained shareholder-friendly, with a </w:t>
      </w:r>
      <w:r>
        <w:rPr>
          <w:b/>
          <w:bCs/>
        </w:rPr>
        <w:t>new $1 billion share-repurchase authorization</w:t>
      </w:r>
      <w:r>
        <w:t xml:space="preserve"> and </w:t>
      </w:r>
      <w:r>
        <w:rPr>
          <w:b/>
          <w:bCs/>
        </w:rPr>
        <w:t>$50 million deployed to buybacks</w:t>
      </w:r>
      <w:r>
        <w:t xml:space="preserve"> during the quarter. Year-to-date, the company generated </w:t>
      </w:r>
      <w:r>
        <w:rPr>
          <w:b/>
          <w:bCs/>
        </w:rPr>
        <w:t>$577 million in operating cash flow</w:t>
      </w:r>
      <w:r>
        <w:t xml:space="preserve"> and invested </w:t>
      </w:r>
      <w:r>
        <w:rPr>
          <w:b/>
          <w:bCs/>
        </w:rPr>
        <w:t>$194 million in capital expenditures</w:t>
      </w:r>
      <w:r>
        <w:t>, net of landlord reimbursements.</w:t>
      </w:r>
    </w:p>
    <w:p w14:paraId="64F04297" w14:textId="77777777" w:rsidR="00594AFD" w:rsidRDefault="00000000">
      <w:pPr>
        <w:keepNext/>
        <w:spacing w:before="200" w:after="80"/>
      </w:pPr>
      <w:r>
        <w:rPr>
          <w:b/>
          <w:bCs/>
          <w:color w:val="335074"/>
          <w:sz w:val="22"/>
          <w:szCs w:val="22"/>
        </w:rPr>
        <w:t>Full-Year Guidance</w:t>
      </w:r>
    </w:p>
    <w:p w14:paraId="70377A29" w14:textId="77777777" w:rsidR="00594AFD" w:rsidRDefault="00000000">
      <w:pPr>
        <w:spacing w:after="160" w:line="264" w:lineRule="auto"/>
        <w:jc w:val="both"/>
      </w:pPr>
      <w:r>
        <w:t xml:space="preserve">For full-year fiscal 2025, management expects </w:t>
      </w:r>
      <w:r>
        <w:rPr>
          <w:b/>
          <w:bCs/>
        </w:rPr>
        <w:t>net sales growth of approximately 14%</w:t>
      </w:r>
      <w:r>
        <w:t xml:space="preserve">, supported by </w:t>
      </w:r>
      <w:r>
        <w:rPr>
          <w:b/>
          <w:bCs/>
        </w:rPr>
        <w:t>comparable-store sales growth of roughly 7%</w:t>
      </w:r>
      <w:r>
        <w:t xml:space="preserve"> and continued unit expansion. </w:t>
      </w:r>
      <w:r>
        <w:rPr>
          <w:b/>
          <w:bCs/>
        </w:rPr>
        <w:t xml:space="preserve">EBIT is guided to $675–$680 </w:t>
      </w:r>
      <w:r>
        <w:rPr>
          <w:b/>
          <w:bCs/>
        </w:rPr>
        <w:lastRenderedPageBreak/>
        <w:t>million</w:t>
      </w:r>
      <w:r>
        <w:t xml:space="preserve">, reflecting sustained operating leverage, and </w:t>
      </w:r>
      <w:r>
        <w:rPr>
          <w:b/>
          <w:bCs/>
        </w:rPr>
        <w:t>diluted EPS is projected at $5.24–$5.28</w:t>
      </w:r>
      <w:r>
        <w:t xml:space="preserve">. The company plans to open </w:t>
      </w:r>
      <w:r>
        <w:rPr>
          <w:b/>
          <w:bCs/>
        </w:rPr>
        <w:t>approximately 37 net new stores</w:t>
      </w:r>
      <w:r>
        <w:t xml:space="preserve"> during the year. Capital investment remains elevated, with </w:t>
      </w:r>
      <w:r>
        <w:rPr>
          <w:b/>
          <w:bCs/>
        </w:rPr>
        <w:t>capital expenditures (net of landlord reimbursements) expected to range from $230–$250 million</w:t>
      </w:r>
      <w:r>
        <w:t>, supporting new openings and ongoing infrastructure investment.</w:t>
      </w:r>
    </w:p>
    <w:p w14:paraId="1B5678E6" w14:textId="7A299145" w:rsidR="00594AFD" w:rsidRDefault="00000000">
      <w:pPr>
        <w:keepNext/>
        <w:pBdr>
          <w:bottom w:val="single" w:sz="14" w:space="6" w:color="16263F"/>
        </w:pBdr>
        <w:spacing w:before="300" w:after="140"/>
      </w:pPr>
      <w:r>
        <w:rPr>
          <w:b/>
          <w:bCs/>
          <w:color w:val="16263F"/>
          <w:sz w:val="27"/>
          <w:szCs w:val="27"/>
        </w:rPr>
        <w:t>Company Overview</w:t>
      </w:r>
    </w:p>
    <w:p w14:paraId="5F68C8B9" w14:textId="77777777" w:rsidR="00594AFD" w:rsidRDefault="00000000">
      <w:pPr>
        <w:spacing w:after="160" w:line="264" w:lineRule="auto"/>
        <w:jc w:val="both"/>
      </w:pPr>
      <w:r>
        <w:t xml:space="preserve">Sprouts Farmers Market is a health-focused grocery retailer founded in 2002 in Arizona. Since its founding it has expanded to more than </w:t>
      </w:r>
      <w:r>
        <w:rPr>
          <w:b/>
          <w:bCs/>
        </w:rPr>
        <w:t>464 stores across over 24 states</w:t>
      </w:r>
      <w:r>
        <w:t>. Sprouts designs its stores to resemble a traditional farmers market while maintaining operational efficiency, focusing on healthy food options with an emphasis on organic products, items with minimal chemical processing, and specialty offerings such as gluten-free and plant-based products. The company generally avoids many traditional grocery items associated with less healthy consumption, such as conventional sodas; its founding objective was to create a grocery store where customers could purchase healthy food without needing to be highly affluent.</w:t>
      </w:r>
    </w:p>
    <w:p w14:paraId="51E951C0" w14:textId="77777777" w:rsidR="00594AFD" w:rsidRDefault="00000000">
      <w:pPr>
        <w:spacing w:after="160" w:line="264" w:lineRule="auto"/>
        <w:jc w:val="both"/>
      </w:pPr>
      <w:r>
        <w:t>Sprouts targets health enthusiasts and selective shoppers who prioritize better-for-you, organic, and high-quality food and who value how food fits into a healthy lifestyle. This customer base spans a wide range of ages and income levels, and the company sees significant growth opportunities by expanding share of wallet through differentiated products and a strong in-store experience.</w:t>
      </w:r>
    </w:p>
    <w:p w14:paraId="7EF205D8" w14:textId="331D3D63" w:rsidR="00594AFD" w:rsidRDefault="00000000">
      <w:pPr>
        <w:keepNext/>
        <w:pBdr>
          <w:bottom w:val="single" w:sz="14" w:space="6" w:color="16263F"/>
        </w:pBdr>
        <w:spacing w:before="300" w:after="140"/>
      </w:pPr>
      <w:r>
        <w:rPr>
          <w:b/>
          <w:bCs/>
          <w:color w:val="16263F"/>
          <w:sz w:val="27"/>
          <w:szCs w:val="27"/>
        </w:rPr>
        <w:t>Store Format &amp; Merchandising</w:t>
      </w:r>
    </w:p>
    <w:p w14:paraId="25D71A2B" w14:textId="77777777" w:rsidR="00594AFD" w:rsidRDefault="00000000">
      <w:pPr>
        <w:spacing w:before="60"/>
        <w:jc w:val="center"/>
      </w:pPr>
      <w:r>
        <w:rPr>
          <w:noProof/>
        </w:rPr>
        <w:drawing>
          <wp:inline distT="0" distB="0" distL="0" distR="0" wp14:anchorId="02F8BE2A" wp14:editId="1BA40EEE">
            <wp:extent cx="3305175" cy="2266950"/>
            <wp:effectExtent l="0" t="0" r="0" b="0"/>
            <wp:docPr id="1640343174" name="image3" descr="Exhibit 3"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305175" cy="2266950"/>
                    </a:xfrm>
                    <a:prstGeom prst="rect">
                      <a:avLst/>
                    </a:prstGeom>
                  </pic:spPr>
                </pic:pic>
              </a:graphicData>
            </a:graphic>
          </wp:inline>
        </w:drawing>
      </w:r>
    </w:p>
    <w:p w14:paraId="4813B046" w14:textId="77777777" w:rsidR="00594AFD" w:rsidRDefault="00000000">
      <w:pPr>
        <w:spacing w:before="30" w:after="220"/>
        <w:jc w:val="center"/>
      </w:pPr>
      <w:r>
        <w:rPr>
          <w:i/>
          <w:iCs/>
          <w:color w:val="667085"/>
          <w:sz w:val="16"/>
          <w:szCs w:val="16"/>
        </w:rPr>
        <w:t>Figure 1 — Sprouts Store Design (FY2024 Form 10-K)</w:t>
      </w:r>
    </w:p>
    <w:p w14:paraId="365E404D" w14:textId="77777777" w:rsidR="00594AFD" w:rsidRDefault="00000000">
      <w:pPr>
        <w:spacing w:after="160" w:line="264" w:lineRule="auto"/>
        <w:jc w:val="both"/>
      </w:pPr>
      <w:r>
        <w:t xml:space="preserve">Sprouts' stores follow a “flipped” conventional grocery model, positioning fresh produce at the center of the store and surrounding it with a complete grocery assortment. Approximately </w:t>
      </w:r>
      <w:r>
        <w:rPr>
          <w:b/>
          <w:bCs/>
        </w:rPr>
        <w:t>20% of selling square footage</w:t>
      </w:r>
      <w:r>
        <w:t xml:space="preserve"> is dedicated to produce — up from 15% in 2018 and a level the company states is significantly higher than many peers.</w:t>
      </w:r>
    </w:p>
    <w:p w14:paraId="58D59FC4" w14:textId="77777777" w:rsidR="00594AFD" w:rsidRDefault="00000000">
      <w:pPr>
        <w:spacing w:after="160" w:line="264" w:lineRule="auto"/>
        <w:jc w:val="both"/>
      </w:pPr>
      <w:r>
        <w:t xml:space="preserve">Stores are designed with open layouts and low displays so customers can view most of the store from a single vantage point, reinforcing the farmers-market atmosphere. As of 2024, stores averaged approximately </w:t>
      </w:r>
      <w:r>
        <w:rPr>
          <w:b/>
          <w:bCs/>
        </w:rPr>
        <w:t>28,000 square feet</w:t>
      </w:r>
      <w:r>
        <w:t xml:space="preserve">, while newer formats introduced from 2021 onward are smaller — ranging from </w:t>
      </w:r>
      <w:r>
        <w:rPr>
          <w:b/>
          <w:bCs/>
        </w:rPr>
        <w:t>21,000 to 25,000 square feet</w:t>
      </w:r>
      <w:r>
        <w:t xml:space="preserve"> — less expensive to build and generally operating at lower cost.</w:t>
      </w:r>
    </w:p>
    <w:p w14:paraId="165EFB39" w14:textId="0AD4465B" w:rsidR="00594AFD" w:rsidRDefault="00000000">
      <w:pPr>
        <w:keepNext/>
        <w:pBdr>
          <w:bottom w:val="single" w:sz="14" w:space="6" w:color="16263F"/>
        </w:pBdr>
        <w:spacing w:before="300" w:after="140"/>
      </w:pPr>
      <w:r>
        <w:rPr>
          <w:b/>
          <w:bCs/>
          <w:color w:val="16263F"/>
          <w:sz w:val="27"/>
          <w:szCs w:val="27"/>
        </w:rPr>
        <w:lastRenderedPageBreak/>
        <w:t>Supply Chain &amp; Distribution</w:t>
      </w:r>
    </w:p>
    <w:p w14:paraId="54D86517" w14:textId="77777777" w:rsidR="00594AFD" w:rsidRDefault="00000000">
      <w:pPr>
        <w:keepNext/>
        <w:spacing w:before="60" w:after="80"/>
      </w:pPr>
      <w:r>
        <w:rPr>
          <w:b/>
          <w:bCs/>
          <w:color w:val="335074"/>
          <w:sz w:val="22"/>
          <w:szCs w:val="22"/>
        </w:rPr>
        <w:t>Product Mix</w:t>
      </w:r>
    </w:p>
    <w:p w14:paraId="0CAB03B7" w14:textId="77777777" w:rsidR="00594AFD" w:rsidRDefault="00000000">
      <w:pPr>
        <w:spacing w:after="160" w:line="264" w:lineRule="auto"/>
        <w:jc w:val="both"/>
      </w:pPr>
      <w:r>
        <w:t xml:space="preserve">For fiscal 2024, </w:t>
      </w:r>
      <w:r>
        <w:rPr>
          <w:b/>
          <w:bCs/>
        </w:rPr>
        <w:t>57.3% of product mix consisted of perishable items</w:t>
      </w:r>
      <w:r>
        <w:t xml:space="preserve"> — produce, meat, seafood, deli, bakery, floral, dairy, and dairy alternatives — with the remaining </w:t>
      </w:r>
      <w:r>
        <w:rPr>
          <w:b/>
          <w:bCs/>
        </w:rPr>
        <w:t>42.7% non-perishable</w:t>
      </w:r>
      <w:r>
        <w:t xml:space="preserve"> (grocery, vitamins, bulk, frozen, beer and wine, and natural and body-care products).</w:t>
      </w:r>
    </w:p>
    <w:p w14:paraId="17BA4D96" w14:textId="77777777" w:rsidR="00594AFD" w:rsidRDefault="00000000">
      <w:pPr>
        <w:spacing w:after="160" w:line="264" w:lineRule="auto"/>
        <w:jc w:val="both"/>
      </w:pPr>
      <w:r>
        <w:t xml:space="preserve">The company operates </w:t>
      </w:r>
      <w:r>
        <w:rPr>
          <w:b/>
          <w:bCs/>
        </w:rPr>
        <w:t>six produce distribution centers</w:t>
      </w:r>
      <w:r>
        <w:t xml:space="preserve"> — two in California and one each in Arizona, Texas, Colorado, and Florida. Approximately </w:t>
      </w:r>
      <w:r>
        <w:rPr>
          <w:b/>
          <w:bCs/>
        </w:rPr>
        <w:t>80% of stores sit within 250 miles of a distribution center</w:t>
      </w:r>
      <w:r>
        <w:t>, supporting supply-chain efficiency, product freshness, and service levels.</w:t>
      </w:r>
    </w:p>
    <w:p w14:paraId="613F3F9E" w14:textId="4E767173" w:rsidR="00594AFD" w:rsidRDefault="00000000">
      <w:pPr>
        <w:keepNext/>
        <w:pBdr>
          <w:bottom w:val="single" w:sz="14" w:space="6" w:color="16263F"/>
        </w:pBdr>
        <w:spacing w:before="300" w:after="140"/>
      </w:pPr>
      <w:r>
        <w:rPr>
          <w:b/>
          <w:bCs/>
          <w:color w:val="16263F"/>
          <w:sz w:val="27"/>
          <w:szCs w:val="27"/>
        </w:rPr>
        <w:t>Growth Strategy</w:t>
      </w:r>
    </w:p>
    <w:p w14:paraId="52787F37" w14:textId="77777777" w:rsidR="00594AFD" w:rsidRDefault="00000000">
      <w:pPr>
        <w:spacing w:after="160" w:line="264" w:lineRule="auto"/>
        <w:jc w:val="both"/>
      </w:pPr>
      <w:r>
        <w:t>Sprouts' long-term strategy focuses on driving profitable, sustainable growth by deepening engagement with its core health-conscious and selective-shopper customer base, supported by a differentiated assortment of fresh and better-for-you products and a full omnichannel offering.</w:t>
      </w:r>
    </w:p>
    <w:p w14:paraId="73B5539E" w14:textId="77777777" w:rsidR="00594AFD" w:rsidRDefault="00000000">
      <w:pPr>
        <w:spacing w:after="160" w:line="264" w:lineRule="auto"/>
        <w:jc w:val="both"/>
      </w:pPr>
      <w:r>
        <w:t xml:space="preserve">Growth is expected to be driven by disciplined market expansion, with an emphasis on smaller, higher-return store formats and geographic expansion aligned with supply-chain capabilities. The company targets approximately </w:t>
      </w:r>
      <w:r>
        <w:rPr>
          <w:b/>
          <w:bCs/>
        </w:rPr>
        <w:t>10% annual unit growth</w:t>
      </w:r>
      <w:r>
        <w:t xml:space="preserve"> over the long term. Additional initiatives include strengthening supply-chain infrastructure, enhancing customer engagement and personalization through data analytics and digital tools, and continued investment in technology to improve inventory management, decision-making, and scalability. Management also emphasizes financial discipline and margin expansion, supported by talent-development initiatives and ongoing measurement against key long-term financial and operational metrics.</w:t>
      </w:r>
    </w:p>
    <w:p w14:paraId="0E55D128" w14:textId="497063FD" w:rsidR="00594AFD" w:rsidRDefault="00000000">
      <w:pPr>
        <w:keepNext/>
        <w:pBdr>
          <w:bottom w:val="single" w:sz="14" w:space="6" w:color="16263F"/>
        </w:pBdr>
        <w:spacing w:before="300" w:after="140"/>
      </w:pPr>
      <w:r>
        <w:rPr>
          <w:b/>
          <w:bCs/>
          <w:color w:val="16263F"/>
          <w:sz w:val="27"/>
          <w:szCs w:val="27"/>
        </w:rPr>
        <w:t>Industry Overview</w:t>
      </w:r>
    </w:p>
    <w:p w14:paraId="0D45AFA5" w14:textId="77777777" w:rsidR="00594AFD" w:rsidRDefault="00000000">
      <w:pPr>
        <w:keepNext/>
        <w:spacing w:before="60" w:after="80"/>
      </w:pPr>
      <w:r>
        <w:rPr>
          <w:b/>
          <w:bCs/>
          <w:color w:val="335074"/>
          <w:sz w:val="22"/>
          <w:szCs w:val="22"/>
        </w:rPr>
        <w:t>U.S. Macroeconomic Backdrop</w:t>
      </w:r>
    </w:p>
    <w:p w14:paraId="457004B0" w14:textId="77777777" w:rsidR="00594AFD" w:rsidRDefault="00000000">
      <w:pPr>
        <w:pStyle w:val="ListParagraph"/>
        <w:numPr>
          <w:ilvl w:val="0"/>
          <w:numId w:val="2"/>
        </w:numPr>
        <w:spacing w:after="120" w:line="264" w:lineRule="auto"/>
        <w:jc w:val="both"/>
      </w:pPr>
      <w:r>
        <w:rPr>
          <w:b/>
          <w:bCs/>
        </w:rPr>
        <w:t>Consumer spending</w:t>
      </w:r>
      <w:r>
        <w:t xml:space="preserve"> remained under pressure toward the end of 2025, though unevenly across income groups. The University of Michigan Consumer Sentiment Index stood at </w:t>
      </w:r>
      <w:r>
        <w:rPr>
          <w:b/>
          <w:bCs/>
        </w:rPr>
        <w:t>52.9 in December 2025</w:t>
      </w:r>
      <w:r>
        <w:t>, signaling ongoing caution. Lower- and middle-income households remain most affected, while higher-income consumers have shown greater resilience.</w:t>
      </w:r>
    </w:p>
    <w:p w14:paraId="7570B32B" w14:textId="77777777" w:rsidR="00594AFD" w:rsidRDefault="00000000">
      <w:pPr>
        <w:pStyle w:val="ListParagraph"/>
        <w:numPr>
          <w:ilvl w:val="0"/>
          <w:numId w:val="2"/>
        </w:numPr>
        <w:spacing w:after="120" w:line="264" w:lineRule="auto"/>
        <w:jc w:val="both"/>
      </w:pPr>
      <w:r>
        <w:rPr>
          <w:b/>
          <w:bCs/>
        </w:rPr>
        <w:t>Inflation</w:t>
      </w:r>
      <w:r>
        <w:t xml:space="preserve"> improved modestly into year-end, with </w:t>
      </w:r>
      <w:r>
        <w:rPr>
          <w:b/>
          <w:bCs/>
        </w:rPr>
        <w:t>core CPI of 2.7%</w:t>
      </w:r>
      <w:r>
        <w:t xml:space="preserve"> for December 2025 and </w:t>
      </w:r>
      <w:r>
        <w:rPr>
          <w:b/>
          <w:bCs/>
        </w:rPr>
        <w:t>food CPI of 3.1%</w:t>
      </w:r>
      <w:r>
        <w:t xml:space="preserve"> (U.S. Bureau of Labor Statistics).</w:t>
      </w:r>
    </w:p>
    <w:p w14:paraId="7F9673A6" w14:textId="77777777" w:rsidR="00594AFD" w:rsidRDefault="00000000">
      <w:pPr>
        <w:pStyle w:val="ListParagraph"/>
        <w:numPr>
          <w:ilvl w:val="0"/>
          <w:numId w:val="2"/>
        </w:numPr>
        <w:spacing w:after="120" w:line="264" w:lineRule="auto"/>
        <w:jc w:val="both"/>
      </w:pPr>
      <w:r>
        <w:rPr>
          <w:b/>
          <w:bCs/>
        </w:rPr>
        <w:t>Labor markets</w:t>
      </w:r>
      <w:r>
        <w:t xml:space="preserve"> softened further by year-end: U.S. unemployment reached approximately </w:t>
      </w:r>
      <w:r>
        <w:rPr>
          <w:b/>
          <w:bCs/>
        </w:rPr>
        <w:t>4.2% in December 2025</w:t>
      </w:r>
      <w:r>
        <w:t>, up from 3.7% in early 2024, with long-term unemployment elevated at roughly 1.9 million — a trend pointing to slower discretionary-spending growth into 2026.</w:t>
      </w:r>
    </w:p>
    <w:p w14:paraId="49DFB13F" w14:textId="77777777" w:rsidR="00594AFD" w:rsidRDefault="00000000">
      <w:pPr>
        <w:keepNext/>
        <w:spacing w:before="200" w:after="80"/>
      </w:pPr>
      <w:r>
        <w:rPr>
          <w:b/>
          <w:bCs/>
          <w:color w:val="335074"/>
          <w:sz w:val="22"/>
          <w:szCs w:val="22"/>
        </w:rPr>
        <w:t>Organic Food Market</w:t>
      </w:r>
    </w:p>
    <w:p w14:paraId="259FA72A" w14:textId="77777777" w:rsidR="00594AFD" w:rsidRDefault="00000000">
      <w:pPr>
        <w:spacing w:after="160" w:line="264" w:lineRule="auto"/>
        <w:jc w:val="both"/>
      </w:pPr>
      <w:r>
        <w:t xml:space="preserve">The organic food market has expanded steadily over the past decade. According to the Organic Trade Association (OTA), organic food sales totaled </w:t>
      </w:r>
      <w:r>
        <w:rPr>
          <w:b/>
          <w:bCs/>
        </w:rPr>
        <w:t>$38.6 billion in 2012</w:t>
      </w:r>
      <w:r>
        <w:t xml:space="preserve"> and increased to </w:t>
      </w:r>
      <w:r>
        <w:rPr>
          <w:b/>
          <w:bCs/>
        </w:rPr>
        <w:t>$65.4 billion in 2024</w:t>
      </w:r>
      <w:r>
        <w:t xml:space="preserve">. Fresh fruits and vegetables represent the largest category, with produce accounting for approximately </w:t>
      </w:r>
      <w:r>
        <w:rPr>
          <w:b/>
          <w:bCs/>
        </w:rPr>
        <w:t>33% of total organic food sales</w:t>
      </w:r>
      <w:r>
        <w:t xml:space="preserve"> in 2024.</w:t>
      </w:r>
    </w:p>
    <w:p w14:paraId="78DCB199" w14:textId="77777777" w:rsidR="00594AFD" w:rsidRDefault="00000000">
      <w:pPr>
        <w:spacing w:after="160" w:line="264" w:lineRule="auto"/>
        <w:jc w:val="both"/>
      </w:pPr>
      <w:r>
        <w:t xml:space="preserve">Consumer awareness of organic products has risen, particularly among younger generations: as of 2024, more than </w:t>
      </w:r>
      <w:r>
        <w:rPr>
          <w:b/>
          <w:bCs/>
        </w:rPr>
        <w:t>30% of Gen Z and millennial consumers</w:t>
      </w:r>
      <w:r>
        <w:t xml:space="preserve"> in the United States reported that they primarily purchase organic food or prefer to do so. Looking ahead, the OTA projects the organic food market will expand at a compound annual growth rate of approximately </w:t>
      </w:r>
      <w:r>
        <w:rPr>
          <w:b/>
          <w:bCs/>
        </w:rPr>
        <w:t>5.1% through 2029</w:t>
      </w:r>
      <w:r>
        <w:t>.</w:t>
      </w:r>
    </w:p>
    <w:p w14:paraId="45963564" w14:textId="07A169BE" w:rsidR="00594AFD" w:rsidRDefault="00000000">
      <w:pPr>
        <w:keepNext/>
        <w:pBdr>
          <w:bottom w:val="single" w:sz="14" w:space="6" w:color="16263F"/>
        </w:pBdr>
        <w:spacing w:before="300" w:after="140"/>
      </w:pPr>
      <w:r>
        <w:rPr>
          <w:b/>
          <w:bCs/>
          <w:color w:val="16263F"/>
          <w:sz w:val="27"/>
          <w:szCs w:val="27"/>
        </w:rPr>
        <w:lastRenderedPageBreak/>
        <w:t>Competitive Landscape</w:t>
      </w:r>
    </w:p>
    <w:p w14:paraId="2E8B0C14" w14:textId="77777777" w:rsidR="00594AFD" w:rsidRDefault="00000000">
      <w:pPr>
        <w:pStyle w:val="ListParagraph"/>
        <w:numPr>
          <w:ilvl w:val="0"/>
          <w:numId w:val="2"/>
        </w:numPr>
        <w:spacing w:after="120" w:line="264" w:lineRule="auto"/>
        <w:jc w:val="both"/>
      </w:pPr>
      <w:r>
        <w:rPr>
          <w:b/>
          <w:bCs/>
        </w:rPr>
        <w:t>Whole Foods Market</w:t>
      </w:r>
      <w:r>
        <w:t xml:space="preserve"> — a premium natural and organic grocery retailer focused on high-quality fresh, prepared, and private-label products. Owned by Amazon, the chain operates ~520 stores, primarily in the U.S. with a smaller presence in Canada and the U.K., targeting higher-income, health-conscious consumers and benefiting from Amazon's scale, logistics, and digital ecosystem.</w:t>
      </w:r>
    </w:p>
    <w:p w14:paraId="275B316F" w14:textId="77777777" w:rsidR="00594AFD" w:rsidRDefault="00000000">
      <w:pPr>
        <w:pStyle w:val="ListParagraph"/>
        <w:numPr>
          <w:ilvl w:val="0"/>
          <w:numId w:val="2"/>
        </w:numPr>
        <w:spacing w:after="120" w:line="264" w:lineRule="auto"/>
        <w:jc w:val="both"/>
      </w:pPr>
      <w:r>
        <w:rPr>
          <w:b/>
          <w:bCs/>
        </w:rPr>
        <w:t>Trader Joe's</w:t>
      </w:r>
      <w:r>
        <w:t xml:space="preserve"> — a value-oriented specialty grocer known for a curated, predominantly private-label assortment at accessible price points. Operates ~560 stores, almost entirely in the U.S., typically in urban and suburban high-traffic areas, and generates industry-leading sales per square foot.</w:t>
      </w:r>
    </w:p>
    <w:p w14:paraId="708444D1" w14:textId="77777777" w:rsidR="00594AFD" w:rsidRDefault="00000000">
      <w:pPr>
        <w:pStyle w:val="ListParagraph"/>
        <w:numPr>
          <w:ilvl w:val="0"/>
          <w:numId w:val="2"/>
        </w:numPr>
        <w:spacing w:after="120" w:line="264" w:lineRule="auto"/>
        <w:jc w:val="both"/>
      </w:pPr>
      <w:r>
        <w:rPr>
          <w:b/>
          <w:bCs/>
        </w:rPr>
        <w:t>Natural Grocers</w:t>
      </w:r>
      <w:r>
        <w:t xml:space="preserve"> — a specialty natural and organic chain catering to health-focused consumers, with a strong emphasis on organic produce, supplements, and nutrition education. Operates approximately 165 stores across roughly 20 U.S. states, mainly in the Western and Central U.S.; its footprint and assortment overlap meaningfully with Sprouts, though with greater emphasis on supplements.</w:t>
      </w:r>
    </w:p>
    <w:p w14:paraId="1D50E96F" w14:textId="77777777" w:rsidR="00594AFD" w:rsidRDefault="00000000">
      <w:pPr>
        <w:pStyle w:val="ListParagraph"/>
        <w:numPr>
          <w:ilvl w:val="0"/>
          <w:numId w:val="2"/>
        </w:numPr>
        <w:spacing w:after="120" w:line="264" w:lineRule="auto"/>
        <w:jc w:val="both"/>
      </w:pPr>
      <w:r>
        <w:rPr>
          <w:b/>
          <w:bCs/>
        </w:rPr>
        <w:t>The Fresh Market</w:t>
      </w:r>
      <w:r>
        <w:t xml:space="preserve"> — a specialty grocer targeting more affluent, food-focused consumers with premium fresh foods, prepared meals, and specialty grocery items. Operates approximately 160 smaller-format stores across the U.S., primarily in suburban markets in the Southeast, Midwest, and East Coast, emphasizing a curated, high-touch experience.</w:t>
      </w:r>
    </w:p>
    <w:p w14:paraId="44180331" w14:textId="77777777" w:rsidR="00594AFD" w:rsidRDefault="00000000">
      <w:r>
        <w:br w:type="page"/>
      </w:r>
    </w:p>
    <w:p w14:paraId="683F4DA8" w14:textId="12FA82E7" w:rsidR="00594AFD" w:rsidRDefault="00000000">
      <w:pPr>
        <w:keepNext/>
        <w:pBdr>
          <w:bottom w:val="single" w:sz="14" w:space="6" w:color="16263F"/>
        </w:pBdr>
        <w:spacing w:before="300" w:after="140"/>
      </w:pPr>
      <w:r>
        <w:rPr>
          <w:b/>
          <w:bCs/>
          <w:color w:val="16263F"/>
          <w:sz w:val="27"/>
          <w:szCs w:val="27"/>
        </w:rPr>
        <w:lastRenderedPageBreak/>
        <w:t>Financial Statements</w:t>
      </w:r>
    </w:p>
    <w:p w14:paraId="5F932495" w14:textId="77777777" w:rsidR="00594AFD" w:rsidRDefault="00000000">
      <w:pPr>
        <w:spacing w:before="60"/>
        <w:jc w:val="center"/>
      </w:pPr>
      <w:r>
        <w:rPr>
          <w:noProof/>
        </w:rPr>
        <w:drawing>
          <wp:inline distT="0" distB="0" distL="0" distR="0" wp14:anchorId="7FDD7760" wp14:editId="6E399BE7">
            <wp:extent cx="6400800" cy="3086100"/>
            <wp:effectExtent l="0" t="0" r="0" b="0"/>
            <wp:docPr id="1686166330" name="image4" descr="Exhibit 4"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00800" cy="3086100"/>
                    </a:xfrm>
                    <a:prstGeom prst="rect">
                      <a:avLst/>
                    </a:prstGeom>
                  </pic:spPr>
                </pic:pic>
              </a:graphicData>
            </a:graphic>
          </wp:inline>
        </w:drawing>
      </w:r>
    </w:p>
    <w:p w14:paraId="2AEF6051" w14:textId="77777777" w:rsidR="00594AFD" w:rsidRDefault="00000000">
      <w:pPr>
        <w:spacing w:before="30" w:after="220"/>
        <w:jc w:val="center"/>
      </w:pPr>
      <w:r>
        <w:rPr>
          <w:i/>
          <w:iCs/>
          <w:color w:val="667085"/>
          <w:sz w:val="16"/>
          <w:szCs w:val="16"/>
        </w:rPr>
        <w:t>Figure 2 — Income Statement (Annual)</w:t>
      </w:r>
    </w:p>
    <w:p w14:paraId="3C4EC464" w14:textId="77777777" w:rsidR="00594AFD" w:rsidRDefault="00000000">
      <w:pPr>
        <w:spacing w:before="60"/>
        <w:jc w:val="center"/>
      </w:pPr>
      <w:r>
        <w:rPr>
          <w:noProof/>
        </w:rPr>
        <w:drawing>
          <wp:inline distT="0" distB="0" distL="0" distR="0" wp14:anchorId="331EDAB0" wp14:editId="41B86FD3">
            <wp:extent cx="6400800" cy="4724400"/>
            <wp:effectExtent l="0" t="0" r="0" b="0"/>
            <wp:docPr id="2013491138" name="image5" descr="Exhibit 5"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400800" cy="4724400"/>
                    </a:xfrm>
                    <a:prstGeom prst="rect">
                      <a:avLst/>
                    </a:prstGeom>
                  </pic:spPr>
                </pic:pic>
              </a:graphicData>
            </a:graphic>
          </wp:inline>
        </w:drawing>
      </w:r>
    </w:p>
    <w:p w14:paraId="34D0F650" w14:textId="77777777" w:rsidR="00594AFD" w:rsidRDefault="00000000">
      <w:pPr>
        <w:spacing w:before="30" w:after="220"/>
        <w:jc w:val="center"/>
      </w:pPr>
      <w:r>
        <w:rPr>
          <w:i/>
          <w:iCs/>
          <w:color w:val="667085"/>
          <w:sz w:val="16"/>
          <w:szCs w:val="16"/>
        </w:rPr>
        <w:lastRenderedPageBreak/>
        <w:t>Figure 3 — Income Statement (Quarterly)</w:t>
      </w:r>
    </w:p>
    <w:p w14:paraId="4F862790" w14:textId="1003DB48" w:rsidR="00594AFD" w:rsidRDefault="0083480E">
      <w:pPr>
        <w:spacing w:before="60"/>
        <w:jc w:val="center"/>
      </w:pPr>
      <w:r>
        <w:rPr>
          <w:noProof/>
        </w:rPr>
        <w:drawing>
          <wp:inline distT="0" distB="0" distL="0" distR="0" wp14:anchorId="7F001FCF" wp14:editId="0A8B2B6C">
            <wp:extent cx="6400800" cy="3834765"/>
            <wp:effectExtent l="0" t="0" r="0" b="635"/>
            <wp:docPr id="205368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80019" name="Picture 2053680019"/>
                    <pic:cNvPicPr/>
                  </pic:nvPicPr>
                  <pic:blipFill>
                    <a:blip r:embed="rId12">
                      <a:extLst>
                        <a:ext uri="{28A0092B-C50C-407E-A947-70E740481C1C}">
                          <a14:useLocalDpi xmlns:a14="http://schemas.microsoft.com/office/drawing/2010/main" val="0"/>
                        </a:ext>
                      </a:extLst>
                    </a:blip>
                    <a:stretch>
                      <a:fillRect/>
                    </a:stretch>
                  </pic:blipFill>
                  <pic:spPr>
                    <a:xfrm>
                      <a:off x="0" y="0"/>
                      <a:ext cx="6400800" cy="3834765"/>
                    </a:xfrm>
                    <a:prstGeom prst="rect">
                      <a:avLst/>
                    </a:prstGeom>
                  </pic:spPr>
                </pic:pic>
              </a:graphicData>
            </a:graphic>
          </wp:inline>
        </w:drawing>
      </w:r>
    </w:p>
    <w:p w14:paraId="68A8AA9C" w14:textId="77777777" w:rsidR="00594AFD" w:rsidRDefault="00000000">
      <w:pPr>
        <w:spacing w:before="30" w:after="220"/>
        <w:jc w:val="center"/>
      </w:pPr>
      <w:r>
        <w:rPr>
          <w:i/>
          <w:iCs/>
          <w:color w:val="667085"/>
          <w:sz w:val="16"/>
          <w:szCs w:val="16"/>
        </w:rPr>
        <w:t>Figure 4 — Balance Sheet</w:t>
      </w:r>
    </w:p>
    <w:p w14:paraId="29A600B5" w14:textId="77777777" w:rsidR="00594AFD" w:rsidRDefault="00000000">
      <w:pPr>
        <w:spacing w:before="60"/>
        <w:jc w:val="center"/>
      </w:pPr>
      <w:r>
        <w:rPr>
          <w:noProof/>
        </w:rPr>
        <w:lastRenderedPageBreak/>
        <w:drawing>
          <wp:inline distT="0" distB="0" distL="0" distR="0" wp14:anchorId="0E18B971" wp14:editId="658ECB16">
            <wp:extent cx="6400800" cy="4238625"/>
            <wp:effectExtent l="0" t="0" r="0" b="0"/>
            <wp:docPr id="1600585736" name="image7" descr="Exhibit 7"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400800" cy="4238625"/>
                    </a:xfrm>
                    <a:prstGeom prst="rect">
                      <a:avLst/>
                    </a:prstGeom>
                  </pic:spPr>
                </pic:pic>
              </a:graphicData>
            </a:graphic>
          </wp:inline>
        </w:drawing>
      </w:r>
    </w:p>
    <w:p w14:paraId="6075F805" w14:textId="77777777" w:rsidR="00594AFD" w:rsidRDefault="00000000">
      <w:pPr>
        <w:spacing w:before="30" w:after="220"/>
        <w:jc w:val="center"/>
      </w:pPr>
      <w:r>
        <w:rPr>
          <w:i/>
          <w:iCs/>
          <w:color w:val="667085"/>
          <w:sz w:val="16"/>
          <w:szCs w:val="16"/>
        </w:rPr>
        <w:t>Figure 5 — Cash Flow Statement</w:t>
      </w:r>
    </w:p>
    <w:p w14:paraId="28B8B09C" w14:textId="5A020B9B" w:rsidR="00594AFD" w:rsidRDefault="00000000">
      <w:pPr>
        <w:keepNext/>
        <w:pBdr>
          <w:bottom w:val="single" w:sz="14" w:space="6" w:color="16263F"/>
        </w:pBdr>
        <w:spacing w:before="300" w:after="140"/>
      </w:pPr>
      <w:r>
        <w:rPr>
          <w:b/>
          <w:bCs/>
          <w:color w:val="16263F"/>
          <w:sz w:val="27"/>
          <w:szCs w:val="27"/>
        </w:rPr>
        <w:t>Sales Analysis</w:t>
      </w:r>
    </w:p>
    <w:p w14:paraId="505C0D83" w14:textId="77777777" w:rsidR="00594AFD" w:rsidRDefault="00000000">
      <w:pPr>
        <w:spacing w:before="60"/>
        <w:jc w:val="center"/>
      </w:pPr>
      <w:r>
        <w:rPr>
          <w:noProof/>
        </w:rPr>
        <w:drawing>
          <wp:inline distT="0" distB="0" distL="0" distR="0" wp14:anchorId="3211FD2F" wp14:editId="772AC704">
            <wp:extent cx="4314825" cy="2552700"/>
            <wp:effectExtent l="0" t="0" r="0" b="0"/>
            <wp:docPr id="410761335" name="image8" descr="Exhibit 8"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14825" cy="2552700"/>
                    </a:xfrm>
                    <a:prstGeom prst="rect">
                      <a:avLst/>
                    </a:prstGeom>
                  </pic:spPr>
                </pic:pic>
              </a:graphicData>
            </a:graphic>
          </wp:inline>
        </w:drawing>
      </w:r>
    </w:p>
    <w:p w14:paraId="767F474F" w14:textId="77777777" w:rsidR="00594AFD" w:rsidRDefault="00000000">
      <w:pPr>
        <w:spacing w:before="30" w:after="220"/>
        <w:jc w:val="center"/>
      </w:pPr>
      <w:r>
        <w:rPr>
          <w:i/>
          <w:iCs/>
          <w:color w:val="667085"/>
          <w:sz w:val="16"/>
          <w:szCs w:val="16"/>
        </w:rPr>
        <w:t>Figure 6 — Revenue &amp; 15-Year CAGR</w:t>
      </w:r>
    </w:p>
    <w:p w14:paraId="0BDF910C" w14:textId="77777777" w:rsidR="00594AFD" w:rsidRDefault="00000000">
      <w:pPr>
        <w:spacing w:before="60"/>
        <w:jc w:val="center"/>
      </w:pPr>
      <w:r>
        <w:rPr>
          <w:noProof/>
        </w:rPr>
        <w:lastRenderedPageBreak/>
        <w:drawing>
          <wp:inline distT="0" distB="0" distL="0" distR="0" wp14:anchorId="3F21E794" wp14:editId="12BDEDAA">
            <wp:extent cx="3429000" cy="2076450"/>
            <wp:effectExtent l="0" t="0" r="0" b="0"/>
            <wp:docPr id="1302659177" name="image9" descr="Exhibit 9"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429000" cy="2076450"/>
                    </a:xfrm>
                    <a:prstGeom prst="rect">
                      <a:avLst/>
                    </a:prstGeom>
                  </pic:spPr>
                </pic:pic>
              </a:graphicData>
            </a:graphic>
          </wp:inline>
        </w:drawing>
      </w:r>
    </w:p>
    <w:p w14:paraId="1ACC29B1" w14:textId="77777777" w:rsidR="00594AFD" w:rsidRDefault="00000000">
      <w:pPr>
        <w:spacing w:before="30" w:after="220"/>
        <w:jc w:val="center"/>
      </w:pPr>
      <w:r>
        <w:rPr>
          <w:i/>
          <w:iCs/>
          <w:color w:val="667085"/>
          <w:sz w:val="16"/>
          <w:szCs w:val="16"/>
        </w:rPr>
        <w:t>Figure 7 — Total vs. Comparable Sales Growth (2025 Quarters)</w:t>
      </w:r>
    </w:p>
    <w:p w14:paraId="256824D9" w14:textId="77777777" w:rsidR="00594AFD" w:rsidRDefault="00000000">
      <w:pPr>
        <w:spacing w:before="60"/>
        <w:jc w:val="center"/>
      </w:pPr>
      <w:r>
        <w:rPr>
          <w:noProof/>
        </w:rPr>
        <w:drawing>
          <wp:inline distT="0" distB="0" distL="0" distR="0" wp14:anchorId="1B533E85" wp14:editId="63922ACA">
            <wp:extent cx="4191000" cy="428625"/>
            <wp:effectExtent l="0" t="0" r="0" b="0"/>
            <wp:docPr id="2142661754" name="image10" descr="Exhibit 10"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428625"/>
                    </a:xfrm>
                    <a:prstGeom prst="rect">
                      <a:avLst/>
                    </a:prstGeom>
                  </pic:spPr>
                </pic:pic>
              </a:graphicData>
            </a:graphic>
          </wp:inline>
        </w:drawing>
      </w:r>
    </w:p>
    <w:p w14:paraId="275A5F7E" w14:textId="77777777" w:rsidR="00594AFD" w:rsidRDefault="00000000">
      <w:pPr>
        <w:spacing w:before="30" w:after="220"/>
        <w:jc w:val="center"/>
      </w:pPr>
      <w:r>
        <w:rPr>
          <w:i/>
          <w:iCs/>
          <w:color w:val="667085"/>
          <w:sz w:val="16"/>
          <w:szCs w:val="16"/>
        </w:rPr>
        <w:t>Figure 8 — Comparable Sales Growth by Quarter</w:t>
      </w:r>
    </w:p>
    <w:p w14:paraId="510E2343" w14:textId="77777777" w:rsidR="00594AFD" w:rsidRDefault="00000000">
      <w:pPr>
        <w:spacing w:after="160" w:line="264" w:lineRule="auto"/>
        <w:jc w:val="both"/>
      </w:pPr>
      <w:r>
        <w:t xml:space="preserve">Sprouts has delivered strong growth over the past 15 years, generating a sales CAGR of approximately </w:t>
      </w:r>
      <w:r>
        <w:rPr>
          <w:b/>
          <w:bCs/>
        </w:rPr>
        <w:t>21.3%</w:t>
      </w:r>
      <w:r>
        <w:t>, driven by broader market expansion, increased consumer awareness around food quality, improving brand competitiveness, and consistent store expansion across multiple U.S. states.</w:t>
      </w:r>
    </w:p>
    <w:p w14:paraId="266BADEA" w14:textId="77777777" w:rsidR="00594AFD" w:rsidRDefault="00000000">
      <w:pPr>
        <w:spacing w:after="160" w:line="264" w:lineRule="auto"/>
        <w:jc w:val="both"/>
      </w:pPr>
      <w:r>
        <w:t xml:space="preserve">In 2025, revenue growth has remained robust, with sales increasing approximately </w:t>
      </w:r>
      <w:r>
        <w:rPr>
          <w:b/>
          <w:bCs/>
        </w:rPr>
        <w:t>19%, 17%, and 13%</w:t>
      </w:r>
      <w:r>
        <w:t xml:space="preserve"> in the first three quarters, respectively. Comparable-store sales have generally tracked total revenue growth; however, in Q3 comparable sales growth moderated to </w:t>
      </w:r>
      <w:r>
        <w:rPr>
          <w:b/>
          <w:bCs/>
        </w:rPr>
        <w:t>5.9%</w:t>
      </w:r>
      <w:r>
        <w:t>. This deceleration has raised investor concerns and contributed meaningfully to the recent decline in the stock price.</w:t>
      </w:r>
    </w:p>
    <w:p w14:paraId="0BFBA50E" w14:textId="36F3328D" w:rsidR="00594AFD" w:rsidRDefault="00000000">
      <w:pPr>
        <w:keepNext/>
        <w:pBdr>
          <w:bottom w:val="single" w:sz="14" w:space="6" w:color="16263F"/>
        </w:pBdr>
        <w:spacing w:before="300" w:after="140"/>
      </w:pPr>
      <w:r>
        <w:rPr>
          <w:b/>
          <w:bCs/>
          <w:color w:val="16263F"/>
          <w:sz w:val="27"/>
          <w:szCs w:val="27"/>
        </w:rPr>
        <w:t>Margins &amp; Profitability</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040"/>
        <w:gridCol w:w="5040"/>
      </w:tblGrid>
      <w:tr w:rsidR="00594AFD" w14:paraId="53971639" w14:textId="77777777">
        <w:tc>
          <w:tcPr>
            <w:tcW w:w="504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4FF7C2A8" w14:textId="77777777" w:rsidR="00594AFD" w:rsidRDefault="00000000">
            <w:pPr>
              <w:spacing w:after="30"/>
              <w:jc w:val="center"/>
            </w:pPr>
            <w:r>
              <w:rPr>
                <w:noProof/>
              </w:rPr>
              <w:drawing>
                <wp:inline distT="0" distB="0" distL="0" distR="0" wp14:anchorId="7980633E" wp14:editId="4D6C35E3">
                  <wp:extent cx="3048000" cy="1828800"/>
                  <wp:effectExtent l="0" t="0" r="0" b="0"/>
                  <wp:docPr id="190651029" name="image11" descr="Exhibit 11"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048000" cy="1828800"/>
                          </a:xfrm>
                          <a:prstGeom prst="rect">
                            <a:avLst/>
                          </a:prstGeom>
                        </pic:spPr>
                      </pic:pic>
                    </a:graphicData>
                  </a:graphic>
                </wp:inline>
              </w:drawing>
            </w:r>
          </w:p>
          <w:p w14:paraId="6EF38630" w14:textId="77777777" w:rsidR="00594AFD" w:rsidRDefault="00000000">
            <w:pPr>
              <w:jc w:val="center"/>
            </w:pPr>
            <w:r>
              <w:rPr>
                <w:i/>
                <w:iCs/>
                <w:color w:val="667085"/>
                <w:sz w:val="15"/>
                <w:szCs w:val="15"/>
              </w:rPr>
              <w:t>Figure 9 — Gross Profit Over Time</w:t>
            </w:r>
          </w:p>
        </w:tc>
        <w:tc>
          <w:tcPr>
            <w:tcW w:w="504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0F6FD381" w14:textId="77777777" w:rsidR="00594AFD" w:rsidRDefault="00000000">
            <w:pPr>
              <w:spacing w:after="30"/>
              <w:jc w:val="center"/>
            </w:pPr>
            <w:r>
              <w:rPr>
                <w:noProof/>
              </w:rPr>
              <w:drawing>
                <wp:inline distT="0" distB="0" distL="0" distR="0" wp14:anchorId="4B5C22C0" wp14:editId="28ADFF0F">
                  <wp:extent cx="3048000" cy="1866900"/>
                  <wp:effectExtent l="0" t="0" r="0" b="0"/>
                  <wp:docPr id="1939818181" name="image12" descr="Exhibit 12"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048000" cy="1866900"/>
                          </a:xfrm>
                          <a:prstGeom prst="rect">
                            <a:avLst/>
                          </a:prstGeom>
                        </pic:spPr>
                      </pic:pic>
                    </a:graphicData>
                  </a:graphic>
                </wp:inline>
              </w:drawing>
            </w:r>
          </w:p>
          <w:p w14:paraId="5011BD46" w14:textId="77777777" w:rsidR="00594AFD" w:rsidRDefault="00000000">
            <w:pPr>
              <w:jc w:val="center"/>
            </w:pPr>
            <w:r>
              <w:rPr>
                <w:i/>
                <w:iCs/>
                <w:color w:val="667085"/>
                <w:sz w:val="15"/>
                <w:szCs w:val="15"/>
              </w:rPr>
              <w:t>Figure 10 — EBITDA Over Time</w:t>
            </w:r>
          </w:p>
        </w:tc>
      </w:tr>
    </w:tbl>
    <w:p w14:paraId="663C62D8" w14:textId="77777777" w:rsidR="00594AFD" w:rsidRDefault="00594AFD">
      <w:pPr>
        <w:spacing w:after="160"/>
      </w:pP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040"/>
        <w:gridCol w:w="5040"/>
      </w:tblGrid>
      <w:tr w:rsidR="00594AFD" w14:paraId="04630C3E" w14:textId="77777777">
        <w:tc>
          <w:tcPr>
            <w:tcW w:w="504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35A8E604" w14:textId="77777777" w:rsidR="00594AFD" w:rsidRDefault="00000000">
            <w:pPr>
              <w:spacing w:after="30"/>
              <w:jc w:val="center"/>
            </w:pPr>
            <w:r>
              <w:rPr>
                <w:noProof/>
              </w:rPr>
              <w:lastRenderedPageBreak/>
              <w:drawing>
                <wp:inline distT="0" distB="0" distL="0" distR="0" wp14:anchorId="361EBE16" wp14:editId="546F3173">
                  <wp:extent cx="3048000" cy="2066925"/>
                  <wp:effectExtent l="0" t="0" r="0" b="0"/>
                  <wp:docPr id="187364612" name="image13" descr="Exhibit 13"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048000" cy="2066925"/>
                          </a:xfrm>
                          <a:prstGeom prst="rect">
                            <a:avLst/>
                          </a:prstGeom>
                        </pic:spPr>
                      </pic:pic>
                    </a:graphicData>
                  </a:graphic>
                </wp:inline>
              </w:drawing>
            </w:r>
          </w:p>
          <w:p w14:paraId="2B8CF05C" w14:textId="77777777" w:rsidR="00594AFD" w:rsidRDefault="00000000">
            <w:pPr>
              <w:jc w:val="center"/>
            </w:pPr>
            <w:r>
              <w:rPr>
                <w:i/>
                <w:iCs/>
                <w:color w:val="667085"/>
                <w:sz w:val="15"/>
                <w:szCs w:val="15"/>
              </w:rPr>
              <w:t>Figure 11 — EBIT Over Time</w:t>
            </w:r>
          </w:p>
        </w:tc>
        <w:tc>
          <w:tcPr>
            <w:tcW w:w="504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58EDC925" w14:textId="77777777" w:rsidR="00594AFD" w:rsidRDefault="00000000">
            <w:pPr>
              <w:spacing w:after="30"/>
              <w:jc w:val="center"/>
            </w:pPr>
            <w:r>
              <w:rPr>
                <w:noProof/>
              </w:rPr>
              <w:drawing>
                <wp:inline distT="0" distB="0" distL="0" distR="0" wp14:anchorId="48C8F25A" wp14:editId="60063DE9">
                  <wp:extent cx="3048000" cy="1704975"/>
                  <wp:effectExtent l="0" t="0" r="0" b="0"/>
                  <wp:docPr id="952655396" name="image14" descr="Exhibit 14"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048000" cy="1704975"/>
                          </a:xfrm>
                          <a:prstGeom prst="rect">
                            <a:avLst/>
                          </a:prstGeom>
                        </pic:spPr>
                      </pic:pic>
                    </a:graphicData>
                  </a:graphic>
                </wp:inline>
              </w:drawing>
            </w:r>
          </w:p>
          <w:p w14:paraId="354A7479" w14:textId="77777777" w:rsidR="00594AFD" w:rsidRDefault="00000000">
            <w:pPr>
              <w:jc w:val="center"/>
            </w:pPr>
            <w:r>
              <w:rPr>
                <w:i/>
                <w:iCs/>
                <w:color w:val="667085"/>
                <w:sz w:val="15"/>
                <w:szCs w:val="15"/>
              </w:rPr>
              <w:t>Figure 12 — Net Income Over Time</w:t>
            </w:r>
          </w:p>
        </w:tc>
      </w:tr>
    </w:tbl>
    <w:p w14:paraId="66D96889" w14:textId="77777777" w:rsidR="00594AFD" w:rsidRDefault="00594AFD">
      <w:pPr>
        <w:spacing w:after="60"/>
      </w:pPr>
    </w:p>
    <w:p w14:paraId="3D8C2A95" w14:textId="77777777" w:rsidR="00594AFD" w:rsidRDefault="00000000">
      <w:pPr>
        <w:pStyle w:val="ListParagraph"/>
        <w:numPr>
          <w:ilvl w:val="0"/>
          <w:numId w:val="2"/>
        </w:numPr>
        <w:spacing w:after="120" w:line="264" w:lineRule="auto"/>
        <w:jc w:val="both"/>
      </w:pPr>
      <w:r>
        <w:rPr>
          <w:b/>
          <w:bCs/>
        </w:rPr>
        <w:t>Gross profit</w:t>
      </w:r>
      <w:r>
        <w:t xml:space="preserve"> increased from approximately $163 million in 2010 to over </w:t>
      </w:r>
      <w:r>
        <w:rPr>
          <w:b/>
          <w:bCs/>
        </w:rPr>
        <w:t>$3.5 billion in 2025</w:t>
      </w:r>
      <w:r>
        <w:t xml:space="preserve">, reflecting significant scale expansion. Gross margin improved from roughly 32% to above </w:t>
      </w:r>
      <w:r>
        <w:rPr>
          <w:b/>
          <w:bCs/>
        </w:rPr>
        <w:t>40%</w:t>
      </w:r>
      <w:r>
        <w:t>, driven by improved merchandising, pricing discipline, and cost management.</w:t>
      </w:r>
    </w:p>
    <w:p w14:paraId="454A75AA" w14:textId="77777777" w:rsidR="00594AFD" w:rsidRDefault="00000000">
      <w:pPr>
        <w:pStyle w:val="ListParagraph"/>
        <w:numPr>
          <w:ilvl w:val="0"/>
          <w:numId w:val="2"/>
        </w:numPr>
        <w:spacing w:after="120" w:line="264" w:lineRule="auto"/>
        <w:jc w:val="both"/>
      </w:pPr>
      <w:r>
        <w:rPr>
          <w:b/>
          <w:bCs/>
        </w:rPr>
        <w:t>EBITDA</w:t>
      </w:r>
      <w:r>
        <w:t xml:space="preserve"> grew from approximately $25 million in 2010 to nearly </w:t>
      </w:r>
      <w:r>
        <w:rPr>
          <w:b/>
          <w:bCs/>
        </w:rPr>
        <w:t>$1.0 billion in 2025 LTM</w:t>
      </w:r>
      <w:r>
        <w:t xml:space="preserve">, with margins expanding from around 5% in the early 2010s to approximately </w:t>
      </w:r>
      <w:r>
        <w:rPr>
          <w:b/>
          <w:bCs/>
        </w:rPr>
        <w:t>11–12%</w:t>
      </w:r>
      <w:r>
        <w:t xml:space="preserve"> recently — substantial operating leverage as the business scaled.</w:t>
      </w:r>
    </w:p>
    <w:p w14:paraId="5490C4F0" w14:textId="77777777" w:rsidR="00594AFD" w:rsidRDefault="00000000">
      <w:pPr>
        <w:pStyle w:val="ListParagraph"/>
        <w:numPr>
          <w:ilvl w:val="0"/>
          <w:numId w:val="2"/>
        </w:numPr>
        <w:spacing w:after="120" w:line="264" w:lineRule="auto"/>
        <w:jc w:val="both"/>
      </w:pPr>
      <w:r>
        <w:rPr>
          <w:b/>
          <w:bCs/>
        </w:rPr>
        <w:t>EBIT</w:t>
      </w:r>
      <w:r>
        <w:t xml:space="preserve"> increased from roughly $11 million in 2010 to approximately </w:t>
      </w:r>
      <w:r>
        <w:rPr>
          <w:b/>
          <w:bCs/>
        </w:rPr>
        <w:t>$680 million in 2025 LTM</w:t>
      </w:r>
      <w:r>
        <w:t xml:space="preserve">, with margins expanding from about 2% to nearly </w:t>
      </w:r>
      <w:r>
        <w:rPr>
          <w:b/>
          <w:bCs/>
        </w:rPr>
        <w:t>8%</w:t>
      </w:r>
      <w:r>
        <w:t>, reflecting disciplined SG&amp;A control and stronger store-level profitability.</w:t>
      </w:r>
    </w:p>
    <w:p w14:paraId="50DFFE48" w14:textId="77777777" w:rsidR="00594AFD" w:rsidRDefault="00000000">
      <w:pPr>
        <w:pStyle w:val="ListParagraph"/>
        <w:numPr>
          <w:ilvl w:val="0"/>
          <w:numId w:val="2"/>
        </w:numPr>
        <w:spacing w:after="120" w:line="264" w:lineRule="auto"/>
        <w:jc w:val="both"/>
      </w:pPr>
      <w:r>
        <w:rPr>
          <w:b/>
          <w:bCs/>
        </w:rPr>
        <w:t>Net income</w:t>
      </w:r>
      <w:r>
        <w:t xml:space="preserve"> rose from $5 million in 2010 to over </w:t>
      </w:r>
      <w:r>
        <w:rPr>
          <w:b/>
          <w:bCs/>
        </w:rPr>
        <w:t>$500 million in 2025 LTM</w:t>
      </w:r>
      <w:r>
        <w:t xml:space="preserve">, while net margin improved from below 1% to nearly </w:t>
      </w:r>
      <w:r>
        <w:rPr>
          <w:b/>
          <w:bCs/>
        </w:rPr>
        <w:t>6%</w:t>
      </w:r>
      <w:r>
        <w:t xml:space="preserve"> — underscoring the company's ability to convert revenue growth into sustainable bottom-line earnings.</w:t>
      </w:r>
    </w:p>
    <w:p w14:paraId="3C2AFADB" w14:textId="77777777" w:rsidR="00594AFD" w:rsidRDefault="00000000">
      <w:pPr>
        <w:spacing w:after="160" w:line="264" w:lineRule="auto"/>
        <w:jc w:val="both"/>
      </w:pPr>
      <w:r>
        <w:t>Overall, Sprouts has transformed from a small, low-margin retailer into a scaled, highly profitable operator. The steady expansion in revenue, margins, and earnings demonstrates a durable business model and strong execution, positioning the company well for continued long-term growth.</w:t>
      </w:r>
    </w:p>
    <w:p w14:paraId="57E67036" w14:textId="012F40DC" w:rsidR="00594AFD" w:rsidRDefault="00000000">
      <w:pPr>
        <w:keepNext/>
        <w:pBdr>
          <w:bottom w:val="single" w:sz="14" w:space="6" w:color="16263F"/>
        </w:pBdr>
        <w:spacing w:before="300" w:after="140"/>
      </w:pPr>
      <w:r>
        <w:rPr>
          <w:b/>
          <w:bCs/>
          <w:color w:val="16263F"/>
          <w:sz w:val="27"/>
          <w:szCs w:val="27"/>
        </w:rPr>
        <w:t>Returns on Capital</w:t>
      </w:r>
    </w:p>
    <w:p w14:paraId="3E6B9A7D" w14:textId="77777777" w:rsidR="00594AFD" w:rsidRDefault="00000000">
      <w:pPr>
        <w:spacing w:before="40" w:after="40"/>
      </w:pPr>
      <w:r>
        <w:rPr>
          <w:b/>
          <w:bCs/>
          <w:color w:val="335074"/>
          <w:sz w:val="18"/>
          <w:szCs w:val="18"/>
        </w:rPr>
        <w:t>Methodology</w:t>
      </w:r>
    </w:p>
    <w:p w14:paraId="41128334" w14:textId="77777777" w:rsidR="00594AFD" w:rsidRDefault="00000000">
      <w:pPr>
        <w:pStyle w:val="ListParagraph"/>
        <w:numPr>
          <w:ilvl w:val="0"/>
          <w:numId w:val="3"/>
        </w:numPr>
        <w:spacing w:after="120" w:line="264" w:lineRule="auto"/>
        <w:jc w:val="both"/>
      </w:pPr>
      <w:r>
        <w:t>ROTCE = EBIT / (NWC + NFA)</w:t>
      </w:r>
    </w:p>
    <w:p w14:paraId="7E403AE7" w14:textId="77777777" w:rsidR="00594AFD" w:rsidRDefault="00000000">
      <w:pPr>
        <w:pStyle w:val="ListParagraph"/>
        <w:numPr>
          <w:ilvl w:val="0"/>
          <w:numId w:val="3"/>
        </w:numPr>
        <w:spacing w:after="120" w:line="264" w:lineRule="auto"/>
        <w:jc w:val="both"/>
      </w:pPr>
      <w:r>
        <w:t>NWC = current assets (excl. cash) − current liabilities (excl. short-term debt)</w:t>
      </w:r>
    </w:p>
    <w:p w14:paraId="0120A808" w14:textId="77777777" w:rsidR="00594AFD" w:rsidRDefault="00000000">
      <w:pPr>
        <w:pStyle w:val="ListParagraph"/>
        <w:numPr>
          <w:ilvl w:val="0"/>
          <w:numId w:val="3"/>
        </w:numPr>
        <w:spacing w:after="120" w:line="264" w:lineRule="auto"/>
        <w:jc w:val="both"/>
      </w:pPr>
      <w:r>
        <w:t>ROIC = EBIT × (1 − tax rate) / [(assets − cash) − non-interest-bearing current liabilities]</w:t>
      </w:r>
    </w:p>
    <w:p w14:paraId="5CDAF4F9" w14:textId="77777777" w:rsidR="00594AFD" w:rsidRDefault="00000000">
      <w:pPr>
        <w:spacing w:before="60"/>
        <w:jc w:val="center"/>
      </w:pPr>
      <w:r>
        <w:rPr>
          <w:noProof/>
        </w:rPr>
        <w:lastRenderedPageBreak/>
        <w:drawing>
          <wp:inline distT="0" distB="0" distL="0" distR="0" wp14:anchorId="6A81FDF7" wp14:editId="17F8E345">
            <wp:extent cx="4067175" cy="2447925"/>
            <wp:effectExtent l="0" t="0" r="0" b="0"/>
            <wp:docPr id="1985185447" name="image15" descr="Exhibit 15"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67175" cy="2447925"/>
                    </a:xfrm>
                    <a:prstGeom prst="rect">
                      <a:avLst/>
                    </a:prstGeom>
                  </pic:spPr>
                </pic:pic>
              </a:graphicData>
            </a:graphic>
          </wp:inline>
        </w:drawing>
      </w:r>
    </w:p>
    <w:p w14:paraId="56F4EBE5" w14:textId="77777777" w:rsidR="00594AFD" w:rsidRDefault="00000000">
      <w:pPr>
        <w:spacing w:before="30" w:after="220"/>
        <w:jc w:val="center"/>
      </w:pPr>
      <w:r>
        <w:rPr>
          <w:i/>
          <w:iCs/>
          <w:color w:val="667085"/>
          <w:sz w:val="16"/>
          <w:szCs w:val="16"/>
        </w:rPr>
        <w:t>Figure 13 — ROTCE &amp; ROIC Over Time</w:t>
      </w:r>
    </w:p>
    <w:p w14:paraId="0D0A83AA" w14:textId="77777777" w:rsidR="00594AFD" w:rsidRDefault="00000000">
      <w:pPr>
        <w:spacing w:after="160" w:line="264" w:lineRule="auto"/>
        <w:jc w:val="both"/>
      </w:pPr>
      <w:r>
        <w:t xml:space="preserve">ROTCE increased sharply between 2012 and 2015, peaking at approximately </w:t>
      </w:r>
      <w:r>
        <w:rPr>
          <w:b/>
          <w:bCs/>
        </w:rPr>
        <w:t>45–47%</w:t>
      </w:r>
      <w:r>
        <w:t xml:space="preserve">, driven by rapid EBIT growth combined with a relatively low capital base during the company's early expansion phase. As Sprouts continued to invest in new stores and infrastructure, ROTCE normalized to the </w:t>
      </w:r>
      <w:r>
        <w:rPr>
          <w:b/>
          <w:bCs/>
        </w:rPr>
        <w:t>20–25%</w:t>
      </w:r>
      <w:r>
        <w:t xml:space="preserve"> range in recent years — still well above typical retail averages and reflecting strong underlying unit economics.</w:t>
      </w:r>
    </w:p>
    <w:p w14:paraId="6769D192" w14:textId="77777777" w:rsidR="00594AFD" w:rsidRDefault="00000000">
      <w:pPr>
        <w:spacing w:after="160" w:line="264" w:lineRule="auto"/>
        <w:jc w:val="both"/>
      </w:pPr>
      <w:r>
        <w:t xml:space="preserve">ROIC has followed a more stable trajectory, improving from low single digits in the early 2010s to a sustained </w:t>
      </w:r>
      <w:r>
        <w:rPr>
          <w:b/>
          <w:bCs/>
        </w:rPr>
        <w:t>10–13%</w:t>
      </w:r>
      <w:r>
        <w:t xml:space="preserve"> in recent years, reflecting higher operating profitability and more disciplined capital deployment. The temporary decline in both metrics around 2019 coincided with increased investment and margin pressure, followed by a recovery driven by improved operating performance.</w:t>
      </w:r>
    </w:p>
    <w:p w14:paraId="6199AC72" w14:textId="77777777" w:rsidR="00594AFD" w:rsidRDefault="00000000">
      <w:pPr>
        <w:spacing w:after="160" w:line="264" w:lineRule="auto"/>
        <w:jc w:val="both"/>
      </w:pPr>
      <w:r>
        <w:t>Overall, the sustained elevation of both ROTCE and ROIC suggests Sprouts has been effective in converting incremental investment into profitable growth, supporting the view that it operates with a high-quality capital structure and generates returns well in excess of its cost of capital over time.</w:t>
      </w:r>
    </w:p>
    <w:p w14:paraId="5F798C85" w14:textId="506BF0E0" w:rsidR="00594AFD" w:rsidRDefault="00000000">
      <w:pPr>
        <w:keepNext/>
        <w:pBdr>
          <w:bottom w:val="single" w:sz="14" w:space="6" w:color="16263F"/>
        </w:pBdr>
        <w:spacing w:before="300" w:after="140"/>
      </w:pPr>
      <w:r>
        <w:rPr>
          <w:b/>
          <w:bCs/>
          <w:color w:val="16263F"/>
          <w:sz w:val="27"/>
          <w:szCs w:val="27"/>
        </w:rPr>
        <w:t>CapEx &amp; Store Expansion</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040"/>
        <w:gridCol w:w="5040"/>
      </w:tblGrid>
      <w:tr w:rsidR="00594AFD" w14:paraId="641206A3" w14:textId="77777777">
        <w:tc>
          <w:tcPr>
            <w:tcW w:w="504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5510B4DD" w14:textId="77777777" w:rsidR="00594AFD" w:rsidRDefault="00000000">
            <w:pPr>
              <w:spacing w:after="30"/>
              <w:jc w:val="center"/>
            </w:pPr>
            <w:r>
              <w:rPr>
                <w:noProof/>
              </w:rPr>
              <w:drawing>
                <wp:inline distT="0" distB="0" distL="0" distR="0" wp14:anchorId="42338F2E" wp14:editId="4F08ABA1">
                  <wp:extent cx="3048000" cy="1495425"/>
                  <wp:effectExtent l="0" t="0" r="0" b="0"/>
                  <wp:docPr id="792017824" name="image16" descr="Exhibit 16"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048000" cy="1495425"/>
                          </a:xfrm>
                          <a:prstGeom prst="rect">
                            <a:avLst/>
                          </a:prstGeom>
                        </pic:spPr>
                      </pic:pic>
                    </a:graphicData>
                  </a:graphic>
                </wp:inline>
              </w:drawing>
            </w:r>
          </w:p>
          <w:p w14:paraId="7CF7675C" w14:textId="77777777" w:rsidR="00594AFD" w:rsidRDefault="00000000">
            <w:pPr>
              <w:jc w:val="center"/>
            </w:pPr>
            <w:r>
              <w:rPr>
                <w:i/>
                <w:iCs/>
                <w:color w:val="667085"/>
                <w:sz w:val="15"/>
                <w:szCs w:val="15"/>
              </w:rPr>
              <w:t>Figure 14 — CapEx vs. New Stores</w:t>
            </w:r>
          </w:p>
        </w:tc>
        <w:tc>
          <w:tcPr>
            <w:tcW w:w="504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3A4535E6" w14:textId="77777777" w:rsidR="00594AFD" w:rsidRDefault="00000000">
            <w:pPr>
              <w:spacing w:after="30"/>
              <w:jc w:val="center"/>
            </w:pPr>
            <w:r>
              <w:rPr>
                <w:noProof/>
              </w:rPr>
              <w:drawing>
                <wp:inline distT="0" distB="0" distL="0" distR="0" wp14:anchorId="1AAD2A1D" wp14:editId="00356039">
                  <wp:extent cx="3048000" cy="1809750"/>
                  <wp:effectExtent l="0" t="0" r="0" b="0"/>
                  <wp:docPr id="1664778552" name="image17" descr="Exhibit 17"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048000" cy="1809750"/>
                          </a:xfrm>
                          <a:prstGeom prst="rect">
                            <a:avLst/>
                          </a:prstGeom>
                        </pic:spPr>
                      </pic:pic>
                    </a:graphicData>
                  </a:graphic>
                </wp:inline>
              </w:drawing>
            </w:r>
          </w:p>
          <w:p w14:paraId="0C318D9A" w14:textId="77777777" w:rsidR="00594AFD" w:rsidRDefault="00000000">
            <w:pPr>
              <w:jc w:val="center"/>
            </w:pPr>
            <w:r>
              <w:rPr>
                <w:i/>
                <w:iCs/>
                <w:color w:val="667085"/>
                <w:sz w:val="15"/>
                <w:szCs w:val="15"/>
              </w:rPr>
              <w:t>Figure 15 — New Stores &amp; CapEx as % of Revenue</w:t>
            </w:r>
          </w:p>
        </w:tc>
      </w:tr>
    </w:tbl>
    <w:p w14:paraId="2295962D" w14:textId="77777777" w:rsidR="00594AFD" w:rsidRDefault="00594AFD">
      <w:pPr>
        <w:spacing w:after="160"/>
      </w:pPr>
    </w:p>
    <w:p w14:paraId="5FAEF298" w14:textId="77777777" w:rsidR="00594AFD" w:rsidRDefault="00000000">
      <w:pPr>
        <w:spacing w:before="60"/>
        <w:jc w:val="center"/>
      </w:pPr>
      <w:r>
        <w:rPr>
          <w:noProof/>
        </w:rPr>
        <w:lastRenderedPageBreak/>
        <w:drawing>
          <wp:inline distT="0" distB="0" distL="0" distR="0" wp14:anchorId="1AB91B57" wp14:editId="4A5A87A9">
            <wp:extent cx="3429000" cy="2028825"/>
            <wp:effectExtent l="0" t="0" r="0" b="0"/>
            <wp:docPr id="587242294" name="image18" descr="Exhibit 18"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429000" cy="2028825"/>
                    </a:xfrm>
                    <a:prstGeom prst="rect">
                      <a:avLst/>
                    </a:prstGeom>
                  </pic:spPr>
                </pic:pic>
              </a:graphicData>
            </a:graphic>
          </wp:inline>
        </w:drawing>
      </w:r>
    </w:p>
    <w:p w14:paraId="559D9E8A" w14:textId="77777777" w:rsidR="00594AFD" w:rsidRDefault="00000000">
      <w:pPr>
        <w:spacing w:before="30" w:after="220"/>
        <w:jc w:val="center"/>
      </w:pPr>
      <w:r>
        <w:rPr>
          <w:i/>
          <w:iCs/>
          <w:color w:val="667085"/>
          <w:sz w:val="16"/>
          <w:szCs w:val="16"/>
        </w:rPr>
        <w:t>Figure 16 — CapEx &amp; CapEx as % of Revenue</w:t>
      </w:r>
    </w:p>
    <w:p w14:paraId="1AD7EE80" w14:textId="77777777" w:rsidR="00594AFD" w:rsidRDefault="00000000">
      <w:pPr>
        <w:spacing w:after="160" w:line="264" w:lineRule="auto"/>
        <w:jc w:val="both"/>
      </w:pPr>
      <w:r>
        <w:t xml:space="preserve">Sprouts has pursued a consistent, disciplined store-expansion strategy over the past decade, steadily increasing its footprint while maintaining prudent capital allocation. Total store count grew from approximately </w:t>
      </w:r>
      <w:r>
        <w:rPr>
          <w:b/>
          <w:bCs/>
        </w:rPr>
        <w:t>170 locations in 2013 to 440 in 2024</w:t>
      </w:r>
      <w:r>
        <w:t xml:space="preserve">, while geographic presence expanded from 12 to </w:t>
      </w:r>
      <w:r>
        <w:rPr>
          <w:b/>
          <w:bCs/>
        </w:rPr>
        <w:t>25 states</w:t>
      </w:r>
      <w:r>
        <w:t xml:space="preserve">. In 2025 the company has already reached </w:t>
      </w:r>
      <w:r>
        <w:rPr>
          <w:b/>
          <w:bCs/>
        </w:rPr>
        <w:t>464 stores</w:t>
      </w:r>
      <w:r>
        <w:t xml:space="preserve"> and expects to finish the year having opened 37 — underscoring its commitment to a long-term objective of </w:t>
      </w:r>
      <w:r>
        <w:rPr>
          <w:b/>
          <w:bCs/>
        </w:rPr>
        <w:t>1,000 stores nationwide</w:t>
      </w:r>
      <w:r>
        <w:t>.</w:t>
      </w:r>
    </w:p>
    <w:p w14:paraId="68E55A39" w14:textId="77777777" w:rsidR="00594AFD" w:rsidRDefault="00000000">
      <w:pPr>
        <w:spacing w:after="160" w:line="264" w:lineRule="auto"/>
        <w:jc w:val="both"/>
      </w:pPr>
      <w:r>
        <w:t xml:space="preserve">Recent expansion has concentrated in high-growth, underpenetrated markets. From 2022 to 2024 the company added </w:t>
      </w:r>
      <w:r>
        <w:rPr>
          <w:b/>
          <w:bCs/>
        </w:rPr>
        <w:t>66 net new stores</w:t>
      </w:r>
      <w:r>
        <w:t>, led by California (+21), Florida (+18), Texas (+7), and Arizona (+4), and has increasingly pursued opportunities in the Northeast.</w:t>
      </w:r>
    </w:p>
    <w:p w14:paraId="41C31F9D" w14:textId="77777777" w:rsidR="00594AFD" w:rsidRDefault="00000000">
      <w:pPr>
        <w:spacing w:after="160" w:line="264" w:lineRule="auto"/>
        <w:jc w:val="both"/>
      </w:pPr>
      <w:r>
        <w:t xml:space="preserve">Capital expenditures have closely tracked store growth but become more efficient over time, rising from roughly $125–180 million in the mid-2010s to approximately </w:t>
      </w:r>
      <w:r>
        <w:rPr>
          <w:b/>
          <w:bCs/>
        </w:rPr>
        <w:t>$225–230 million in 2024</w:t>
      </w:r>
      <w:r>
        <w:t xml:space="preserve">. Importantly, </w:t>
      </w:r>
      <w:r>
        <w:rPr>
          <w:b/>
          <w:bCs/>
        </w:rPr>
        <w:t>CapEx as a percentage of revenue has trended down</w:t>
      </w:r>
      <w:r>
        <w:t xml:space="preserve">, from over 4% earlier in the decade to closer to </w:t>
      </w:r>
      <w:r>
        <w:rPr>
          <w:b/>
          <w:bCs/>
        </w:rPr>
        <w:t>3%</w:t>
      </w:r>
      <w:r>
        <w:t xml:space="preserve"> recently, indicating improved capital efficiency as the business scaled.</w:t>
      </w:r>
    </w:p>
    <w:p w14:paraId="75A09AE1" w14:textId="77777777" w:rsidR="00594AFD" w:rsidRDefault="00000000">
      <w:pPr>
        <w:spacing w:after="160" w:line="264" w:lineRule="auto"/>
        <w:jc w:val="both"/>
      </w:pPr>
      <w:r>
        <w:t>The temporary reduction in openings and CapEx during 2020–2021 reflected heightened uncertainty and capital discipline, followed by a clear reacceleration beginning in 2023. The increase to over 30 new stores in 2024 suggests renewed confidence in demand and the company's ability to generate attractive returns on incremental investment. Overall, Sprouts' approach balances expansion with discipline, reinvesting in growth while improving capital efficiency and reinforcing the sustainability of its long-term model.</w:t>
      </w:r>
    </w:p>
    <w:p w14:paraId="2D62A991" w14:textId="77777777" w:rsidR="00594AFD" w:rsidRDefault="00000000">
      <w:pPr>
        <w:spacing w:before="60"/>
        <w:jc w:val="center"/>
      </w:pPr>
      <w:r>
        <w:rPr>
          <w:noProof/>
        </w:rPr>
        <w:drawing>
          <wp:inline distT="0" distB="0" distL="0" distR="0" wp14:anchorId="0E134952" wp14:editId="14F089FC">
            <wp:extent cx="3686175" cy="2419350"/>
            <wp:effectExtent l="0" t="0" r="0" b="0"/>
            <wp:docPr id="1260782543" name="image20" descr="Exhibit 20"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686175" cy="2419350"/>
                    </a:xfrm>
                    <a:prstGeom prst="rect">
                      <a:avLst/>
                    </a:prstGeom>
                  </pic:spPr>
                </pic:pic>
              </a:graphicData>
            </a:graphic>
          </wp:inline>
        </w:drawing>
      </w:r>
    </w:p>
    <w:p w14:paraId="3D0FF4DF" w14:textId="77777777" w:rsidR="00594AFD" w:rsidRDefault="00000000">
      <w:pPr>
        <w:spacing w:before="30" w:after="220"/>
        <w:jc w:val="center"/>
      </w:pPr>
      <w:r>
        <w:rPr>
          <w:i/>
          <w:iCs/>
          <w:color w:val="667085"/>
          <w:sz w:val="16"/>
          <w:szCs w:val="16"/>
        </w:rPr>
        <w:t>Figure 17 — Total Stores &amp; Number of States of Operation</w:t>
      </w:r>
    </w:p>
    <w:p w14:paraId="2831D6A5" w14:textId="77777777" w:rsidR="00594AFD" w:rsidRDefault="00000000">
      <w:pPr>
        <w:spacing w:before="60"/>
        <w:jc w:val="center"/>
      </w:pPr>
      <w:r>
        <w:rPr>
          <w:noProof/>
        </w:rPr>
        <w:lastRenderedPageBreak/>
        <w:drawing>
          <wp:inline distT="0" distB="0" distL="0" distR="0" wp14:anchorId="6AEA4F0D" wp14:editId="39E7A301">
            <wp:extent cx="2028825" cy="2181225"/>
            <wp:effectExtent l="0" t="0" r="0" b="0"/>
            <wp:docPr id="1323432364" name="image19" descr="Exhibit 19"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028825" cy="2181225"/>
                    </a:xfrm>
                    <a:prstGeom prst="rect">
                      <a:avLst/>
                    </a:prstGeom>
                  </pic:spPr>
                </pic:pic>
              </a:graphicData>
            </a:graphic>
          </wp:inline>
        </w:drawing>
      </w:r>
    </w:p>
    <w:p w14:paraId="1B04444C" w14:textId="77777777" w:rsidR="00594AFD" w:rsidRDefault="00000000">
      <w:pPr>
        <w:spacing w:before="30" w:after="220"/>
        <w:jc w:val="center"/>
      </w:pPr>
      <w:r>
        <w:rPr>
          <w:i/>
          <w:iCs/>
          <w:color w:val="667085"/>
          <w:sz w:val="16"/>
          <w:szCs w:val="16"/>
        </w:rPr>
        <w:t>Figure 18 — Store Locations by State</w:t>
      </w:r>
    </w:p>
    <w:p w14:paraId="0DBCCE9C" w14:textId="77777777" w:rsidR="00594AFD" w:rsidRDefault="00000000">
      <w:r>
        <w:br w:type="page"/>
      </w:r>
    </w:p>
    <w:p w14:paraId="1F4EF697" w14:textId="46BBAC7C" w:rsidR="00594AFD" w:rsidRDefault="00000000">
      <w:pPr>
        <w:keepNext/>
        <w:pBdr>
          <w:bottom w:val="single" w:sz="14" w:space="6" w:color="16263F"/>
        </w:pBdr>
        <w:spacing w:before="300" w:after="140"/>
      </w:pPr>
      <w:r>
        <w:rPr>
          <w:b/>
          <w:bCs/>
          <w:color w:val="16263F"/>
          <w:sz w:val="27"/>
          <w:szCs w:val="27"/>
        </w:rPr>
        <w:lastRenderedPageBreak/>
        <w:t>Valuation</w:t>
      </w:r>
    </w:p>
    <w:p w14:paraId="3356B002" w14:textId="77777777" w:rsidR="00594AFD" w:rsidRDefault="00000000">
      <w:pPr>
        <w:spacing w:after="80" w:line="264" w:lineRule="auto"/>
        <w:jc w:val="both"/>
      </w:pPr>
      <w:r>
        <w:rPr>
          <w:b/>
          <w:bCs/>
        </w:rPr>
        <w:t>Target price per share</w:t>
      </w:r>
    </w:p>
    <w:p w14:paraId="1FAB1C90" w14:textId="77777777" w:rsidR="00594AFD" w:rsidRDefault="00000000">
      <w:pPr>
        <w:pStyle w:val="ListParagraph"/>
        <w:numPr>
          <w:ilvl w:val="0"/>
          <w:numId w:val="2"/>
        </w:numPr>
        <w:spacing w:after="120" w:line="264" w:lineRule="auto"/>
        <w:jc w:val="both"/>
      </w:pPr>
      <w:r>
        <w:rPr>
          <w:b/>
          <w:bCs/>
        </w:rPr>
        <w:t>Public Company Comparables:</w:t>
      </w:r>
      <w:r>
        <w:t xml:space="preserve"> $56</w:t>
      </w:r>
    </w:p>
    <w:p w14:paraId="02738001" w14:textId="09584E41" w:rsidR="00594AFD" w:rsidRDefault="00000000">
      <w:pPr>
        <w:pStyle w:val="ListParagraph"/>
        <w:numPr>
          <w:ilvl w:val="0"/>
          <w:numId w:val="2"/>
        </w:numPr>
        <w:spacing w:after="120" w:line="264" w:lineRule="auto"/>
        <w:jc w:val="both"/>
      </w:pPr>
      <w:r>
        <w:rPr>
          <w:b/>
          <w:bCs/>
        </w:rPr>
        <w:t>Discounted Cash Flow:</w:t>
      </w:r>
      <w:r>
        <w:t xml:space="preserve"> $12</w:t>
      </w:r>
      <w:r w:rsidR="0083480E">
        <w:t>2</w:t>
      </w:r>
    </w:p>
    <w:p w14:paraId="240268FA" w14:textId="77777777" w:rsidR="00594AFD" w:rsidRDefault="00000000">
      <w:pPr>
        <w:pStyle w:val="ListParagraph"/>
        <w:numPr>
          <w:ilvl w:val="0"/>
          <w:numId w:val="2"/>
        </w:numPr>
        <w:spacing w:after="120" w:line="264" w:lineRule="auto"/>
        <w:jc w:val="both"/>
      </w:pPr>
      <w:r>
        <w:rPr>
          <w:b/>
          <w:bCs/>
        </w:rPr>
        <w:t>Assumed acquisition price:</w:t>
      </w:r>
      <w:r>
        <w:t xml:space="preserve"> $80.30</w:t>
      </w:r>
    </w:p>
    <w:p w14:paraId="0B8204A9" w14:textId="77777777" w:rsidR="00594AFD" w:rsidRDefault="00000000">
      <w:pPr>
        <w:pStyle w:val="ListParagraph"/>
        <w:numPr>
          <w:ilvl w:val="0"/>
          <w:numId w:val="2"/>
        </w:numPr>
        <w:spacing w:after="120" w:line="264" w:lineRule="auto"/>
        <w:jc w:val="both"/>
      </w:pPr>
      <w:r>
        <w:t xml:space="preserve">The investment decision is based </w:t>
      </w:r>
      <w:r>
        <w:rPr>
          <w:b/>
          <w:bCs/>
        </w:rPr>
        <w:t>primarily on the DCF analysis</w:t>
      </w:r>
      <w:r>
        <w:t>, with less reliance on comparables; precedent transactions were not considered.</w:t>
      </w:r>
    </w:p>
    <w:p w14:paraId="15F9769A" w14:textId="77777777" w:rsidR="00594AFD" w:rsidRDefault="00000000">
      <w:pPr>
        <w:pStyle w:val="ListParagraph"/>
        <w:numPr>
          <w:ilvl w:val="0"/>
          <w:numId w:val="2"/>
        </w:numPr>
        <w:spacing w:after="120" w:line="264" w:lineRule="auto"/>
        <w:jc w:val="both"/>
      </w:pPr>
      <w:r>
        <w:t xml:space="preserve">The target price is, in my view, </w:t>
      </w:r>
      <w:r>
        <w:rPr>
          <w:b/>
          <w:bCs/>
        </w:rPr>
        <w:t>conservative</w:t>
      </w:r>
      <w:r>
        <w:t>, as it assumes growth rates meaningfully below the company's historical levels.</w:t>
      </w:r>
    </w:p>
    <w:p w14:paraId="1E47B60F" w14:textId="77777777" w:rsidR="00594AFD" w:rsidRDefault="00000000">
      <w:pPr>
        <w:spacing w:before="60"/>
        <w:jc w:val="center"/>
      </w:pPr>
      <w:r>
        <w:rPr>
          <w:noProof/>
        </w:rPr>
        <w:drawing>
          <wp:inline distT="0" distB="0" distL="0" distR="0" wp14:anchorId="06652BD1" wp14:editId="724EAB38">
            <wp:extent cx="4314825" cy="1943100"/>
            <wp:effectExtent l="0" t="0" r="0" b="0"/>
            <wp:docPr id="539384055" name="image21" descr="Exhibit 21"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314825" cy="1943100"/>
                    </a:xfrm>
                    <a:prstGeom prst="rect">
                      <a:avLst/>
                    </a:prstGeom>
                  </pic:spPr>
                </pic:pic>
              </a:graphicData>
            </a:graphic>
          </wp:inline>
        </w:drawing>
      </w:r>
    </w:p>
    <w:p w14:paraId="40201532" w14:textId="77777777" w:rsidR="00594AFD" w:rsidRDefault="00000000">
      <w:pPr>
        <w:spacing w:before="30" w:after="220"/>
        <w:jc w:val="center"/>
      </w:pPr>
      <w:r>
        <w:rPr>
          <w:i/>
          <w:iCs/>
          <w:color w:val="667085"/>
          <w:sz w:val="16"/>
          <w:szCs w:val="16"/>
        </w:rPr>
        <w:t>Figure 19 — Valuation Football Field — Range of Implied Share Prices</w:t>
      </w:r>
    </w:p>
    <w:p w14:paraId="29D9FE66" w14:textId="77777777" w:rsidR="00594AFD" w:rsidRDefault="00000000">
      <w:pPr>
        <w:keepNext/>
        <w:spacing w:before="200" w:after="80"/>
      </w:pPr>
      <w:r>
        <w:rPr>
          <w:b/>
          <w:bCs/>
          <w:color w:val="335074"/>
          <w:sz w:val="22"/>
          <w:szCs w:val="22"/>
        </w:rPr>
        <w:t>Public Company Comparables</w:t>
      </w:r>
    </w:p>
    <w:p w14:paraId="2B0163BA" w14:textId="77777777" w:rsidR="00594AFD" w:rsidRDefault="00000000">
      <w:pPr>
        <w:spacing w:before="60"/>
        <w:jc w:val="center"/>
      </w:pPr>
      <w:r>
        <w:rPr>
          <w:noProof/>
        </w:rPr>
        <w:drawing>
          <wp:inline distT="0" distB="0" distL="0" distR="0" wp14:anchorId="4F0B6952" wp14:editId="03D450E0">
            <wp:extent cx="6400800" cy="1885950"/>
            <wp:effectExtent l="0" t="0" r="0" b="0"/>
            <wp:docPr id="1512339968" name="image22" descr="Exhibit 22"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400800" cy="1885950"/>
                    </a:xfrm>
                    <a:prstGeom prst="rect">
                      <a:avLst/>
                    </a:prstGeom>
                  </pic:spPr>
                </pic:pic>
              </a:graphicData>
            </a:graphic>
          </wp:inline>
        </w:drawing>
      </w:r>
    </w:p>
    <w:p w14:paraId="6F5B93C9" w14:textId="77777777" w:rsidR="00594AFD" w:rsidRDefault="00000000">
      <w:pPr>
        <w:spacing w:before="30" w:after="220"/>
        <w:jc w:val="center"/>
      </w:pPr>
      <w:r>
        <w:rPr>
          <w:i/>
          <w:iCs/>
          <w:color w:val="667085"/>
          <w:sz w:val="16"/>
          <w:szCs w:val="16"/>
        </w:rPr>
        <w:t>Figure 20 — Comparable Public Companies</w:t>
      </w:r>
    </w:p>
    <w:p w14:paraId="27416F38" w14:textId="77777777" w:rsidR="00594AFD" w:rsidRDefault="00000000">
      <w:pPr>
        <w:spacing w:after="160" w:line="264" w:lineRule="auto"/>
        <w:jc w:val="both"/>
      </w:pPr>
      <w:r>
        <w:t xml:space="preserve">The public-company comparables analysis implies a target price of approximately </w:t>
      </w:r>
      <w:r>
        <w:rPr>
          <w:b/>
          <w:bCs/>
        </w:rPr>
        <w:t>$56</w:t>
      </w:r>
      <w:r>
        <w:t>, based on average valuation multiples. However, I place limited weight on this, as the selected peer group consists primarily of traditional grocery retailers whose business models differ meaningfully from Sprouts'; with the exception of Natural Grocers, these companies are less focused on organic and specialty offerings.</w:t>
      </w:r>
    </w:p>
    <w:p w14:paraId="14549216" w14:textId="77777777" w:rsidR="00594AFD" w:rsidRDefault="00000000">
      <w:pPr>
        <w:spacing w:after="160" w:line="264" w:lineRule="auto"/>
        <w:jc w:val="both"/>
      </w:pPr>
      <w:r>
        <w:t>In addition, the peer group exhibits materially lower revenue growth than Sprouts, and I do not expect these companies to match Sprouts' expected growth trajectory over the next several years. As a result, the comparable analysis may understate Sprouts' intrinsic value and should be interpreted with caution.</w:t>
      </w:r>
    </w:p>
    <w:p w14:paraId="0B750833" w14:textId="77777777" w:rsidR="00594AFD" w:rsidRDefault="00000000">
      <w:pPr>
        <w:keepNext/>
        <w:spacing w:before="200" w:after="80"/>
      </w:pPr>
      <w:r>
        <w:rPr>
          <w:b/>
          <w:bCs/>
          <w:color w:val="335074"/>
          <w:sz w:val="22"/>
          <w:szCs w:val="22"/>
        </w:rPr>
        <w:lastRenderedPageBreak/>
        <w:t>Discounted Cash Flow Analysis</w:t>
      </w:r>
    </w:p>
    <w:p w14:paraId="23C83477" w14:textId="4DCE6471" w:rsidR="00594AFD" w:rsidRDefault="0083480E">
      <w:pPr>
        <w:spacing w:before="60"/>
        <w:jc w:val="center"/>
      </w:pPr>
      <w:r>
        <w:rPr>
          <w:noProof/>
        </w:rPr>
        <w:drawing>
          <wp:inline distT="0" distB="0" distL="0" distR="0" wp14:anchorId="01F0182C" wp14:editId="093AAD2A">
            <wp:extent cx="6400800" cy="3040380"/>
            <wp:effectExtent l="0" t="0" r="0" b="0"/>
            <wp:docPr id="335278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78470" name="Picture 33527847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400800" cy="3040380"/>
                    </a:xfrm>
                    <a:prstGeom prst="rect">
                      <a:avLst/>
                    </a:prstGeom>
                  </pic:spPr>
                </pic:pic>
              </a:graphicData>
            </a:graphic>
          </wp:inline>
        </w:drawing>
      </w:r>
    </w:p>
    <w:p w14:paraId="52918BF3" w14:textId="77777777" w:rsidR="00594AFD" w:rsidRDefault="00000000">
      <w:pPr>
        <w:spacing w:before="30" w:after="220"/>
        <w:jc w:val="center"/>
      </w:pPr>
      <w:r>
        <w:rPr>
          <w:i/>
          <w:iCs/>
          <w:color w:val="667085"/>
          <w:sz w:val="16"/>
          <w:szCs w:val="16"/>
        </w:rPr>
        <w:t>Figure 21 — Unlevered DCF</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040"/>
        <w:gridCol w:w="5040"/>
      </w:tblGrid>
      <w:tr w:rsidR="00594AFD" w14:paraId="606B808E" w14:textId="77777777">
        <w:tc>
          <w:tcPr>
            <w:tcW w:w="504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34B2D77F" w14:textId="77777777" w:rsidR="00594AFD" w:rsidRDefault="00000000">
            <w:pPr>
              <w:spacing w:after="30"/>
              <w:jc w:val="center"/>
            </w:pPr>
            <w:r>
              <w:rPr>
                <w:noProof/>
              </w:rPr>
              <w:drawing>
                <wp:inline distT="0" distB="0" distL="0" distR="0" wp14:anchorId="158DE50E" wp14:editId="7F9902BA">
                  <wp:extent cx="3048000" cy="3314700"/>
                  <wp:effectExtent l="0" t="0" r="0" b="0"/>
                  <wp:docPr id="203756663" name="image25" descr="Exhibit 25"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048000" cy="3314700"/>
                          </a:xfrm>
                          <a:prstGeom prst="rect">
                            <a:avLst/>
                          </a:prstGeom>
                        </pic:spPr>
                      </pic:pic>
                    </a:graphicData>
                  </a:graphic>
                </wp:inline>
              </w:drawing>
            </w:r>
          </w:p>
          <w:p w14:paraId="4C020465" w14:textId="77777777" w:rsidR="00594AFD" w:rsidRDefault="00000000">
            <w:pPr>
              <w:jc w:val="center"/>
            </w:pPr>
            <w:r>
              <w:rPr>
                <w:i/>
                <w:iCs/>
                <w:color w:val="667085"/>
                <w:sz w:val="15"/>
                <w:szCs w:val="15"/>
              </w:rPr>
              <w:t>Figure 22 — Revenue &amp; Operating Assumptions</w:t>
            </w:r>
          </w:p>
        </w:tc>
        <w:tc>
          <w:tcPr>
            <w:tcW w:w="504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046F67B1" w14:textId="05A3BC4B" w:rsidR="00594AFD" w:rsidRDefault="00594AFD">
            <w:pPr>
              <w:spacing w:after="30"/>
              <w:jc w:val="center"/>
            </w:pPr>
          </w:p>
          <w:p w14:paraId="40E9B257" w14:textId="757B4A6E" w:rsidR="00594AFD" w:rsidRDefault="00594AFD">
            <w:pPr>
              <w:jc w:val="center"/>
            </w:pPr>
          </w:p>
        </w:tc>
      </w:tr>
    </w:tbl>
    <w:p w14:paraId="172FB655" w14:textId="77777777" w:rsidR="00594AFD" w:rsidRDefault="00594AFD">
      <w:pPr>
        <w:spacing w:after="100"/>
      </w:pPr>
    </w:p>
    <w:p w14:paraId="1C72A031" w14:textId="77777777" w:rsidR="00594AFD" w:rsidRDefault="00000000">
      <w:pPr>
        <w:spacing w:after="160" w:line="264" w:lineRule="auto"/>
        <w:jc w:val="both"/>
      </w:pPr>
      <w:r>
        <w:t xml:space="preserve">For the DCF, I assume a </w:t>
      </w:r>
      <w:r>
        <w:rPr>
          <w:b/>
          <w:bCs/>
        </w:rPr>
        <w:t>5% revenue growth rate</w:t>
      </w:r>
      <w:r>
        <w:t xml:space="preserve"> over the next five years — below the company's historical rate — reflecting continued comparable-store sales growth driven by sustained demand in the healthy and organic segment, plus ongoing nationwide store expansion.</w:t>
      </w:r>
    </w:p>
    <w:p w14:paraId="74782BF3" w14:textId="77777777" w:rsidR="00594AFD" w:rsidRDefault="00000000">
      <w:pPr>
        <w:spacing w:after="160" w:line="264" w:lineRule="auto"/>
        <w:jc w:val="both"/>
      </w:pPr>
      <w:r>
        <w:t xml:space="preserve">Growth is supported by new-store openings, with </w:t>
      </w:r>
      <w:r>
        <w:rPr>
          <w:b/>
          <w:bCs/>
        </w:rPr>
        <w:t>capital expenditures of approximately 3.0% of revenue</w:t>
      </w:r>
      <w:r>
        <w:t xml:space="preserve"> for the first three years (roughly 36 stores per year). Thereafter I assume a moderation in expansion, with openings declining to approximately </w:t>
      </w:r>
      <w:r>
        <w:rPr>
          <w:b/>
          <w:bCs/>
        </w:rPr>
        <w:t>22 stores per year</w:t>
      </w:r>
      <w:r>
        <w:t xml:space="preserve"> and </w:t>
      </w:r>
      <w:r>
        <w:rPr>
          <w:b/>
          <w:bCs/>
        </w:rPr>
        <w:t>CapEx easing to 2.6% of revenue</w:t>
      </w:r>
      <w:r>
        <w:t xml:space="preserve">, consistent with historical </w:t>
      </w:r>
      <w:r>
        <w:lastRenderedPageBreak/>
        <w:t>periods of slower expansion. Operating leases are not capitalized, in line with the company's own reporting treatment; lease costs are reflected as rent expense within operating expenses.</w:t>
      </w:r>
    </w:p>
    <w:p w14:paraId="413AF34D" w14:textId="77777777" w:rsidR="00594AFD" w:rsidRDefault="00000000">
      <w:pPr>
        <w:spacing w:after="160" w:line="264" w:lineRule="auto"/>
        <w:jc w:val="both"/>
      </w:pPr>
      <w:r>
        <w:t xml:space="preserve">Based on these assumptions, the DCF yields a target price of approximately </w:t>
      </w:r>
      <w:r>
        <w:rPr>
          <w:b/>
          <w:bCs/>
        </w:rPr>
        <w:t>$126 per share</w:t>
      </w:r>
      <w:r>
        <w:t>.</w:t>
      </w:r>
    </w:p>
    <w:p w14:paraId="0D94ABB7" w14:textId="02F6975D" w:rsidR="00594AFD" w:rsidRDefault="00000000">
      <w:pPr>
        <w:keepNext/>
        <w:pBdr>
          <w:bottom w:val="single" w:sz="14" w:space="6" w:color="16263F"/>
        </w:pBdr>
        <w:spacing w:before="300" w:after="140"/>
      </w:pPr>
      <w:r>
        <w:rPr>
          <w:b/>
          <w:bCs/>
          <w:color w:val="16263F"/>
          <w:sz w:val="27"/>
          <w:szCs w:val="27"/>
        </w:rPr>
        <w:t>Sensitivity Analysis</w:t>
      </w:r>
    </w:p>
    <w:p w14:paraId="1B8C3DAF" w14:textId="77777777" w:rsidR="00594AFD" w:rsidRDefault="00000000">
      <w:pPr>
        <w:spacing w:after="160" w:line="264" w:lineRule="auto"/>
        <w:jc w:val="both"/>
      </w:pPr>
      <w:r>
        <w:t>DCF output is most sensitive to the assumed cost of capital and long-run growth rates. The tables below show implied per-share value across a range of assumptions for medium-term revenue growth and the terminal growth rate, holding other inputs constant.</w:t>
      </w:r>
    </w:p>
    <w:p w14:paraId="6E2730DF" w14:textId="5BF632C8" w:rsidR="00594AFD" w:rsidRDefault="00811B6B">
      <w:pPr>
        <w:spacing w:before="60"/>
        <w:jc w:val="center"/>
      </w:pPr>
      <w:r>
        <w:rPr>
          <w:noProof/>
        </w:rPr>
        <w:drawing>
          <wp:inline distT="0" distB="0" distL="0" distR="0" wp14:anchorId="0F06FCCC" wp14:editId="1F75E764">
            <wp:extent cx="4355690" cy="2387419"/>
            <wp:effectExtent l="0" t="0" r="635" b="635"/>
            <wp:docPr id="811651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51486" name="Picture 81165148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02857" cy="2413272"/>
                    </a:xfrm>
                    <a:prstGeom prst="rect">
                      <a:avLst/>
                    </a:prstGeom>
                  </pic:spPr>
                </pic:pic>
              </a:graphicData>
            </a:graphic>
          </wp:inline>
        </w:drawing>
      </w:r>
    </w:p>
    <w:p w14:paraId="708AD418" w14:textId="1AC286C7" w:rsidR="00594AFD" w:rsidRDefault="00000000">
      <w:pPr>
        <w:spacing w:before="30" w:after="220"/>
        <w:jc w:val="center"/>
      </w:pPr>
      <w:r>
        <w:rPr>
          <w:i/>
          <w:iCs/>
          <w:color w:val="667085"/>
          <w:sz w:val="16"/>
          <w:szCs w:val="16"/>
        </w:rPr>
        <w:t>Figure 2</w:t>
      </w:r>
      <w:r w:rsidR="00811B6B">
        <w:rPr>
          <w:i/>
          <w:iCs/>
          <w:color w:val="667085"/>
          <w:sz w:val="16"/>
          <w:szCs w:val="16"/>
        </w:rPr>
        <w:t>3</w:t>
      </w:r>
      <w:r>
        <w:rPr>
          <w:i/>
          <w:iCs/>
          <w:color w:val="667085"/>
          <w:sz w:val="16"/>
          <w:szCs w:val="16"/>
        </w:rPr>
        <w:t xml:space="preserve"> — Sensitivity — Revenue Growth &amp; Terminal Growth vs. WACC</w:t>
      </w:r>
    </w:p>
    <w:p w14:paraId="18F78AF1" w14:textId="73F36C28" w:rsidR="00594AFD" w:rsidRDefault="00000000">
      <w:pPr>
        <w:keepNext/>
        <w:pBdr>
          <w:bottom w:val="single" w:sz="14" w:space="6" w:color="16263F"/>
        </w:pBdr>
        <w:spacing w:before="300" w:after="140"/>
      </w:pPr>
      <w:r>
        <w:rPr>
          <w:b/>
          <w:bCs/>
          <w:color w:val="16263F"/>
          <w:sz w:val="27"/>
          <w:szCs w:val="27"/>
        </w:rPr>
        <w:t>Investment Thesis</w:t>
      </w:r>
    </w:p>
    <w:p w14:paraId="6B99FA84" w14:textId="77777777" w:rsidR="00594AFD" w:rsidRDefault="00000000">
      <w:pPr>
        <w:spacing w:after="160" w:line="264" w:lineRule="auto"/>
        <w:jc w:val="both"/>
      </w:pPr>
      <w:r>
        <w:t xml:space="preserve">I believe Sprouts Farmers Market is materially undervalued at current levels. The stock declined sharply in 2025, driven in part by a miss versus consensus and more cautious forward guidance, falling from approximately </w:t>
      </w:r>
      <w:r>
        <w:rPr>
          <w:b/>
          <w:bCs/>
        </w:rPr>
        <w:t>$173 in 2024 to around $80</w:t>
      </w:r>
      <w:r>
        <w:t xml:space="preserve"> currently.</w:t>
      </w:r>
    </w:p>
    <w:p w14:paraId="0D2C9849" w14:textId="77777777" w:rsidR="00594AFD" w:rsidRDefault="00000000">
      <w:pPr>
        <w:spacing w:after="160" w:line="264" w:lineRule="auto"/>
        <w:jc w:val="both"/>
      </w:pPr>
      <w:r>
        <w:t>Despite this pullback, I expect Sprouts to continue expanding its footprint and capturing incremental market share. The company is well positioned to benefit from sustained consumer demand for healthy and organic food, supported by a differentiated product offering and a strong brand identity centered on a farmers-market-style format. Growth should be driven by a combination of improving comparable-store sales and continued nationwide expansion.</w:t>
      </w:r>
    </w:p>
    <w:p w14:paraId="02DAE571" w14:textId="77777777" w:rsidR="00594AFD" w:rsidRDefault="00000000">
      <w:pPr>
        <w:spacing w:after="160" w:line="264" w:lineRule="auto"/>
        <w:jc w:val="both"/>
      </w:pPr>
      <w:r>
        <w:t>Sprouts' strategy of offering high-quality, premium products at competitive prices allows it to compete effectively across a broad range of grocery retailers while maintaining a differentiated value proposition.</w:t>
      </w:r>
    </w:p>
    <w:p w14:paraId="22A0C704" w14:textId="4585D05C" w:rsidR="00594AFD" w:rsidRDefault="00000000">
      <w:pPr>
        <w:spacing w:after="160" w:line="264" w:lineRule="auto"/>
        <w:jc w:val="both"/>
      </w:pPr>
      <w:r>
        <w:t xml:space="preserve">My valuation framework is deliberately conservative, assuming only </w:t>
      </w:r>
      <w:r w:rsidR="0083480E">
        <w:rPr>
          <w:b/>
          <w:bCs/>
        </w:rPr>
        <w:t>3</w:t>
      </w:r>
      <w:r>
        <w:rPr>
          <w:b/>
          <w:bCs/>
        </w:rPr>
        <w:t>% revenue growth</w:t>
      </w:r>
      <w:r>
        <w:t xml:space="preserve"> over the next several years while modeling capital expenditures and operating costs consistent with the company's historical expansion period. Even under these cautious assumptions, the analysis implies a target price of approximately </w:t>
      </w:r>
      <w:r>
        <w:rPr>
          <w:b/>
          <w:bCs/>
        </w:rPr>
        <w:t>$12</w:t>
      </w:r>
      <w:r w:rsidR="0083480E">
        <w:rPr>
          <w:b/>
          <w:bCs/>
        </w:rPr>
        <w:t>2</w:t>
      </w:r>
      <w:r>
        <w:t>, highlighting the extent to which the stock appears undervalued.</w:t>
      </w:r>
    </w:p>
    <w:p w14:paraId="0CFFA951" w14:textId="37A4DF48" w:rsidR="00594AFD" w:rsidRDefault="00000000">
      <w:pPr>
        <w:keepNext/>
        <w:pBdr>
          <w:bottom w:val="single" w:sz="14" w:space="6" w:color="16263F"/>
        </w:pBdr>
        <w:spacing w:before="300" w:after="140"/>
      </w:pPr>
      <w:r>
        <w:rPr>
          <w:b/>
          <w:bCs/>
          <w:color w:val="16263F"/>
          <w:sz w:val="27"/>
          <w:szCs w:val="27"/>
        </w:rPr>
        <w:t>Catalysts</w:t>
      </w:r>
    </w:p>
    <w:p w14:paraId="470F5022" w14:textId="77777777" w:rsidR="00594AFD" w:rsidRDefault="00000000">
      <w:pPr>
        <w:pStyle w:val="ListParagraph"/>
        <w:numPr>
          <w:ilvl w:val="0"/>
          <w:numId w:val="2"/>
        </w:numPr>
        <w:spacing w:after="120" w:line="264" w:lineRule="auto"/>
        <w:jc w:val="both"/>
      </w:pPr>
      <w:r>
        <w:rPr>
          <w:b/>
          <w:bCs/>
        </w:rPr>
        <w:t>Reacceleration in comparable-store sales.</w:t>
      </w:r>
      <w:r>
        <w:t xml:space="preserve"> A recovery in comparable-store sales growth would alleviate concerns around demand softness and support a re-rating of the stock.</w:t>
      </w:r>
    </w:p>
    <w:p w14:paraId="3181FBAC" w14:textId="77777777" w:rsidR="00594AFD" w:rsidRDefault="00000000">
      <w:pPr>
        <w:pStyle w:val="ListParagraph"/>
        <w:numPr>
          <w:ilvl w:val="0"/>
          <w:numId w:val="2"/>
        </w:numPr>
        <w:spacing w:after="120" w:line="264" w:lineRule="auto"/>
        <w:jc w:val="both"/>
      </w:pPr>
      <w:r>
        <w:rPr>
          <w:b/>
          <w:bCs/>
        </w:rPr>
        <w:lastRenderedPageBreak/>
        <w:t>Positive guidance or store-expansion updates.</w:t>
      </w:r>
      <w:r>
        <w:t xml:space="preserve"> More constructive management guidance, or evidence of strong unit economics from new stores, would reinforce confidence in the long-term growth strategy.</w:t>
      </w:r>
    </w:p>
    <w:p w14:paraId="62A0CEB9" w14:textId="7A1A718D" w:rsidR="00594AFD" w:rsidRDefault="00000000">
      <w:pPr>
        <w:keepNext/>
        <w:pBdr>
          <w:bottom w:val="single" w:sz="14" w:space="6" w:color="16263F"/>
        </w:pBdr>
        <w:spacing w:before="300" w:after="140"/>
      </w:pPr>
      <w:r>
        <w:rPr>
          <w:b/>
          <w:bCs/>
          <w:color w:val="16263F"/>
          <w:sz w:val="27"/>
          <w:szCs w:val="27"/>
        </w:rPr>
        <w:t>Investment Risks</w:t>
      </w:r>
    </w:p>
    <w:p w14:paraId="4E2775DC" w14:textId="77777777" w:rsidR="00594AFD" w:rsidRDefault="00000000">
      <w:pPr>
        <w:pStyle w:val="ListParagraph"/>
        <w:numPr>
          <w:ilvl w:val="0"/>
          <w:numId w:val="2"/>
        </w:numPr>
        <w:spacing w:after="120" w:line="264" w:lineRule="auto"/>
        <w:jc w:val="both"/>
      </w:pPr>
      <w:r>
        <w:rPr>
          <w:b/>
          <w:bCs/>
        </w:rPr>
        <w:t>Macroeconomic sensitivity.</w:t>
      </w:r>
      <w:r>
        <w:t xml:space="preserve"> Any deterioration in U.S. economic conditions that negatively affects consumer spending could materially impact Sprouts. Organic food is typically priced at a premium to conventional food, and demand may decline during slowdowns as consumers trade down to lower-cost alternatives.</w:t>
      </w:r>
    </w:p>
    <w:p w14:paraId="5AE14CEA" w14:textId="77777777" w:rsidR="00594AFD" w:rsidRDefault="00000000">
      <w:pPr>
        <w:pStyle w:val="ListParagraph"/>
        <w:numPr>
          <w:ilvl w:val="0"/>
          <w:numId w:val="2"/>
        </w:numPr>
        <w:spacing w:after="120" w:line="264" w:lineRule="auto"/>
        <w:jc w:val="both"/>
      </w:pPr>
      <w:r>
        <w:rPr>
          <w:b/>
          <w:bCs/>
        </w:rPr>
        <w:t>Slower new-store expansion.</w:t>
      </w:r>
      <w:r>
        <w:t xml:space="preserve"> If management reduces its focus on new openings, the company's forecasted long-term growth could fall significantly. Underperformance of newly opened stores relative to expectations would also weigh on revenue growth and profitability.</w:t>
      </w:r>
    </w:p>
    <w:p w14:paraId="10509E9A" w14:textId="77777777" w:rsidR="00594AFD" w:rsidRDefault="00000000">
      <w:pPr>
        <w:pStyle w:val="ListParagraph"/>
        <w:numPr>
          <w:ilvl w:val="0"/>
          <w:numId w:val="2"/>
        </w:numPr>
        <w:spacing w:after="120" w:line="264" w:lineRule="auto"/>
        <w:jc w:val="both"/>
      </w:pPr>
      <w:r>
        <w:rPr>
          <w:b/>
          <w:bCs/>
        </w:rPr>
        <w:t>Competitive pressure.</w:t>
      </w:r>
      <w:r>
        <w:t xml:space="preserve"> As organic and health-focused food becomes more mainstream, competition is likely to intensify — both from existing chains expanding organic offerings and from new entrants. Whole Foods' recent price reductions erode one of Sprouts' historical advantages; while Sprouts' exclusive health-oriented focus may partially offset this, intensified competition remains a key risk.</w:t>
      </w:r>
    </w:p>
    <w:p w14:paraId="7FE13B81" w14:textId="77777777" w:rsidR="00594AFD" w:rsidRDefault="00000000">
      <w:pPr>
        <w:pStyle w:val="ListParagraph"/>
        <w:numPr>
          <w:ilvl w:val="0"/>
          <w:numId w:val="2"/>
        </w:numPr>
        <w:spacing w:after="120" w:line="264" w:lineRule="auto"/>
        <w:jc w:val="both"/>
      </w:pPr>
      <w:r>
        <w:rPr>
          <w:b/>
          <w:bCs/>
        </w:rPr>
        <w:t>Securities-fraud lawsuit.</w:t>
      </w:r>
      <w:r>
        <w:t xml:space="preserve"> A class-action complaint alleges that Sprouts and certain executives made false or misleading statements about growth prospects and sales performance, harming investors who purchased the stock. Investors who acquired Sprouts securities between June 4, 2025 and October 29, 2025 may be eligible to join.</w:t>
      </w:r>
    </w:p>
    <w:sectPr w:rsidR="00594AFD">
      <w:headerReference w:type="default" r:id="rId32"/>
      <w:footerReference w:type="default" r:id="rId33"/>
      <w:headerReference w:type="first" r:id="rId34"/>
      <w:pgSz w:w="12240" w:h="15840"/>
      <w:pgMar w:top="1320" w:right="1080" w:bottom="1180" w:left="1080" w:header="68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15CF8E" w14:textId="77777777" w:rsidR="00BD58A8" w:rsidRDefault="00BD58A8">
      <w:r>
        <w:separator/>
      </w:r>
    </w:p>
  </w:endnote>
  <w:endnote w:type="continuationSeparator" w:id="0">
    <w:p w14:paraId="17C3A926" w14:textId="77777777" w:rsidR="00BD58A8" w:rsidRDefault="00BD58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DD061A" w14:textId="2540BA89" w:rsidR="00594AFD" w:rsidRDefault="00000000">
    <w:pPr>
      <w:pBdr>
        <w:top w:val="single" w:sz="4" w:space="4" w:color="D6DDE6"/>
      </w:pBdr>
      <w:tabs>
        <w:tab w:val="right" w:pos="10080"/>
      </w:tabs>
    </w:pPr>
    <w:r>
      <w:rPr>
        <w:color w:val="667085"/>
        <w:sz w:val="15"/>
        <w:szCs w:val="15"/>
      </w:rPr>
      <w:t>My Investments  —  Alejandro Llamazares</w:t>
    </w:r>
    <w:r>
      <w:rPr>
        <w:color w:val="667085"/>
        <w:sz w:val="15"/>
        <w:szCs w:val="15"/>
      </w:rPr>
      <w:tab/>
      <w:t xml:space="preserve">Page </w:t>
    </w:r>
    <w:r>
      <w:rPr>
        <w:color w:val="667085"/>
        <w:sz w:val="15"/>
        <w:szCs w:val="15"/>
      </w:rPr>
      <w:fldChar w:fldCharType="begin"/>
    </w:r>
    <w:r>
      <w:rPr>
        <w:color w:val="667085"/>
        <w:sz w:val="15"/>
        <w:szCs w:val="15"/>
      </w:rPr>
      <w:instrText>PAGE</w:instrText>
    </w:r>
    <w:r>
      <w:rPr>
        <w:color w:val="667085"/>
        <w:sz w:val="15"/>
        <w:szCs w:val="15"/>
      </w:rPr>
      <w:fldChar w:fldCharType="separate"/>
    </w:r>
    <w:r w:rsidR="0083480E">
      <w:rPr>
        <w:noProof/>
        <w:color w:val="667085"/>
        <w:sz w:val="15"/>
        <w:szCs w:val="15"/>
      </w:rPr>
      <w:t>2</w:t>
    </w:r>
    <w:r>
      <w:rPr>
        <w:color w:val="667085"/>
        <w:sz w:val="15"/>
        <w:szCs w:val="15"/>
      </w:rPr>
      <w:fldChar w:fldCharType="end"/>
    </w:r>
    <w:r>
      <w:rPr>
        <w:color w:val="667085"/>
        <w:sz w:val="15"/>
        <w:szCs w:val="15"/>
      </w:rPr>
      <w:t xml:space="preserve"> of </w:t>
    </w:r>
    <w:r>
      <w:rPr>
        <w:color w:val="667085"/>
        <w:sz w:val="15"/>
        <w:szCs w:val="15"/>
      </w:rPr>
      <w:fldChar w:fldCharType="begin"/>
    </w:r>
    <w:r>
      <w:rPr>
        <w:color w:val="667085"/>
        <w:sz w:val="15"/>
        <w:szCs w:val="15"/>
      </w:rPr>
      <w:instrText>NUMPAGES</w:instrText>
    </w:r>
    <w:r>
      <w:rPr>
        <w:color w:val="667085"/>
        <w:sz w:val="15"/>
        <w:szCs w:val="15"/>
      </w:rPr>
      <w:fldChar w:fldCharType="separate"/>
    </w:r>
    <w:r w:rsidR="0083480E">
      <w:rPr>
        <w:noProof/>
        <w:color w:val="667085"/>
        <w:sz w:val="15"/>
        <w:szCs w:val="15"/>
      </w:rPr>
      <w:t>3</w:t>
    </w:r>
    <w:r>
      <w:rPr>
        <w:color w:val="667085"/>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48A89F" w14:textId="77777777" w:rsidR="00BD58A8" w:rsidRDefault="00BD58A8">
      <w:r>
        <w:separator/>
      </w:r>
    </w:p>
  </w:footnote>
  <w:footnote w:type="continuationSeparator" w:id="0">
    <w:p w14:paraId="336EED24" w14:textId="77777777" w:rsidR="00BD58A8" w:rsidRDefault="00BD58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98F537" w14:textId="77777777" w:rsidR="00594AFD" w:rsidRDefault="00000000">
    <w:pPr>
      <w:pBdr>
        <w:bottom w:val="single" w:sz="4" w:space="4" w:color="D6DDE6"/>
      </w:pBdr>
      <w:tabs>
        <w:tab w:val="right" w:pos="10080"/>
      </w:tabs>
    </w:pPr>
    <w:r>
      <w:rPr>
        <w:color w:val="667085"/>
        <w:sz w:val="16"/>
        <w:szCs w:val="16"/>
      </w:rPr>
      <w:t>Sprouts Farmers Market, Inc.  (NASDAQ: SFM)</w:t>
    </w:r>
    <w:r>
      <w:rPr>
        <w:color w:val="667085"/>
        <w:sz w:val="16"/>
        <w:szCs w:val="16"/>
      </w:rPr>
      <w:tab/>
      <w:t>Equity Research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31C136" w14:textId="77777777" w:rsidR="00594AFD" w:rsidRDefault="00594AF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26386C"/>
    <w:multiLevelType w:val="hybridMultilevel"/>
    <w:tmpl w:val="98F69318"/>
    <w:lvl w:ilvl="0" w:tplc="73340F7C">
      <w:start w:val="1"/>
      <w:numFmt w:val="bullet"/>
      <w:lvlText w:val="●"/>
      <w:lvlJc w:val="left"/>
      <w:pPr>
        <w:ind w:left="720" w:hanging="360"/>
      </w:pPr>
    </w:lvl>
    <w:lvl w:ilvl="1" w:tplc="6CE404BE">
      <w:start w:val="1"/>
      <w:numFmt w:val="bullet"/>
      <w:lvlText w:val="○"/>
      <w:lvlJc w:val="left"/>
      <w:pPr>
        <w:ind w:left="1440" w:hanging="360"/>
      </w:pPr>
    </w:lvl>
    <w:lvl w:ilvl="2" w:tplc="2E72249A">
      <w:start w:val="1"/>
      <w:numFmt w:val="bullet"/>
      <w:lvlText w:val="■"/>
      <w:lvlJc w:val="left"/>
      <w:pPr>
        <w:ind w:left="2160" w:hanging="360"/>
      </w:pPr>
    </w:lvl>
    <w:lvl w:ilvl="3" w:tplc="B2EA4EFA">
      <w:start w:val="1"/>
      <w:numFmt w:val="bullet"/>
      <w:lvlText w:val="●"/>
      <w:lvlJc w:val="left"/>
      <w:pPr>
        <w:ind w:left="2880" w:hanging="360"/>
      </w:pPr>
    </w:lvl>
    <w:lvl w:ilvl="4" w:tplc="33F46E6E">
      <w:start w:val="1"/>
      <w:numFmt w:val="bullet"/>
      <w:lvlText w:val="○"/>
      <w:lvlJc w:val="left"/>
      <w:pPr>
        <w:ind w:left="3600" w:hanging="360"/>
      </w:pPr>
    </w:lvl>
    <w:lvl w:ilvl="5" w:tplc="ED8EE242">
      <w:start w:val="1"/>
      <w:numFmt w:val="bullet"/>
      <w:lvlText w:val="■"/>
      <w:lvlJc w:val="left"/>
      <w:pPr>
        <w:ind w:left="4320" w:hanging="360"/>
      </w:pPr>
    </w:lvl>
    <w:lvl w:ilvl="6" w:tplc="9888201C">
      <w:start w:val="1"/>
      <w:numFmt w:val="bullet"/>
      <w:lvlText w:val="●"/>
      <w:lvlJc w:val="left"/>
      <w:pPr>
        <w:ind w:left="5040" w:hanging="360"/>
      </w:pPr>
    </w:lvl>
    <w:lvl w:ilvl="7" w:tplc="3E244BF0">
      <w:start w:val="1"/>
      <w:numFmt w:val="bullet"/>
      <w:lvlText w:val="●"/>
      <w:lvlJc w:val="left"/>
      <w:pPr>
        <w:ind w:left="5760" w:hanging="360"/>
      </w:pPr>
    </w:lvl>
    <w:lvl w:ilvl="8" w:tplc="A8C29418">
      <w:start w:val="1"/>
      <w:numFmt w:val="bullet"/>
      <w:lvlText w:val="●"/>
      <w:lvlJc w:val="left"/>
      <w:pPr>
        <w:ind w:left="6480" w:hanging="360"/>
      </w:pPr>
    </w:lvl>
  </w:abstractNum>
  <w:abstractNum w:abstractNumId="1" w15:restartNumberingAfterBreak="0">
    <w:nsid w:val="3E5C22F5"/>
    <w:multiLevelType w:val="hybridMultilevel"/>
    <w:tmpl w:val="A7FE5E94"/>
    <w:lvl w:ilvl="0" w:tplc="D4FA0DCC">
      <w:start w:val="1"/>
      <w:numFmt w:val="bullet"/>
      <w:lvlText w:val="–"/>
      <w:lvlJc w:val="left"/>
      <w:pPr>
        <w:ind w:left="360" w:hanging="220"/>
      </w:pPr>
      <w:rPr>
        <w:color w:val="335074"/>
      </w:rPr>
    </w:lvl>
    <w:lvl w:ilvl="1" w:tplc="B5586508">
      <w:numFmt w:val="decimal"/>
      <w:lvlText w:val=""/>
      <w:lvlJc w:val="left"/>
    </w:lvl>
    <w:lvl w:ilvl="2" w:tplc="7BFC0B9C">
      <w:numFmt w:val="decimal"/>
      <w:lvlText w:val=""/>
      <w:lvlJc w:val="left"/>
    </w:lvl>
    <w:lvl w:ilvl="3" w:tplc="99F24F2C">
      <w:numFmt w:val="decimal"/>
      <w:lvlText w:val=""/>
      <w:lvlJc w:val="left"/>
    </w:lvl>
    <w:lvl w:ilvl="4" w:tplc="B01EEC70">
      <w:numFmt w:val="decimal"/>
      <w:lvlText w:val=""/>
      <w:lvlJc w:val="left"/>
    </w:lvl>
    <w:lvl w:ilvl="5" w:tplc="25580DE6">
      <w:numFmt w:val="decimal"/>
      <w:lvlText w:val=""/>
      <w:lvlJc w:val="left"/>
    </w:lvl>
    <w:lvl w:ilvl="6" w:tplc="727ED34C">
      <w:numFmt w:val="decimal"/>
      <w:lvlText w:val=""/>
      <w:lvlJc w:val="left"/>
    </w:lvl>
    <w:lvl w:ilvl="7" w:tplc="A26239DE">
      <w:numFmt w:val="decimal"/>
      <w:lvlText w:val=""/>
      <w:lvlJc w:val="left"/>
    </w:lvl>
    <w:lvl w:ilvl="8" w:tplc="5D7E0306">
      <w:numFmt w:val="decimal"/>
      <w:lvlText w:val=""/>
      <w:lvlJc w:val="left"/>
    </w:lvl>
  </w:abstractNum>
  <w:abstractNum w:abstractNumId="2" w15:restartNumberingAfterBreak="0">
    <w:nsid w:val="5D9619D7"/>
    <w:multiLevelType w:val="hybridMultilevel"/>
    <w:tmpl w:val="1A22EDF6"/>
    <w:lvl w:ilvl="0" w:tplc="A22CF80A">
      <w:start w:val="1"/>
      <w:numFmt w:val="bullet"/>
      <w:lvlText w:val="•"/>
      <w:lvlJc w:val="left"/>
      <w:pPr>
        <w:ind w:left="360" w:hanging="220"/>
      </w:pPr>
      <w:rPr>
        <w:color w:val="B11226"/>
      </w:rPr>
    </w:lvl>
    <w:lvl w:ilvl="1" w:tplc="480099A8">
      <w:numFmt w:val="decimal"/>
      <w:lvlText w:val=""/>
      <w:lvlJc w:val="left"/>
    </w:lvl>
    <w:lvl w:ilvl="2" w:tplc="37260420">
      <w:numFmt w:val="decimal"/>
      <w:lvlText w:val=""/>
      <w:lvlJc w:val="left"/>
    </w:lvl>
    <w:lvl w:ilvl="3" w:tplc="7E58649A">
      <w:numFmt w:val="decimal"/>
      <w:lvlText w:val=""/>
      <w:lvlJc w:val="left"/>
    </w:lvl>
    <w:lvl w:ilvl="4" w:tplc="C00C3FF2">
      <w:numFmt w:val="decimal"/>
      <w:lvlText w:val=""/>
      <w:lvlJc w:val="left"/>
    </w:lvl>
    <w:lvl w:ilvl="5" w:tplc="8404F73C">
      <w:numFmt w:val="decimal"/>
      <w:lvlText w:val=""/>
      <w:lvlJc w:val="left"/>
    </w:lvl>
    <w:lvl w:ilvl="6" w:tplc="513832F2">
      <w:numFmt w:val="decimal"/>
      <w:lvlText w:val=""/>
      <w:lvlJc w:val="left"/>
    </w:lvl>
    <w:lvl w:ilvl="7" w:tplc="DC484C8C">
      <w:numFmt w:val="decimal"/>
      <w:lvlText w:val=""/>
      <w:lvlJc w:val="left"/>
    </w:lvl>
    <w:lvl w:ilvl="8" w:tplc="02EEC170">
      <w:numFmt w:val="decimal"/>
      <w:lvlText w:val=""/>
      <w:lvlJc w:val="left"/>
    </w:lvl>
  </w:abstractNum>
  <w:num w:numId="1" w16cid:durableId="127284039">
    <w:abstractNumId w:val="0"/>
    <w:lvlOverride w:ilvl="0">
      <w:startOverride w:val="1"/>
    </w:lvlOverride>
  </w:num>
  <w:num w:numId="2" w16cid:durableId="1495301260">
    <w:abstractNumId w:val="2"/>
    <w:lvlOverride w:ilvl="0">
      <w:startOverride w:val="1"/>
    </w:lvlOverride>
  </w:num>
  <w:num w:numId="3" w16cid:durableId="76954779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AFD"/>
    <w:rsid w:val="00023350"/>
    <w:rsid w:val="00594AFD"/>
    <w:rsid w:val="006D1F58"/>
    <w:rsid w:val="007E6C98"/>
    <w:rsid w:val="00811B6B"/>
    <w:rsid w:val="0083480E"/>
    <w:rsid w:val="008F0B87"/>
    <w:rsid w:val="009E071D"/>
    <w:rsid w:val="00BD58A8"/>
    <w:rsid w:val="00C066D2"/>
    <w:rsid w:val="00E335B4"/>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decimalSymbol w:val="."/>
  <w:listSeparator w:val=","/>
  <w14:docId w14:val="6C3FD0FB"/>
  <w15:docId w15:val="{EDD074BE-525D-BE4E-9CF3-8B5031B2A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C1C1C"/>
        <w:lang w:val="en-001"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3070</Words>
  <Characters>17500</Characters>
  <Application>Microsoft Office Word</Application>
  <DocSecurity>0</DocSecurity>
  <Lines>145</Lines>
  <Paragraphs>41</Paragraphs>
  <ScaleCrop>false</ScaleCrop>
  <Company/>
  <LinksUpToDate>false</LinksUpToDate>
  <CharactersWithSpaces>20529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Sprouts Farmers Market, Inc. — Equity Research</dc:title>
  <dc:creator>Alejandro Llamazares</dc:creator>
  <dc:description>Equity research report on Sprouts Farmers Market, Inc. (NASDAQ: SFM)</dc:description>
  <cp:lastModifiedBy>Alejandro Llamazares</cp:lastModifiedBy>
  <cp:revision>3</cp:revision>
  <cp:lastPrinted>2026-07-08T15:56:00Z</cp:lastPrinted>
  <dcterms:created xsi:type="dcterms:W3CDTF">2026-07-08T15:56:00Z</dcterms:created>
  <dcterms:modified xsi:type="dcterms:W3CDTF">2026-07-08T15:56:00Z</dcterms:modified>
</cp:coreProperties>
</file>