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180"/>
        <w:gridCol w:w="2900"/>
      </w:tblGrid>
      <w:tr w:rsidR="00D41190" w14:paraId="4557F2B6" w14:textId="77777777">
        <w:tc>
          <w:tcPr>
            <w:tcW w:w="7180" w:type="dxa"/>
            <w:tcBorders>
              <w:top w:val="none" w:sz="0" w:space="0" w:color="FFFFFF"/>
              <w:left w:val="none" w:sz="0" w:space="0" w:color="FFFFFF"/>
              <w:bottom w:val="none" w:sz="0" w:space="0" w:color="FFFFFF"/>
              <w:right w:val="none" w:sz="0" w:space="0" w:color="FFFFFF"/>
            </w:tcBorders>
            <w:shd w:val="clear" w:color="auto" w:fill="16263F"/>
            <w:tcMar>
              <w:top w:w="200" w:type="dxa"/>
              <w:left w:w="220" w:type="dxa"/>
              <w:bottom w:w="200" w:type="dxa"/>
              <w:right w:w="120" w:type="dxa"/>
            </w:tcMar>
            <w:vAlign w:val="center"/>
          </w:tcPr>
          <w:p w14:paraId="78ABA8A5" w14:textId="77777777" w:rsidR="00D41190" w:rsidRDefault="00000000">
            <w:pPr>
              <w:spacing w:after="30"/>
            </w:pPr>
            <w:r>
              <w:rPr>
                <w:b/>
                <w:bCs/>
                <w:color w:val="FFFFFF"/>
                <w:sz w:val="38"/>
                <w:szCs w:val="38"/>
              </w:rPr>
              <w:t>Abercrombie &amp; Fitch Co.</w:t>
            </w:r>
          </w:p>
          <w:p w14:paraId="6C71BB66" w14:textId="77777777" w:rsidR="00D41190" w:rsidRDefault="00000000">
            <w:r>
              <w:rPr>
                <w:b/>
                <w:bCs/>
                <w:color w:val="AFC2DA"/>
                <w:sz w:val="19"/>
                <w:szCs w:val="19"/>
              </w:rPr>
              <w:t>NYSE: ANF</w:t>
            </w:r>
            <w:r>
              <w:rPr>
                <w:color w:val="AFC2DA"/>
                <w:sz w:val="19"/>
                <w:szCs w:val="19"/>
              </w:rPr>
              <w:t xml:space="preserve">      Equity Research  •  Consumer Discretionary / Apparel Retail</w:t>
            </w:r>
          </w:p>
        </w:tc>
        <w:tc>
          <w:tcPr>
            <w:tcW w:w="2900" w:type="dxa"/>
            <w:tcBorders>
              <w:top w:val="single" w:sz="18" w:space="0" w:color="16263F"/>
              <w:left w:val="single" w:sz="18" w:space="0" w:color="16263F"/>
              <w:bottom w:val="single" w:sz="18" w:space="0" w:color="16263F"/>
              <w:right w:val="single" w:sz="18" w:space="0" w:color="16263F"/>
            </w:tcBorders>
            <w:shd w:val="clear" w:color="auto" w:fill="FFFFFF"/>
            <w:tcMar>
              <w:top w:w="120" w:type="dxa"/>
              <w:left w:w="160" w:type="dxa"/>
              <w:bottom w:w="120" w:type="dxa"/>
              <w:right w:w="160" w:type="dxa"/>
            </w:tcMar>
            <w:vAlign w:val="center"/>
          </w:tcPr>
          <w:p w14:paraId="622F22D3" w14:textId="77777777" w:rsidR="00D41190" w:rsidRDefault="00000000">
            <w:pPr>
              <w:jc w:val="center"/>
            </w:pPr>
            <w:r>
              <w:rPr>
                <w:noProof/>
              </w:rPr>
              <w:drawing>
                <wp:inline distT="0" distB="0" distL="0" distR="0" wp14:anchorId="0467CFEF" wp14:editId="1DA0C1CB">
                  <wp:extent cx="1600200" cy="895350"/>
                  <wp:effectExtent l="0" t="0" r="0" b="0"/>
                  <wp:docPr id="1" name="logo" descr="Abercrombie &amp; Fitch" title="Abercrombie &amp; Fit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00200" cy="895350"/>
                          </a:xfrm>
                          <a:prstGeom prst="rect">
                            <a:avLst/>
                          </a:prstGeom>
                        </pic:spPr>
                      </pic:pic>
                    </a:graphicData>
                  </a:graphic>
                </wp:inline>
              </w:drawing>
            </w:r>
          </w:p>
        </w:tc>
      </w:tr>
    </w:tbl>
    <w:p w14:paraId="5A0705D5" w14:textId="77777777" w:rsidR="00D41190" w:rsidRDefault="00000000">
      <w:pPr>
        <w:pBdr>
          <w:bottom w:val="single" w:sz="6" w:space="4" w:color="D6DDE6"/>
        </w:pBdr>
        <w:tabs>
          <w:tab w:val="right" w:pos="10080"/>
        </w:tabs>
        <w:spacing w:before="80" w:after="160"/>
      </w:pPr>
      <w:r>
        <w:rPr>
          <w:color w:val="667085"/>
          <w:sz w:val="18"/>
          <w:szCs w:val="18"/>
        </w:rPr>
        <w:t>Report Date: 31 October 2025</w:t>
      </w:r>
      <w:r>
        <w:rPr>
          <w:color w:val="667085"/>
          <w:sz w:val="18"/>
          <w:szCs w:val="18"/>
        </w:rPr>
        <w:tab/>
        <w:t>Exchange: NYSE  •  Currency: USD</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00"/>
        <w:gridCol w:w="7780"/>
      </w:tblGrid>
      <w:tr w:rsidR="00D41190" w14:paraId="13A19A3C" w14:textId="77777777">
        <w:tc>
          <w:tcPr>
            <w:tcW w:w="2300" w:type="dxa"/>
            <w:tcBorders>
              <w:top w:val="single" w:sz="6" w:space="0" w:color="16263F"/>
              <w:left w:val="single" w:sz="6" w:space="0" w:color="16263F"/>
              <w:bottom w:val="single" w:sz="6" w:space="0" w:color="16263F"/>
              <w:right w:val="single" w:sz="6" w:space="0" w:color="16263F"/>
            </w:tcBorders>
            <w:tcMar>
              <w:top w:w="80" w:type="dxa"/>
              <w:left w:w="140" w:type="dxa"/>
              <w:bottom w:w="80" w:type="dxa"/>
              <w:right w:w="100" w:type="dxa"/>
            </w:tcMar>
            <w:vAlign w:val="center"/>
          </w:tcPr>
          <w:p w14:paraId="5A77B4CA" w14:textId="77777777" w:rsidR="00D41190" w:rsidRDefault="00000000">
            <w:pPr>
              <w:jc w:val="center"/>
            </w:pPr>
            <w:r>
              <w:rPr>
                <w:b/>
                <w:bCs/>
                <w:color w:val="16263F"/>
                <w:sz w:val="24"/>
                <w:szCs w:val="24"/>
              </w:rPr>
              <w:t>STRONG BUY</w:t>
            </w:r>
          </w:p>
        </w:tc>
        <w:tc>
          <w:tcPr>
            <w:tcW w:w="7780" w:type="dxa"/>
            <w:tcBorders>
              <w:top w:val="none" w:sz="0" w:space="0" w:color="FFFFFF"/>
              <w:left w:val="none" w:sz="0" w:space="0" w:color="FFFFFF"/>
              <w:bottom w:val="none" w:sz="0" w:space="0" w:color="FFFFFF"/>
              <w:right w:val="none" w:sz="0" w:space="0" w:color="FFFFFF"/>
            </w:tcBorders>
            <w:tcMar>
              <w:top w:w="80" w:type="dxa"/>
              <w:left w:w="200" w:type="dxa"/>
              <w:bottom w:w="80" w:type="dxa"/>
              <w:right w:w="0" w:type="dxa"/>
            </w:tcMar>
            <w:vAlign w:val="center"/>
          </w:tcPr>
          <w:p w14:paraId="3D5F7F40" w14:textId="0269A984" w:rsidR="00D41190" w:rsidRDefault="00000000">
            <w:r>
              <w:rPr>
                <w:color w:val="667085"/>
                <w:sz w:val="19"/>
                <w:szCs w:val="19"/>
              </w:rPr>
              <w:t xml:space="preserve">Current Price </w:t>
            </w:r>
            <w:r>
              <w:rPr>
                <w:b/>
                <w:bCs/>
                <w:sz w:val="19"/>
                <w:szCs w:val="19"/>
              </w:rPr>
              <w:t>$70.90</w:t>
            </w:r>
            <w:r>
              <w:rPr>
                <w:color w:val="D6DDE6"/>
                <w:sz w:val="19"/>
                <w:szCs w:val="19"/>
              </w:rPr>
              <w:t xml:space="preserve">   |   </w:t>
            </w:r>
            <w:r>
              <w:rPr>
                <w:color w:val="667085"/>
                <w:sz w:val="19"/>
                <w:szCs w:val="19"/>
              </w:rPr>
              <w:t xml:space="preserve">Target Price </w:t>
            </w:r>
            <w:r>
              <w:rPr>
                <w:b/>
                <w:bCs/>
                <w:sz w:val="19"/>
                <w:szCs w:val="19"/>
              </w:rPr>
              <w:t>$1</w:t>
            </w:r>
            <w:r w:rsidR="00A92E90">
              <w:rPr>
                <w:b/>
                <w:bCs/>
                <w:sz w:val="19"/>
                <w:szCs w:val="19"/>
              </w:rPr>
              <w:t>0</w:t>
            </w:r>
            <w:r w:rsidR="002437BD">
              <w:rPr>
                <w:b/>
                <w:bCs/>
                <w:sz w:val="19"/>
                <w:szCs w:val="19"/>
              </w:rPr>
              <w:t>9</w:t>
            </w:r>
            <w:r>
              <w:rPr>
                <w:b/>
                <w:bCs/>
                <w:sz w:val="19"/>
                <w:szCs w:val="19"/>
              </w:rPr>
              <w:t xml:space="preserve"> </w:t>
            </w:r>
            <w:r>
              <w:rPr>
                <w:color w:val="667085"/>
                <w:sz w:val="18"/>
                <w:szCs w:val="18"/>
              </w:rPr>
              <w:t>(+</w:t>
            </w:r>
            <w:r w:rsidR="002437BD">
              <w:rPr>
                <w:color w:val="667085"/>
                <w:sz w:val="18"/>
                <w:szCs w:val="18"/>
              </w:rPr>
              <w:t>53.74</w:t>
            </w:r>
            <w:r>
              <w:rPr>
                <w:color w:val="667085"/>
                <w:sz w:val="18"/>
                <w:szCs w:val="18"/>
              </w:rPr>
              <w:t>%)</w:t>
            </w:r>
            <w:r>
              <w:rPr>
                <w:color w:val="D6DDE6"/>
                <w:sz w:val="19"/>
                <w:szCs w:val="19"/>
              </w:rPr>
              <w:t xml:space="preserve">   |   </w:t>
            </w:r>
            <w:r>
              <w:rPr>
                <w:color w:val="667085"/>
                <w:sz w:val="19"/>
                <w:szCs w:val="19"/>
              </w:rPr>
              <w:t xml:space="preserve">Risk </w:t>
            </w:r>
            <w:r>
              <w:rPr>
                <w:b/>
                <w:bCs/>
                <w:sz w:val="19"/>
                <w:szCs w:val="19"/>
              </w:rPr>
              <w:t>Medium</w:t>
            </w:r>
            <w:r>
              <w:rPr>
                <w:color w:val="D6DDE6"/>
                <w:sz w:val="19"/>
                <w:szCs w:val="19"/>
              </w:rPr>
              <w:t xml:space="preserve">   |   </w:t>
            </w:r>
            <w:r>
              <w:rPr>
                <w:color w:val="667085"/>
                <w:sz w:val="19"/>
                <w:szCs w:val="19"/>
              </w:rPr>
              <w:t>12-mo. target</w:t>
            </w:r>
          </w:p>
        </w:tc>
      </w:tr>
    </w:tbl>
    <w:p w14:paraId="39A6BD6C" w14:textId="77777777" w:rsidR="00D41190" w:rsidRDefault="00D41190">
      <w:pPr>
        <w:spacing w:after="60"/>
      </w:pP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
        <w:gridCol w:w="4314"/>
        <w:gridCol w:w="5707"/>
        <w:gridCol w:w="29"/>
      </w:tblGrid>
      <w:tr w:rsidR="00D41190" w14:paraId="4336F0BC" w14:textId="77777777">
        <w:trPr>
          <w:gridAfter w:val="1"/>
          <w:wAfter w:w="30" w:type="dxa"/>
        </w:trPr>
        <w:tc>
          <w:tcPr>
            <w:tcW w:w="4360" w:type="dxa"/>
            <w:gridSpan w:val="2"/>
            <w:tcBorders>
              <w:top w:val="none" w:sz="0" w:space="0" w:color="FFFFFF"/>
              <w:left w:val="none" w:sz="0" w:space="0" w:color="FFFFFF"/>
              <w:bottom w:val="none" w:sz="0" w:space="0" w:color="FFFFFF"/>
              <w:right w:val="none" w:sz="0" w:space="0" w:color="FFFFFF"/>
            </w:tcBorders>
            <w:tcMar>
              <w:top w:w="60" w:type="dxa"/>
              <w:left w:w="0" w:type="dxa"/>
              <w:bottom w:w="60" w:type="dxa"/>
              <w:right w:w="220" w:type="dxa"/>
            </w:tcMar>
          </w:tcPr>
          <w:p w14:paraId="4CBDB8F7" w14:textId="77777777" w:rsidR="00D41190" w:rsidRDefault="00000000">
            <w:pPr>
              <w:spacing w:after="60"/>
            </w:pPr>
            <w:r>
              <w:rPr>
                <w:b/>
                <w:bCs/>
                <w:color w:val="335074"/>
                <w:spacing w:val="16"/>
                <w:sz w:val="15"/>
                <w:szCs w:val="15"/>
              </w:rPr>
              <w:t>MARKET DATA</w:t>
            </w:r>
          </w:p>
          <w:p w14:paraId="256DC8AE" w14:textId="77777777" w:rsidR="00D41190" w:rsidRDefault="00000000">
            <w:pPr>
              <w:pBdr>
                <w:bottom w:val="single" w:sz="4" w:space="3" w:color="D6DDE6"/>
              </w:pBdr>
              <w:tabs>
                <w:tab w:val="right" w:pos="4140"/>
              </w:tabs>
              <w:spacing w:before="30" w:after="30"/>
            </w:pPr>
            <w:r>
              <w:rPr>
                <w:color w:val="667085"/>
                <w:sz w:val="18"/>
                <w:szCs w:val="18"/>
              </w:rPr>
              <w:t>Market Cap</w:t>
            </w:r>
            <w:r>
              <w:rPr>
                <w:b/>
                <w:bCs/>
                <w:sz w:val="18"/>
                <w:szCs w:val="18"/>
              </w:rPr>
              <w:tab/>
              <w:t>$3.36 B</w:t>
            </w:r>
          </w:p>
          <w:p w14:paraId="7FB872BB" w14:textId="77777777" w:rsidR="00D41190" w:rsidRDefault="00000000">
            <w:pPr>
              <w:pBdr>
                <w:bottom w:val="single" w:sz="4" w:space="3" w:color="D6DDE6"/>
              </w:pBdr>
              <w:tabs>
                <w:tab w:val="right" w:pos="4140"/>
              </w:tabs>
              <w:spacing w:before="30" w:after="30"/>
            </w:pPr>
            <w:r>
              <w:rPr>
                <w:color w:val="667085"/>
                <w:sz w:val="18"/>
                <w:szCs w:val="18"/>
              </w:rPr>
              <w:t>Revenue (FY24)</w:t>
            </w:r>
            <w:r>
              <w:rPr>
                <w:b/>
                <w:bCs/>
                <w:sz w:val="18"/>
                <w:szCs w:val="18"/>
              </w:rPr>
              <w:tab/>
              <w:t>$4,948 M</w:t>
            </w:r>
          </w:p>
          <w:p w14:paraId="621660A0" w14:textId="77777777" w:rsidR="00D41190" w:rsidRDefault="00000000">
            <w:pPr>
              <w:pBdr>
                <w:bottom w:val="single" w:sz="4" w:space="3" w:color="D6DDE6"/>
              </w:pBdr>
              <w:tabs>
                <w:tab w:val="right" w:pos="4140"/>
              </w:tabs>
              <w:spacing w:before="30" w:after="30"/>
            </w:pPr>
            <w:r>
              <w:rPr>
                <w:color w:val="667085"/>
                <w:sz w:val="18"/>
                <w:szCs w:val="18"/>
              </w:rPr>
              <w:t>Revenue (LTM)</w:t>
            </w:r>
            <w:r>
              <w:rPr>
                <w:b/>
                <w:bCs/>
                <w:sz w:val="18"/>
                <w:szCs w:val="18"/>
              </w:rPr>
              <w:tab/>
              <w:t>$5,181 M</w:t>
            </w:r>
          </w:p>
          <w:p w14:paraId="0F85BB29" w14:textId="77777777" w:rsidR="00D41190" w:rsidRDefault="00000000">
            <w:pPr>
              <w:pBdr>
                <w:bottom w:val="single" w:sz="4" w:space="3" w:color="D6DDE6"/>
              </w:pBdr>
              <w:tabs>
                <w:tab w:val="right" w:pos="4140"/>
              </w:tabs>
              <w:spacing w:before="30" w:after="30"/>
            </w:pPr>
            <w:r>
              <w:rPr>
                <w:color w:val="667085"/>
                <w:sz w:val="18"/>
                <w:szCs w:val="18"/>
              </w:rPr>
              <w:t>Net Income (FY24)</w:t>
            </w:r>
            <w:r>
              <w:rPr>
                <w:b/>
                <w:bCs/>
                <w:sz w:val="18"/>
                <w:szCs w:val="18"/>
              </w:rPr>
              <w:tab/>
              <w:t>$566 M</w:t>
            </w:r>
          </w:p>
          <w:p w14:paraId="1869CFFD" w14:textId="77777777" w:rsidR="00D41190" w:rsidRDefault="00000000">
            <w:pPr>
              <w:pBdr>
                <w:bottom w:val="single" w:sz="4" w:space="3" w:color="D6DDE6"/>
              </w:pBdr>
              <w:tabs>
                <w:tab w:val="right" w:pos="4140"/>
              </w:tabs>
              <w:spacing w:before="30" w:after="30"/>
            </w:pPr>
            <w:r>
              <w:rPr>
                <w:color w:val="667085"/>
                <w:sz w:val="18"/>
                <w:szCs w:val="18"/>
              </w:rPr>
              <w:t>Net Income (LTM)</w:t>
            </w:r>
            <w:r>
              <w:rPr>
                <w:b/>
                <w:bCs/>
                <w:sz w:val="18"/>
                <w:szCs w:val="18"/>
              </w:rPr>
              <w:tab/>
              <w:t>$522 M</w:t>
            </w:r>
          </w:p>
          <w:p w14:paraId="2E5CEA50" w14:textId="77777777" w:rsidR="00D41190" w:rsidRDefault="00000000">
            <w:pPr>
              <w:pBdr>
                <w:bottom w:val="single" w:sz="4" w:space="3" w:color="D6DDE6"/>
              </w:pBdr>
              <w:tabs>
                <w:tab w:val="right" w:pos="4140"/>
              </w:tabs>
              <w:spacing w:before="30" w:after="30"/>
            </w:pPr>
            <w:r>
              <w:rPr>
                <w:color w:val="667085"/>
                <w:sz w:val="18"/>
                <w:szCs w:val="18"/>
              </w:rPr>
              <w:t>LTM EPS</w:t>
            </w:r>
            <w:r>
              <w:rPr>
                <w:b/>
                <w:bCs/>
                <w:sz w:val="18"/>
                <w:szCs w:val="18"/>
              </w:rPr>
              <w:tab/>
              <w:t>$10.74</w:t>
            </w:r>
          </w:p>
          <w:p w14:paraId="3D95CAE4" w14:textId="77777777" w:rsidR="00D41190" w:rsidRDefault="00000000">
            <w:pPr>
              <w:pBdr>
                <w:bottom w:val="single" w:sz="4" w:space="3" w:color="D6DDE6"/>
              </w:pBdr>
              <w:tabs>
                <w:tab w:val="right" w:pos="4140"/>
              </w:tabs>
              <w:spacing w:before="30" w:after="30"/>
            </w:pPr>
            <w:r>
              <w:rPr>
                <w:color w:val="667085"/>
                <w:sz w:val="18"/>
                <w:szCs w:val="18"/>
              </w:rPr>
              <w:t>P/E</w:t>
            </w:r>
            <w:r>
              <w:rPr>
                <w:b/>
                <w:bCs/>
                <w:sz w:val="18"/>
                <w:szCs w:val="18"/>
              </w:rPr>
              <w:tab/>
              <w:t>6.6x</w:t>
            </w:r>
          </w:p>
          <w:p w14:paraId="36955FC6" w14:textId="77777777" w:rsidR="00D41190" w:rsidRDefault="00000000">
            <w:pPr>
              <w:pBdr>
                <w:bottom w:val="single" w:sz="4" w:space="3" w:color="D6DDE6"/>
              </w:pBdr>
              <w:tabs>
                <w:tab w:val="right" w:pos="4140"/>
              </w:tabs>
              <w:spacing w:before="30" w:after="30"/>
            </w:pPr>
            <w:r>
              <w:rPr>
                <w:color w:val="667085"/>
                <w:sz w:val="18"/>
                <w:szCs w:val="18"/>
              </w:rPr>
              <w:t>EV / EBITDA (LTM)</w:t>
            </w:r>
            <w:r>
              <w:rPr>
                <w:b/>
                <w:bCs/>
                <w:sz w:val="18"/>
                <w:szCs w:val="18"/>
              </w:rPr>
              <w:tab/>
              <w:t>3.07x</w:t>
            </w:r>
          </w:p>
          <w:p w14:paraId="1B880BB2" w14:textId="77777777" w:rsidR="00D41190" w:rsidRDefault="00000000">
            <w:pPr>
              <w:pBdr>
                <w:bottom w:val="single" w:sz="4" w:space="3" w:color="D6DDE6"/>
              </w:pBdr>
              <w:tabs>
                <w:tab w:val="right" w:pos="4140"/>
              </w:tabs>
              <w:spacing w:before="30" w:after="30"/>
            </w:pPr>
            <w:r>
              <w:rPr>
                <w:color w:val="667085"/>
                <w:sz w:val="18"/>
                <w:szCs w:val="18"/>
              </w:rPr>
              <w:t>EV / EBIT (LTM)</w:t>
            </w:r>
            <w:r>
              <w:rPr>
                <w:b/>
                <w:bCs/>
                <w:sz w:val="18"/>
                <w:szCs w:val="18"/>
              </w:rPr>
              <w:tab/>
              <w:t>3.70x</w:t>
            </w:r>
          </w:p>
          <w:p w14:paraId="4D355A32" w14:textId="77777777" w:rsidR="00D41190" w:rsidRDefault="00000000">
            <w:pPr>
              <w:tabs>
                <w:tab w:val="right" w:pos="4140"/>
              </w:tabs>
              <w:spacing w:before="30" w:after="30"/>
            </w:pPr>
            <w:r>
              <w:rPr>
                <w:color w:val="667085"/>
                <w:sz w:val="18"/>
                <w:szCs w:val="18"/>
              </w:rPr>
              <w:t>Beta</w:t>
            </w:r>
            <w:r>
              <w:rPr>
                <w:b/>
                <w:bCs/>
                <w:sz w:val="18"/>
                <w:szCs w:val="18"/>
              </w:rPr>
              <w:tab/>
              <w:t>1.35</w:t>
            </w:r>
          </w:p>
          <w:p w14:paraId="12D2024A" w14:textId="77777777" w:rsidR="00D41190" w:rsidRDefault="00000000">
            <w:pPr>
              <w:spacing w:before="60"/>
            </w:pPr>
            <w:r>
              <w:rPr>
                <w:i/>
                <w:iCs/>
                <w:color w:val="667085"/>
                <w:sz w:val="14"/>
                <w:szCs w:val="14"/>
              </w:rPr>
              <w:t>All figures in USD; $ in millions unless noted.</w:t>
            </w:r>
          </w:p>
        </w:tc>
        <w:tc>
          <w:tcPr>
            <w:tcW w:w="5720" w:type="dxa"/>
            <w:tcBorders>
              <w:left w:val="single" w:sz="4" w:space="8" w:color="D6DDE6"/>
            </w:tcBorders>
            <w:tcMar>
              <w:top w:w="60" w:type="dxa"/>
              <w:left w:w="220" w:type="dxa"/>
              <w:bottom w:w="60" w:type="dxa"/>
              <w:right w:w="0" w:type="dxa"/>
            </w:tcMar>
          </w:tcPr>
          <w:p w14:paraId="1DAE875C" w14:textId="77777777" w:rsidR="00D41190" w:rsidRDefault="00000000">
            <w:pPr>
              <w:spacing w:after="60"/>
            </w:pPr>
            <w:r>
              <w:rPr>
                <w:b/>
                <w:bCs/>
                <w:color w:val="335074"/>
                <w:spacing w:val="16"/>
                <w:sz w:val="15"/>
                <w:szCs w:val="15"/>
              </w:rPr>
              <w:t>SHARE PRICE — TRAILING 12 MONTHS</w:t>
            </w:r>
          </w:p>
          <w:p w14:paraId="4B8B89EC" w14:textId="77777777" w:rsidR="00D41190" w:rsidRDefault="00000000">
            <w:pPr>
              <w:jc w:val="center"/>
            </w:pPr>
            <w:r>
              <w:rPr>
                <w:noProof/>
              </w:rPr>
              <w:drawing>
                <wp:inline distT="0" distB="0" distL="0" distR="0" wp14:anchorId="3B37448A" wp14:editId="524D3A06">
                  <wp:extent cx="3343275" cy="2105025"/>
                  <wp:effectExtent l="0" t="0" r="0" b="0"/>
                  <wp:docPr id="1991478089" name="image2" descr="Exhibit 2"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343275" cy="2105025"/>
                          </a:xfrm>
                          <a:prstGeom prst="rect">
                            <a:avLst/>
                          </a:prstGeom>
                        </pic:spPr>
                      </pic:pic>
                    </a:graphicData>
                  </a:graphic>
                </wp:inline>
              </w:drawing>
            </w:r>
          </w:p>
        </w:tc>
      </w:tr>
      <w:tr w:rsidR="00D41190" w14:paraId="23A28270" w14:textId="77777777" w:rsidTr="002437BD">
        <w:trPr>
          <w:gridBefore w:val="1"/>
          <w:wBefore w:w="30" w:type="dxa"/>
        </w:trPr>
        <w:tc>
          <w:tcPr>
            <w:tcW w:w="10080" w:type="dxa"/>
            <w:gridSpan w:val="3"/>
            <w:tcBorders>
              <w:left w:val="single" w:sz="24" w:space="0" w:color="B11226"/>
            </w:tcBorders>
            <w:tcMar>
              <w:top w:w="130" w:type="dxa"/>
              <w:left w:w="200" w:type="dxa"/>
              <w:bottom w:w="130" w:type="dxa"/>
              <w:right w:w="200" w:type="dxa"/>
            </w:tcMar>
          </w:tcPr>
          <w:p w14:paraId="2DBE3982" w14:textId="77777777" w:rsidR="00D41190" w:rsidRDefault="00000000">
            <w:pPr>
              <w:spacing w:after="60"/>
            </w:pPr>
            <w:r>
              <w:rPr>
                <w:b/>
                <w:bCs/>
                <w:color w:val="B11226"/>
                <w:spacing w:val="18"/>
                <w:sz w:val="16"/>
                <w:szCs w:val="16"/>
              </w:rPr>
              <w:t>INVESTMENT SUMMARY</w:t>
            </w:r>
          </w:p>
          <w:p w14:paraId="75B10890" w14:textId="5880AA93" w:rsidR="00D41190" w:rsidRDefault="00000000">
            <w:pPr>
              <w:spacing w:line="264" w:lineRule="auto"/>
              <w:jc w:val="both"/>
            </w:pPr>
            <w:r>
              <w:t>I believe Abercrombie &amp; Fitch remains fundamentally strong with solid long-term growth potential despite its recent share-price decline. The sell-off looks overdone and largely driven by temporary concerns around the Abercrombie brand and a short-term deceleration. I remain confident in management's strategy, the brand portfolio, and the company's growth opportunities, which support the view that the stock is undervalued even under conservative growth assumptions. We rate the shares STRONG BUY with a 12-month target of $1</w:t>
            </w:r>
            <w:r w:rsidR="002437BD">
              <w:t>09</w:t>
            </w:r>
            <w:r>
              <w:t>.</w:t>
            </w:r>
          </w:p>
        </w:tc>
      </w:tr>
    </w:tbl>
    <w:p w14:paraId="13156677" w14:textId="31F649BF" w:rsidR="00D41190" w:rsidRDefault="00000000">
      <w:pPr>
        <w:keepNext/>
        <w:pBdr>
          <w:bottom w:val="single" w:sz="14" w:space="6" w:color="16263F"/>
        </w:pBdr>
        <w:spacing w:before="300" w:after="140"/>
      </w:pPr>
      <w:r>
        <w:rPr>
          <w:b/>
          <w:bCs/>
          <w:color w:val="16263F"/>
          <w:sz w:val="27"/>
          <w:szCs w:val="27"/>
        </w:rPr>
        <w:lastRenderedPageBreak/>
        <w:t>Financial Statements</w:t>
      </w:r>
    </w:p>
    <w:p w14:paraId="370894AF" w14:textId="77777777" w:rsidR="00D41190" w:rsidRDefault="00000000">
      <w:pPr>
        <w:spacing w:before="60"/>
        <w:jc w:val="center"/>
      </w:pPr>
      <w:r>
        <w:rPr>
          <w:noProof/>
        </w:rPr>
        <w:drawing>
          <wp:inline distT="0" distB="0" distL="0" distR="0" wp14:anchorId="77B7D47D" wp14:editId="625FB738">
            <wp:extent cx="6400800" cy="3743325"/>
            <wp:effectExtent l="0" t="0" r="0" b="0"/>
            <wp:docPr id="1657498768" name="image4" descr="Exhibit 4"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400800" cy="3743325"/>
                    </a:xfrm>
                    <a:prstGeom prst="rect">
                      <a:avLst/>
                    </a:prstGeom>
                  </pic:spPr>
                </pic:pic>
              </a:graphicData>
            </a:graphic>
          </wp:inline>
        </w:drawing>
      </w:r>
    </w:p>
    <w:p w14:paraId="5F3CD2EA" w14:textId="77777777" w:rsidR="00D41190" w:rsidRDefault="00000000">
      <w:pPr>
        <w:spacing w:before="30" w:after="220"/>
        <w:jc w:val="center"/>
      </w:pPr>
      <w:r>
        <w:rPr>
          <w:i/>
          <w:iCs/>
          <w:color w:val="667085"/>
          <w:sz w:val="16"/>
          <w:szCs w:val="16"/>
        </w:rPr>
        <w:t>Figure 1 — Income Statement</w:t>
      </w:r>
    </w:p>
    <w:p w14:paraId="3B7456F1" w14:textId="77777777" w:rsidR="00D41190" w:rsidRDefault="00000000">
      <w:pPr>
        <w:spacing w:before="60"/>
        <w:jc w:val="center"/>
      </w:pPr>
      <w:r>
        <w:rPr>
          <w:noProof/>
        </w:rPr>
        <w:drawing>
          <wp:inline distT="0" distB="0" distL="0" distR="0" wp14:anchorId="0D04CA45" wp14:editId="0BD07443">
            <wp:extent cx="6400800" cy="3514725"/>
            <wp:effectExtent l="0" t="0" r="0" b="0"/>
            <wp:docPr id="1976079673" name="image3" descr="Exhibit 3"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400800" cy="3514725"/>
                    </a:xfrm>
                    <a:prstGeom prst="rect">
                      <a:avLst/>
                    </a:prstGeom>
                  </pic:spPr>
                </pic:pic>
              </a:graphicData>
            </a:graphic>
          </wp:inline>
        </w:drawing>
      </w:r>
    </w:p>
    <w:p w14:paraId="79381FA8" w14:textId="77777777" w:rsidR="00D41190" w:rsidRDefault="00000000">
      <w:pPr>
        <w:spacing w:before="30" w:after="220"/>
        <w:jc w:val="center"/>
      </w:pPr>
      <w:r>
        <w:rPr>
          <w:i/>
          <w:iCs/>
          <w:color w:val="667085"/>
          <w:sz w:val="16"/>
          <w:szCs w:val="16"/>
        </w:rPr>
        <w:t>Figure 2 — Balance Sheet</w:t>
      </w:r>
    </w:p>
    <w:p w14:paraId="79237480" w14:textId="24DF9A13" w:rsidR="00D41190" w:rsidRDefault="00000000">
      <w:pPr>
        <w:keepNext/>
        <w:pBdr>
          <w:bottom w:val="single" w:sz="14" w:space="6" w:color="16263F"/>
        </w:pBdr>
        <w:spacing w:before="300" w:after="140"/>
      </w:pPr>
      <w:r>
        <w:rPr>
          <w:b/>
          <w:bCs/>
          <w:color w:val="16263F"/>
          <w:sz w:val="27"/>
          <w:szCs w:val="27"/>
        </w:rPr>
        <w:lastRenderedPageBreak/>
        <w:t>Sales Analysis</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40"/>
        <w:gridCol w:w="5040"/>
      </w:tblGrid>
      <w:tr w:rsidR="00D41190" w14:paraId="3070227F" w14:textId="77777777">
        <w:tc>
          <w:tcPr>
            <w:tcW w:w="504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60395818" w14:textId="77777777" w:rsidR="00D41190" w:rsidRDefault="00000000">
            <w:pPr>
              <w:spacing w:after="30"/>
              <w:jc w:val="center"/>
            </w:pPr>
            <w:r>
              <w:rPr>
                <w:noProof/>
              </w:rPr>
              <w:drawing>
                <wp:inline distT="0" distB="0" distL="0" distR="0" wp14:anchorId="5708F4D9" wp14:editId="0DA5FFC1">
                  <wp:extent cx="3048000" cy="1962150"/>
                  <wp:effectExtent l="0" t="0" r="0" b="0"/>
                  <wp:docPr id="1815805433" name="image6" descr="Exhibit 6"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48000" cy="1962150"/>
                          </a:xfrm>
                          <a:prstGeom prst="rect">
                            <a:avLst/>
                          </a:prstGeom>
                        </pic:spPr>
                      </pic:pic>
                    </a:graphicData>
                  </a:graphic>
                </wp:inline>
              </w:drawing>
            </w:r>
          </w:p>
          <w:p w14:paraId="12F58BD4" w14:textId="77777777" w:rsidR="00D41190" w:rsidRDefault="00000000">
            <w:pPr>
              <w:jc w:val="center"/>
            </w:pPr>
            <w:r>
              <w:rPr>
                <w:i/>
                <w:iCs/>
                <w:color w:val="667085"/>
                <w:sz w:val="15"/>
                <w:szCs w:val="15"/>
              </w:rPr>
              <w:t>Figure 3 — Net Sales &amp; YoY Growth</w:t>
            </w:r>
          </w:p>
        </w:tc>
        <w:tc>
          <w:tcPr>
            <w:tcW w:w="504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71020833" w14:textId="77777777" w:rsidR="00D41190" w:rsidRDefault="00000000">
            <w:pPr>
              <w:spacing w:after="30"/>
              <w:jc w:val="center"/>
            </w:pPr>
            <w:r>
              <w:rPr>
                <w:noProof/>
              </w:rPr>
              <w:drawing>
                <wp:inline distT="0" distB="0" distL="0" distR="0" wp14:anchorId="34513733" wp14:editId="2ABF8030">
                  <wp:extent cx="3048000" cy="1466850"/>
                  <wp:effectExtent l="0" t="0" r="0" b="0"/>
                  <wp:docPr id="676741725" name="image5" descr="Exhibit 5"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48000" cy="1466850"/>
                          </a:xfrm>
                          <a:prstGeom prst="rect">
                            <a:avLst/>
                          </a:prstGeom>
                        </pic:spPr>
                      </pic:pic>
                    </a:graphicData>
                  </a:graphic>
                </wp:inline>
              </w:drawing>
            </w:r>
          </w:p>
          <w:p w14:paraId="7601719A" w14:textId="77777777" w:rsidR="00D41190" w:rsidRDefault="00000000">
            <w:pPr>
              <w:jc w:val="center"/>
            </w:pPr>
            <w:r>
              <w:rPr>
                <w:i/>
                <w:iCs/>
                <w:color w:val="667085"/>
                <w:sz w:val="15"/>
                <w:szCs w:val="15"/>
              </w:rPr>
              <w:t>Figure 4 — Net Sales by Brand &amp; % of Total</w:t>
            </w:r>
          </w:p>
        </w:tc>
      </w:tr>
    </w:tbl>
    <w:p w14:paraId="58E83E39" w14:textId="77777777" w:rsidR="00D41190" w:rsidRDefault="00D41190">
      <w:pPr>
        <w:spacing w:after="120"/>
      </w:pPr>
    </w:p>
    <w:p w14:paraId="60A7F39C" w14:textId="77777777" w:rsidR="00D41190" w:rsidRDefault="00000000">
      <w:pPr>
        <w:spacing w:after="160" w:line="264" w:lineRule="auto"/>
        <w:jc w:val="both"/>
      </w:pPr>
      <w:r>
        <w:t xml:space="preserve">Since 2018, Abercrombie has delivered solid growth — a </w:t>
      </w:r>
      <w:r>
        <w:rPr>
          <w:b/>
          <w:bCs/>
        </w:rPr>
        <w:t>CAGR of 5.1%</w:t>
      </w:r>
      <w:r>
        <w:t xml:space="preserve"> — taking a hit during COVID but recovering quickly the following year. Growth has been led by the </w:t>
      </w:r>
      <w:r>
        <w:rPr>
          <w:b/>
          <w:bCs/>
        </w:rPr>
        <w:t>Abercrombie brand (CAGR of 10.1%)</w:t>
      </w:r>
      <w:r>
        <w:t xml:space="preserve">, while </w:t>
      </w:r>
      <w:r>
        <w:rPr>
          <w:b/>
          <w:bCs/>
        </w:rPr>
        <w:t>Hollister grew at 1.8%</w:t>
      </w:r>
      <w:r>
        <w:t xml:space="preserve"> over the same period. In 2025 this trend shifted: Hollister became the biggest driver of growth, rising </w:t>
      </w:r>
      <w:r>
        <w:rPr>
          <w:b/>
          <w:bCs/>
        </w:rPr>
        <w:t>22% and 19% in Q1 and Q2</w:t>
      </w:r>
      <w:r>
        <w:t xml:space="preserve"> respectively, while the Abercrombie brand declined </w:t>
      </w:r>
      <w:r>
        <w:rPr>
          <w:b/>
          <w:bCs/>
        </w:rPr>
        <w:t>4% and 5%</w:t>
      </w:r>
      <w:r>
        <w:t xml:space="preserve">. Hollister's growth was driven mainly by existing stores, with comparable sales up </w:t>
      </w:r>
      <w:r>
        <w:rPr>
          <w:b/>
          <w:bCs/>
        </w:rPr>
        <w:t>23% and 19%</w:t>
      </w:r>
      <w:r>
        <w:t xml:space="preserve">, whereas Abercrombie's comparable sales fell </w:t>
      </w:r>
      <w:r>
        <w:rPr>
          <w:b/>
          <w:bCs/>
        </w:rPr>
        <w:t>10% and 11%</w:t>
      </w:r>
      <w:r>
        <w:t>.</w:t>
      </w:r>
    </w:p>
    <w:p w14:paraId="26399EE2" w14:textId="77777777" w:rsidR="00D41190" w:rsidRDefault="00000000">
      <w:pPr>
        <w:spacing w:after="160" w:line="264" w:lineRule="auto"/>
        <w:jc w:val="both"/>
      </w:pPr>
      <w:r>
        <w:t>Abercrombie's weak Q2 comparable sales were primarily driven by excess carryover inventory from the prior year, which forced increased promotions and markdowns. This lowered average unit retail (AUR) — which management identified as the main reason for the sales miss, not a lack of demand or traffic. In fact, traffic remained strong across both stores and digital channels.</w:t>
      </w:r>
    </w:p>
    <w:p w14:paraId="0B911D92" w14:textId="77777777" w:rsidR="00D41190" w:rsidRDefault="00000000">
      <w:pPr>
        <w:spacing w:after="160" w:line="264" w:lineRule="auto"/>
        <w:jc w:val="both"/>
      </w:pPr>
      <w:r>
        <w:t>Management explained that clearing higher-cost, excess inventory compressed both AUR and gross margin. Inventory at quarter-end was up 10% at cost and 7% in units year-over-year, indicating significantly more unsold merchandise than the prior year. As a result, even though units were selling and engagement was healthy, revenue per customer fell, pulling Abercrombie-brand comparable sales down 11%; selling through this inventory also pressured cost of sales.</w:t>
      </w:r>
    </w:p>
    <w:p w14:paraId="592818DE" w14:textId="77777777" w:rsidR="00D41190" w:rsidRDefault="00000000">
      <w:pPr>
        <w:spacing w:after="160" w:line="264" w:lineRule="auto"/>
        <w:jc w:val="both"/>
      </w:pPr>
      <w:r>
        <w:t xml:space="preserve">Importantly, management emphasized that this was a </w:t>
      </w:r>
      <w:r>
        <w:rPr>
          <w:b/>
          <w:bCs/>
        </w:rPr>
        <w:t>temporary, self-inflicted issue, not a demand problem</w:t>
      </w:r>
      <w:r>
        <w:t>. By the end of Q2, inventory was described as “clean and current,” positioning the brand to reduce promotions and stabilize AUR going forward.</w:t>
      </w:r>
    </w:p>
    <w:p w14:paraId="724EEAA4" w14:textId="2EFE8790" w:rsidR="00D41190" w:rsidRDefault="00000000">
      <w:pPr>
        <w:keepNext/>
        <w:pBdr>
          <w:bottom w:val="single" w:sz="14" w:space="6" w:color="16263F"/>
        </w:pBdr>
        <w:spacing w:before="300" w:after="140"/>
      </w:pPr>
      <w:r>
        <w:rPr>
          <w:b/>
          <w:bCs/>
          <w:color w:val="16263F"/>
          <w:sz w:val="27"/>
          <w:szCs w:val="27"/>
        </w:rPr>
        <w:t>Margins &amp; Profitability</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40"/>
        <w:gridCol w:w="5040"/>
      </w:tblGrid>
      <w:tr w:rsidR="00D41190" w14:paraId="3292F0C4" w14:textId="77777777">
        <w:tc>
          <w:tcPr>
            <w:tcW w:w="504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588C884B" w14:textId="77777777" w:rsidR="00D41190" w:rsidRDefault="00000000">
            <w:pPr>
              <w:spacing w:after="30"/>
              <w:jc w:val="center"/>
            </w:pPr>
            <w:r>
              <w:rPr>
                <w:noProof/>
              </w:rPr>
              <w:drawing>
                <wp:inline distT="0" distB="0" distL="0" distR="0" wp14:anchorId="0FA5710E" wp14:editId="58EEE1BA">
                  <wp:extent cx="3048000" cy="1800225"/>
                  <wp:effectExtent l="0" t="0" r="0" b="0"/>
                  <wp:docPr id="1657443651" name="image7" descr="Exhibit 7"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48000" cy="1800225"/>
                          </a:xfrm>
                          <a:prstGeom prst="rect">
                            <a:avLst/>
                          </a:prstGeom>
                        </pic:spPr>
                      </pic:pic>
                    </a:graphicData>
                  </a:graphic>
                </wp:inline>
              </w:drawing>
            </w:r>
          </w:p>
          <w:p w14:paraId="225582AF" w14:textId="77777777" w:rsidR="00D41190" w:rsidRDefault="00000000">
            <w:pPr>
              <w:jc w:val="center"/>
            </w:pPr>
            <w:r>
              <w:rPr>
                <w:i/>
                <w:iCs/>
                <w:color w:val="667085"/>
                <w:sz w:val="15"/>
                <w:szCs w:val="15"/>
              </w:rPr>
              <w:lastRenderedPageBreak/>
              <w:t>Figure 5 — Gross Profit &amp; Gross Margin</w:t>
            </w:r>
          </w:p>
        </w:tc>
        <w:tc>
          <w:tcPr>
            <w:tcW w:w="504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45833A75" w14:textId="77777777" w:rsidR="00D41190" w:rsidRDefault="00000000">
            <w:pPr>
              <w:spacing w:after="30"/>
              <w:jc w:val="center"/>
            </w:pPr>
            <w:r>
              <w:rPr>
                <w:noProof/>
              </w:rPr>
              <w:lastRenderedPageBreak/>
              <w:drawing>
                <wp:inline distT="0" distB="0" distL="0" distR="0" wp14:anchorId="5F568CE3" wp14:editId="1667C505">
                  <wp:extent cx="3048000" cy="1838325"/>
                  <wp:effectExtent l="0" t="0" r="0" b="0"/>
                  <wp:docPr id="14032477" name="image8" descr="Exhibit 8"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048000" cy="1838325"/>
                          </a:xfrm>
                          <a:prstGeom prst="rect">
                            <a:avLst/>
                          </a:prstGeom>
                        </pic:spPr>
                      </pic:pic>
                    </a:graphicData>
                  </a:graphic>
                </wp:inline>
              </w:drawing>
            </w:r>
          </w:p>
          <w:p w14:paraId="56666DE6" w14:textId="77777777" w:rsidR="00D41190" w:rsidRDefault="00000000">
            <w:pPr>
              <w:jc w:val="center"/>
            </w:pPr>
            <w:r>
              <w:rPr>
                <w:i/>
                <w:iCs/>
                <w:color w:val="667085"/>
                <w:sz w:val="15"/>
                <w:szCs w:val="15"/>
              </w:rPr>
              <w:lastRenderedPageBreak/>
              <w:t>Figure 6 — EBIT &amp; EBIT Margin</w:t>
            </w:r>
          </w:p>
        </w:tc>
      </w:tr>
    </w:tbl>
    <w:p w14:paraId="4A2B4B5F" w14:textId="77777777" w:rsidR="00D41190" w:rsidRDefault="00D41190">
      <w:pPr>
        <w:spacing w:after="160"/>
      </w:pPr>
    </w:p>
    <w:p w14:paraId="79F74FE1" w14:textId="77777777" w:rsidR="00D41190" w:rsidRDefault="00000000">
      <w:pPr>
        <w:spacing w:before="60"/>
        <w:jc w:val="center"/>
      </w:pPr>
      <w:r>
        <w:rPr>
          <w:noProof/>
        </w:rPr>
        <w:drawing>
          <wp:inline distT="0" distB="0" distL="0" distR="0" wp14:anchorId="25FE2184" wp14:editId="2158907C">
            <wp:extent cx="3552825" cy="1800225"/>
            <wp:effectExtent l="0" t="0" r="0" b="0"/>
            <wp:docPr id="508319114" name="image9" descr="Exhibit 9"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552825" cy="1800225"/>
                    </a:xfrm>
                    <a:prstGeom prst="rect">
                      <a:avLst/>
                    </a:prstGeom>
                  </pic:spPr>
                </pic:pic>
              </a:graphicData>
            </a:graphic>
          </wp:inline>
        </w:drawing>
      </w:r>
    </w:p>
    <w:p w14:paraId="1FC058CF" w14:textId="77777777" w:rsidR="00D41190" w:rsidRDefault="00000000">
      <w:pPr>
        <w:spacing w:before="30" w:after="220"/>
        <w:jc w:val="center"/>
      </w:pPr>
      <w:r>
        <w:rPr>
          <w:i/>
          <w:iCs/>
          <w:color w:val="667085"/>
          <w:sz w:val="16"/>
          <w:szCs w:val="16"/>
        </w:rPr>
        <w:t>Figure 7 — Net Income &amp; Net Income Margin</w:t>
      </w:r>
    </w:p>
    <w:p w14:paraId="311BD098" w14:textId="77777777" w:rsidR="00D41190" w:rsidRDefault="00000000">
      <w:pPr>
        <w:spacing w:after="160" w:line="264" w:lineRule="auto"/>
        <w:jc w:val="both"/>
      </w:pPr>
      <w:r>
        <w:t>Over time, the company has demonstrated a clear improvement in profitability, with gross margins expanding structurally as pricing discipline, merchandising optimization, and supply-chain efficiencies improved following pandemic-related volatility. Gross margin recovered meaningfully after fiscal 2022 and has remained elevated, reflecting better inventory management and reduced promotional intensity.</w:t>
      </w:r>
    </w:p>
    <w:p w14:paraId="131E376E" w14:textId="77777777" w:rsidR="00D41190" w:rsidRDefault="00000000">
      <w:pPr>
        <w:spacing w:after="160" w:line="264" w:lineRule="auto"/>
        <w:jc w:val="both"/>
      </w:pPr>
      <w:r>
        <w:t>Operating margins have followed a similar trajectory, with EBIT margins expanding steadily as SG&amp;A leverage improved alongside revenue growth. While margins experienced short-term volatility on a quarterly basis due to seasonality and investment spending, the overall trend remains positive.</w:t>
      </w:r>
    </w:p>
    <w:p w14:paraId="09413322" w14:textId="77777777" w:rsidR="00D41190" w:rsidRDefault="00000000">
      <w:pPr>
        <w:spacing w:after="160" w:line="264" w:lineRule="auto"/>
        <w:jc w:val="both"/>
      </w:pPr>
      <w:r>
        <w:t>Net income margins have also strengthened over the long term, supported by higher operating profitability and improved cost control. Most recently, margins remain healthy — gross margin in the low-to-mid 60% range and EBIT margin in the mid-teens — indicating sustained pricing power and a structurally more profitable business than historically. The sharp margin decline in Q1 2025 is largely seasonal, driven by post-holiday demand normalization, higher promotional activity, and front-loaded investment spending.</w:t>
      </w:r>
    </w:p>
    <w:p w14:paraId="25534D5C" w14:textId="1B09E33D" w:rsidR="00D41190" w:rsidRDefault="00000000">
      <w:pPr>
        <w:keepNext/>
        <w:pBdr>
          <w:bottom w:val="single" w:sz="14" w:space="6" w:color="16263F"/>
        </w:pBdr>
        <w:spacing w:before="300" w:after="140"/>
      </w:pPr>
      <w:r>
        <w:rPr>
          <w:b/>
          <w:bCs/>
          <w:color w:val="16263F"/>
          <w:sz w:val="27"/>
          <w:szCs w:val="27"/>
        </w:rPr>
        <w:t>Returns on Capital</w:t>
      </w:r>
    </w:p>
    <w:p w14:paraId="07CB8A22" w14:textId="77777777" w:rsidR="00D41190" w:rsidRDefault="00000000">
      <w:pPr>
        <w:spacing w:before="40" w:after="40"/>
      </w:pPr>
      <w:r>
        <w:rPr>
          <w:b/>
          <w:bCs/>
          <w:color w:val="335074"/>
          <w:sz w:val="18"/>
          <w:szCs w:val="18"/>
        </w:rPr>
        <w:t>Methodology</w:t>
      </w:r>
    </w:p>
    <w:p w14:paraId="267EE74F" w14:textId="77777777" w:rsidR="00D41190" w:rsidRDefault="00000000">
      <w:pPr>
        <w:pStyle w:val="ListParagraph"/>
        <w:numPr>
          <w:ilvl w:val="0"/>
          <w:numId w:val="3"/>
        </w:numPr>
        <w:spacing w:after="120" w:line="264" w:lineRule="auto"/>
        <w:jc w:val="both"/>
      </w:pPr>
      <w:r>
        <w:t>ROTCE = EBIT / (NWC + NFA)</w:t>
      </w:r>
    </w:p>
    <w:p w14:paraId="6D7C9AF0" w14:textId="77777777" w:rsidR="00D41190" w:rsidRDefault="00000000">
      <w:pPr>
        <w:pStyle w:val="ListParagraph"/>
        <w:numPr>
          <w:ilvl w:val="0"/>
          <w:numId w:val="3"/>
        </w:numPr>
        <w:spacing w:after="120" w:line="264" w:lineRule="auto"/>
        <w:jc w:val="both"/>
      </w:pPr>
      <w:r>
        <w:t>NWC = current assets (excl. cash) − current liabilities (excl. short-term debt)</w:t>
      </w:r>
    </w:p>
    <w:p w14:paraId="6050CFD6" w14:textId="77777777" w:rsidR="00D41190" w:rsidRDefault="00000000">
      <w:pPr>
        <w:pStyle w:val="ListParagraph"/>
        <w:numPr>
          <w:ilvl w:val="0"/>
          <w:numId w:val="3"/>
        </w:numPr>
        <w:spacing w:after="120" w:line="264" w:lineRule="auto"/>
        <w:jc w:val="both"/>
      </w:pPr>
      <w:r>
        <w:t>ROIC = EBIT × (1 − tax rate) / [(assets − cash) − non-interest-bearing current liabilities]</w:t>
      </w:r>
    </w:p>
    <w:p w14:paraId="17423F1A" w14:textId="77777777" w:rsidR="00D41190" w:rsidRDefault="00000000">
      <w:pPr>
        <w:spacing w:before="60"/>
        <w:jc w:val="center"/>
      </w:pPr>
      <w:r>
        <w:rPr>
          <w:noProof/>
        </w:rPr>
        <w:drawing>
          <wp:inline distT="0" distB="0" distL="0" distR="0" wp14:anchorId="5DAB9C1E" wp14:editId="1B911825">
            <wp:extent cx="4067175" cy="2162175"/>
            <wp:effectExtent l="0" t="0" r="0" b="0"/>
            <wp:docPr id="750044597" name="image10" descr="Exhibit 10"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67175" cy="2162175"/>
                    </a:xfrm>
                    <a:prstGeom prst="rect">
                      <a:avLst/>
                    </a:prstGeom>
                  </pic:spPr>
                </pic:pic>
              </a:graphicData>
            </a:graphic>
          </wp:inline>
        </w:drawing>
      </w:r>
    </w:p>
    <w:p w14:paraId="637B93AC" w14:textId="77777777" w:rsidR="00D41190" w:rsidRDefault="00000000">
      <w:pPr>
        <w:spacing w:before="30" w:after="220"/>
        <w:jc w:val="center"/>
      </w:pPr>
      <w:r>
        <w:rPr>
          <w:i/>
          <w:iCs/>
          <w:color w:val="667085"/>
          <w:sz w:val="16"/>
          <w:szCs w:val="16"/>
        </w:rPr>
        <w:t>Figure 8 — ROTCE &amp; ROIC Over Time</w:t>
      </w:r>
    </w:p>
    <w:p w14:paraId="16DD156A" w14:textId="77777777" w:rsidR="00D41190" w:rsidRDefault="00000000">
      <w:pPr>
        <w:spacing w:after="160" w:line="264" w:lineRule="auto"/>
        <w:jc w:val="both"/>
      </w:pPr>
      <w:r>
        <w:lastRenderedPageBreak/>
        <w:t>Abercrombie's returns on capital deteriorated significantly between 2019 and 2020, reflecting weak operating performance, store rationalization, and pandemic-related disruptions. During this period both ROTCE and ROIC reached trough levels as profitability declined and the capital base remained elevated.</w:t>
      </w:r>
    </w:p>
    <w:p w14:paraId="3A8B3483" w14:textId="77777777" w:rsidR="00D41190" w:rsidRDefault="00000000">
      <w:pPr>
        <w:spacing w:after="160" w:line="264" w:lineRule="auto"/>
        <w:jc w:val="both"/>
      </w:pPr>
      <w:r>
        <w:t>From 2021 onward, returns rebounded sharply, driven by a meaningful recovery in EBIT, improved inventory discipline, and a structurally more efficient store footprint. The acceleration in 2023 and 2024 highlights strong operating leverage and improved capital allocation, as incremental investments generated significantly higher returns.</w:t>
      </w:r>
    </w:p>
    <w:p w14:paraId="096A577D" w14:textId="77777777" w:rsidR="00D41190" w:rsidRDefault="00000000">
      <w:pPr>
        <w:spacing w:after="160" w:line="264" w:lineRule="auto"/>
        <w:jc w:val="both"/>
      </w:pPr>
      <w:r>
        <w:t>At current levels, both ROTCE and ROIC are well above historical averages, indicating that Abercrombie has successfully repositioned its business and is now generating returns meaningfully above its cost of capital.</w:t>
      </w:r>
    </w:p>
    <w:p w14:paraId="4FAB1E57" w14:textId="77777777" w:rsidR="00D41190" w:rsidRDefault="00000000">
      <w:r>
        <w:br w:type="page"/>
      </w:r>
    </w:p>
    <w:sectPr w:rsidR="00D41190">
      <w:headerReference w:type="default" r:id="rId17"/>
      <w:footerReference w:type="default" r:id="rId18"/>
      <w:headerReference w:type="first" r:id="rId19"/>
      <w:pgSz w:w="12240" w:h="15840"/>
      <w:pgMar w:top="1320" w:right="1080" w:bottom="1180" w:left="1080" w:header="68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A983FF" w14:textId="77777777" w:rsidR="00B07AB0" w:rsidRDefault="00B07AB0">
      <w:r>
        <w:separator/>
      </w:r>
    </w:p>
  </w:endnote>
  <w:endnote w:type="continuationSeparator" w:id="0">
    <w:p w14:paraId="4C8431DA" w14:textId="77777777" w:rsidR="00B07AB0" w:rsidRDefault="00B07A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6C3CB9" w14:textId="27651BBD" w:rsidR="00D41190" w:rsidRDefault="00000000">
    <w:pPr>
      <w:pBdr>
        <w:top w:val="single" w:sz="4" w:space="4" w:color="D6DDE6"/>
      </w:pBdr>
      <w:tabs>
        <w:tab w:val="right" w:pos="10080"/>
      </w:tabs>
    </w:pPr>
    <w:r>
      <w:rPr>
        <w:color w:val="667085"/>
        <w:sz w:val="15"/>
        <w:szCs w:val="15"/>
      </w:rPr>
      <w:t>My Investments  —  Alejandro Llamazares</w:t>
    </w:r>
    <w:r>
      <w:rPr>
        <w:color w:val="667085"/>
        <w:sz w:val="15"/>
        <w:szCs w:val="15"/>
      </w:rPr>
      <w:tab/>
      <w:t xml:space="preserve">Page </w:t>
    </w:r>
    <w:r>
      <w:rPr>
        <w:color w:val="667085"/>
        <w:sz w:val="15"/>
        <w:szCs w:val="15"/>
      </w:rPr>
      <w:fldChar w:fldCharType="begin"/>
    </w:r>
    <w:r>
      <w:rPr>
        <w:color w:val="667085"/>
        <w:sz w:val="15"/>
        <w:szCs w:val="15"/>
      </w:rPr>
      <w:instrText>PAGE</w:instrText>
    </w:r>
    <w:r>
      <w:rPr>
        <w:color w:val="667085"/>
        <w:sz w:val="15"/>
        <w:szCs w:val="15"/>
      </w:rPr>
      <w:fldChar w:fldCharType="separate"/>
    </w:r>
    <w:r w:rsidR="00A92E90">
      <w:rPr>
        <w:noProof/>
        <w:color w:val="667085"/>
        <w:sz w:val="15"/>
        <w:szCs w:val="15"/>
      </w:rPr>
      <w:t>2</w:t>
    </w:r>
    <w:r>
      <w:rPr>
        <w:color w:val="667085"/>
        <w:sz w:val="15"/>
        <w:szCs w:val="15"/>
      </w:rPr>
      <w:fldChar w:fldCharType="end"/>
    </w:r>
    <w:r>
      <w:rPr>
        <w:color w:val="667085"/>
        <w:sz w:val="15"/>
        <w:szCs w:val="15"/>
      </w:rPr>
      <w:t xml:space="preserve"> of </w:t>
    </w:r>
    <w:r>
      <w:rPr>
        <w:color w:val="667085"/>
        <w:sz w:val="15"/>
        <w:szCs w:val="15"/>
      </w:rPr>
      <w:fldChar w:fldCharType="begin"/>
    </w:r>
    <w:r>
      <w:rPr>
        <w:color w:val="667085"/>
        <w:sz w:val="15"/>
        <w:szCs w:val="15"/>
      </w:rPr>
      <w:instrText>NUMPAGES</w:instrText>
    </w:r>
    <w:r>
      <w:rPr>
        <w:color w:val="667085"/>
        <w:sz w:val="15"/>
        <w:szCs w:val="15"/>
      </w:rPr>
      <w:fldChar w:fldCharType="separate"/>
    </w:r>
    <w:r w:rsidR="00A92E90">
      <w:rPr>
        <w:noProof/>
        <w:color w:val="667085"/>
        <w:sz w:val="15"/>
        <w:szCs w:val="15"/>
      </w:rPr>
      <w:t>3</w:t>
    </w:r>
    <w:r>
      <w:rPr>
        <w:color w:val="667085"/>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38E7DB" w14:textId="77777777" w:rsidR="00B07AB0" w:rsidRDefault="00B07AB0">
      <w:r>
        <w:separator/>
      </w:r>
    </w:p>
  </w:footnote>
  <w:footnote w:type="continuationSeparator" w:id="0">
    <w:p w14:paraId="5473D098" w14:textId="77777777" w:rsidR="00B07AB0" w:rsidRDefault="00B07A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2B56E1" w14:textId="77777777" w:rsidR="00D41190" w:rsidRDefault="00000000">
    <w:pPr>
      <w:pBdr>
        <w:bottom w:val="single" w:sz="4" w:space="4" w:color="D6DDE6"/>
      </w:pBdr>
      <w:tabs>
        <w:tab w:val="right" w:pos="10080"/>
      </w:tabs>
    </w:pPr>
    <w:r>
      <w:rPr>
        <w:color w:val="667085"/>
        <w:sz w:val="16"/>
        <w:szCs w:val="16"/>
      </w:rPr>
      <w:t>Abercrombie &amp; Fitch Co.  (NYSE: ANF)</w:t>
    </w:r>
    <w:r>
      <w:rPr>
        <w:color w:val="667085"/>
        <w:sz w:val="16"/>
        <w:szCs w:val="16"/>
      </w:rPr>
      <w:tab/>
      <w:t>Equity Research</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4E7731" w14:textId="77777777" w:rsidR="00D41190" w:rsidRDefault="00D4119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966334E"/>
    <w:multiLevelType w:val="hybridMultilevel"/>
    <w:tmpl w:val="D968FB44"/>
    <w:lvl w:ilvl="0" w:tplc="EFE0FDFA">
      <w:start w:val="1"/>
      <w:numFmt w:val="bullet"/>
      <w:lvlText w:val="●"/>
      <w:lvlJc w:val="left"/>
      <w:pPr>
        <w:ind w:left="720" w:hanging="360"/>
      </w:pPr>
    </w:lvl>
    <w:lvl w:ilvl="1" w:tplc="1292B6D4">
      <w:start w:val="1"/>
      <w:numFmt w:val="bullet"/>
      <w:lvlText w:val="○"/>
      <w:lvlJc w:val="left"/>
      <w:pPr>
        <w:ind w:left="1440" w:hanging="360"/>
      </w:pPr>
    </w:lvl>
    <w:lvl w:ilvl="2" w:tplc="6F080DE0">
      <w:start w:val="1"/>
      <w:numFmt w:val="bullet"/>
      <w:lvlText w:val="■"/>
      <w:lvlJc w:val="left"/>
      <w:pPr>
        <w:ind w:left="2160" w:hanging="360"/>
      </w:pPr>
    </w:lvl>
    <w:lvl w:ilvl="3" w:tplc="9D4CDCFA">
      <w:start w:val="1"/>
      <w:numFmt w:val="bullet"/>
      <w:lvlText w:val="●"/>
      <w:lvlJc w:val="left"/>
      <w:pPr>
        <w:ind w:left="2880" w:hanging="360"/>
      </w:pPr>
    </w:lvl>
    <w:lvl w:ilvl="4" w:tplc="F74E029A">
      <w:start w:val="1"/>
      <w:numFmt w:val="bullet"/>
      <w:lvlText w:val="○"/>
      <w:lvlJc w:val="left"/>
      <w:pPr>
        <w:ind w:left="3600" w:hanging="360"/>
      </w:pPr>
    </w:lvl>
    <w:lvl w:ilvl="5" w:tplc="2E722478">
      <w:start w:val="1"/>
      <w:numFmt w:val="bullet"/>
      <w:lvlText w:val="■"/>
      <w:lvlJc w:val="left"/>
      <w:pPr>
        <w:ind w:left="4320" w:hanging="360"/>
      </w:pPr>
    </w:lvl>
    <w:lvl w:ilvl="6" w:tplc="608A16C4">
      <w:start w:val="1"/>
      <w:numFmt w:val="bullet"/>
      <w:lvlText w:val="●"/>
      <w:lvlJc w:val="left"/>
      <w:pPr>
        <w:ind w:left="5040" w:hanging="360"/>
      </w:pPr>
    </w:lvl>
    <w:lvl w:ilvl="7" w:tplc="D0947AAE">
      <w:start w:val="1"/>
      <w:numFmt w:val="bullet"/>
      <w:lvlText w:val="●"/>
      <w:lvlJc w:val="left"/>
      <w:pPr>
        <w:ind w:left="5760" w:hanging="360"/>
      </w:pPr>
    </w:lvl>
    <w:lvl w:ilvl="8" w:tplc="079668D4">
      <w:start w:val="1"/>
      <w:numFmt w:val="bullet"/>
      <w:lvlText w:val="●"/>
      <w:lvlJc w:val="left"/>
      <w:pPr>
        <w:ind w:left="6480" w:hanging="360"/>
      </w:pPr>
    </w:lvl>
  </w:abstractNum>
  <w:abstractNum w:abstractNumId="1" w15:restartNumberingAfterBreak="0">
    <w:nsid w:val="573B2E98"/>
    <w:multiLevelType w:val="hybridMultilevel"/>
    <w:tmpl w:val="5D504E32"/>
    <w:lvl w:ilvl="0" w:tplc="40FC9440">
      <w:start w:val="1"/>
      <w:numFmt w:val="bullet"/>
      <w:lvlText w:val="–"/>
      <w:lvlJc w:val="left"/>
      <w:pPr>
        <w:ind w:left="360" w:hanging="220"/>
      </w:pPr>
      <w:rPr>
        <w:color w:val="335074"/>
      </w:rPr>
    </w:lvl>
    <w:lvl w:ilvl="1" w:tplc="E41499E8">
      <w:numFmt w:val="decimal"/>
      <w:lvlText w:val=""/>
      <w:lvlJc w:val="left"/>
    </w:lvl>
    <w:lvl w:ilvl="2" w:tplc="D61A56D0">
      <w:numFmt w:val="decimal"/>
      <w:lvlText w:val=""/>
      <w:lvlJc w:val="left"/>
    </w:lvl>
    <w:lvl w:ilvl="3" w:tplc="DFBEFA08">
      <w:numFmt w:val="decimal"/>
      <w:lvlText w:val=""/>
      <w:lvlJc w:val="left"/>
    </w:lvl>
    <w:lvl w:ilvl="4" w:tplc="CB5ADF7C">
      <w:numFmt w:val="decimal"/>
      <w:lvlText w:val=""/>
      <w:lvlJc w:val="left"/>
    </w:lvl>
    <w:lvl w:ilvl="5" w:tplc="13AAD620">
      <w:numFmt w:val="decimal"/>
      <w:lvlText w:val=""/>
      <w:lvlJc w:val="left"/>
    </w:lvl>
    <w:lvl w:ilvl="6" w:tplc="3EF00AD4">
      <w:numFmt w:val="decimal"/>
      <w:lvlText w:val=""/>
      <w:lvlJc w:val="left"/>
    </w:lvl>
    <w:lvl w:ilvl="7" w:tplc="BACA7A40">
      <w:numFmt w:val="decimal"/>
      <w:lvlText w:val=""/>
      <w:lvlJc w:val="left"/>
    </w:lvl>
    <w:lvl w:ilvl="8" w:tplc="55E24800">
      <w:numFmt w:val="decimal"/>
      <w:lvlText w:val=""/>
      <w:lvlJc w:val="left"/>
    </w:lvl>
  </w:abstractNum>
  <w:abstractNum w:abstractNumId="2" w15:restartNumberingAfterBreak="0">
    <w:nsid w:val="733F7A1A"/>
    <w:multiLevelType w:val="hybridMultilevel"/>
    <w:tmpl w:val="28BC0C8E"/>
    <w:lvl w:ilvl="0" w:tplc="E4181BD0">
      <w:start w:val="1"/>
      <w:numFmt w:val="bullet"/>
      <w:lvlText w:val="•"/>
      <w:lvlJc w:val="left"/>
      <w:pPr>
        <w:ind w:left="360" w:hanging="220"/>
      </w:pPr>
      <w:rPr>
        <w:color w:val="B11226"/>
      </w:rPr>
    </w:lvl>
    <w:lvl w:ilvl="1" w:tplc="6974FE26">
      <w:numFmt w:val="decimal"/>
      <w:lvlText w:val=""/>
      <w:lvlJc w:val="left"/>
    </w:lvl>
    <w:lvl w:ilvl="2" w:tplc="98C06E8E">
      <w:numFmt w:val="decimal"/>
      <w:lvlText w:val=""/>
      <w:lvlJc w:val="left"/>
    </w:lvl>
    <w:lvl w:ilvl="3" w:tplc="B368104E">
      <w:numFmt w:val="decimal"/>
      <w:lvlText w:val=""/>
      <w:lvlJc w:val="left"/>
    </w:lvl>
    <w:lvl w:ilvl="4" w:tplc="D4381E62">
      <w:numFmt w:val="decimal"/>
      <w:lvlText w:val=""/>
      <w:lvlJc w:val="left"/>
    </w:lvl>
    <w:lvl w:ilvl="5" w:tplc="E7C04D14">
      <w:numFmt w:val="decimal"/>
      <w:lvlText w:val=""/>
      <w:lvlJc w:val="left"/>
    </w:lvl>
    <w:lvl w:ilvl="6" w:tplc="70BAE9D8">
      <w:numFmt w:val="decimal"/>
      <w:lvlText w:val=""/>
      <w:lvlJc w:val="left"/>
    </w:lvl>
    <w:lvl w:ilvl="7" w:tplc="BB960F32">
      <w:numFmt w:val="decimal"/>
      <w:lvlText w:val=""/>
      <w:lvlJc w:val="left"/>
    </w:lvl>
    <w:lvl w:ilvl="8" w:tplc="413C18AC">
      <w:numFmt w:val="decimal"/>
      <w:lvlText w:val=""/>
      <w:lvlJc w:val="left"/>
    </w:lvl>
  </w:abstractNum>
  <w:num w:numId="1" w16cid:durableId="1588343879">
    <w:abstractNumId w:val="0"/>
    <w:lvlOverride w:ilvl="0">
      <w:startOverride w:val="1"/>
    </w:lvlOverride>
  </w:num>
  <w:num w:numId="2" w16cid:durableId="513960412">
    <w:abstractNumId w:val="2"/>
    <w:lvlOverride w:ilvl="0">
      <w:startOverride w:val="1"/>
    </w:lvlOverride>
  </w:num>
  <w:num w:numId="3" w16cid:durableId="2007856818">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190"/>
    <w:rsid w:val="00023350"/>
    <w:rsid w:val="000C1CB4"/>
    <w:rsid w:val="00102669"/>
    <w:rsid w:val="001C5DF5"/>
    <w:rsid w:val="002347F2"/>
    <w:rsid w:val="002437BD"/>
    <w:rsid w:val="00343053"/>
    <w:rsid w:val="008146EF"/>
    <w:rsid w:val="0094321C"/>
    <w:rsid w:val="00A66DA8"/>
    <w:rsid w:val="00A92E90"/>
    <w:rsid w:val="00B07AB0"/>
    <w:rsid w:val="00BF2A98"/>
    <w:rsid w:val="00D41190"/>
    <w:rsid w:val="00E07F63"/>
    <w:rsid w:val="00E335B4"/>
    <w:rsid w:val="00F9072C"/>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9FEB2"/>
  <w15:docId w15:val="{EDD074BE-525D-BE4E-9CF3-8B5031B2A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C1C1C"/>
        <w:lang w:val="en-001"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684</Words>
  <Characters>4747</Characters>
  <Application>Microsoft Office Word</Application>
  <DocSecurity>0</DocSecurity>
  <Lines>69</Lines>
  <Paragraphs>62</Paragraphs>
  <ScaleCrop>false</ScaleCrop>
  <Company/>
  <LinksUpToDate>false</LinksUpToDate>
  <CharactersWithSpaces>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Abercrombie &amp; Fitch Co. — Equity Research</dc:title>
  <dc:creator>Alejandro Llamazares</dc:creator>
  <dc:description>Equity research report on Abercrombie &amp; Fitch Co. (NYSE: ANF)</dc:description>
  <cp:lastModifiedBy>Alejandro Llamazares</cp:lastModifiedBy>
  <cp:revision>4</cp:revision>
  <cp:lastPrinted>2026-07-08T15:56:00Z</cp:lastPrinted>
  <dcterms:created xsi:type="dcterms:W3CDTF">2026-07-08T15:56:00Z</dcterms:created>
  <dcterms:modified xsi:type="dcterms:W3CDTF">2026-07-15T16:34:00Z</dcterms:modified>
</cp:coreProperties>
</file>