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0" w:beforeAutospacing="0" w:line="14" w:lineRule="atLeast"/>
        <w:ind w:left="0" w:firstLine="0"/>
        <w:jc w:val="center"/>
        <w:rPr>
          <w:rFonts w:hint="default" w:ascii="Arial" w:hAnsi="Arial" w:eastAsia="Arial" w:cs="Arial"/>
          <w:b/>
          <w:bCs/>
          <w:i w:val="0"/>
          <w:iCs w:val="0"/>
          <w:caps w:val="0"/>
          <w:color w:val="1D2125"/>
          <w:spacing w:val="0"/>
          <w:sz w:val="36"/>
          <w:szCs w:val="36"/>
          <w:u w:val="single"/>
          <w:lang w:val="es-ES"/>
        </w:rPr>
      </w:pPr>
      <w:r>
        <w:rPr>
          <w:rFonts w:hint="default" w:ascii="Arial" w:hAnsi="Arial" w:eastAsia="Arial" w:cs="Arial"/>
          <w:b/>
          <w:bCs/>
          <w:i w:val="0"/>
          <w:iCs w:val="0"/>
          <w:caps w:val="0"/>
          <w:color w:val="1D2125"/>
          <w:spacing w:val="0"/>
          <w:sz w:val="36"/>
          <w:szCs w:val="36"/>
          <w:u w:val="single"/>
        </w:rPr>
        <w:t>Análisis del macroentorno</w:t>
      </w:r>
      <w:r>
        <w:rPr>
          <w:rFonts w:hint="default" w:ascii="Arial" w:hAnsi="Arial" w:eastAsia="Arial" w:cs="Arial"/>
          <w:b/>
          <w:bCs/>
          <w:i w:val="0"/>
          <w:iCs w:val="0"/>
          <w:caps w:val="0"/>
          <w:color w:val="1D2125"/>
          <w:spacing w:val="0"/>
          <w:sz w:val="36"/>
          <w:szCs w:val="36"/>
          <w:u w:val="single"/>
          <w:lang w:val="es-ES"/>
        </w:rPr>
        <w:t xml:space="preserve"> - 2 DAM</w:t>
      </w:r>
    </w:p>
    <w:p>
      <w:pPr>
        <w:rPr>
          <w:rFonts w:hint="default" w:ascii="Arial" w:hAnsi="Arial" w:eastAsia="Arial" w:cs="Arial"/>
          <w:b/>
          <w:bCs/>
          <w:i w:val="0"/>
          <w:iCs w:val="0"/>
          <w:caps w:val="0"/>
          <w:color w:val="1D2125"/>
          <w:spacing w:val="0"/>
          <w:sz w:val="36"/>
          <w:szCs w:val="36"/>
          <w:u w:val="none"/>
          <w:lang w:val="es-ES"/>
        </w:rPr>
      </w:pPr>
      <w:r>
        <w:rPr>
          <w:rFonts w:hint="default" w:ascii="Arial" w:hAnsi="Arial" w:eastAsia="Arial" w:cs="Arial"/>
          <w:b/>
          <w:bCs/>
          <w:i w:val="0"/>
          <w:iCs w:val="0"/>
          <w:caps w:val="0"/>
          <w:color w:val="1D2125"/>
          <w:spacing w:val="0"/>
          <w:sz w:val="36"/>
          <w:szCs w:val="36"/>
          <w:u w:val="none"/>
          <w:lang w:val="es-ES"/>
        </w:rPr>
        <w:t>Empresa:  Inmobiliaria Sol Málaga</w:t>
      </w:r>
    </w:p>
    <w:p>
      <w:pPr>
        <w:rPr>
          <w:rFonts w:hint="default" w:ascii="Arial" w:hAnsi="Arial" w:eastAsia="Arial" w:cs="Arial"/>
          <w:b/>
          <w:bCs/>
          <w:i w:val="0"/>
          <w:iCs w:val="0"/>
          <w:caps w:val="0"/>
          <w:color w:val="1D2125"/>
          <w:spacing w:val="0"/>
          <w:sz w:val="36"/>
          <w:szCs w:val="36"/>
          <w:u w:val="none"/>
          <w:lang w:val="es-ES"/>
        </w:rPr>
      </w:pPr>
    </w:p>
    <w:p>
      <w:pPr>
        <w:jc w:val="center"/>
        <w:rPr>
          <w:rFonts w:hint="default" w:ascii="Arial" w:hAnsi="Arial" w:eastAsia="Arial" w:cs="Arial"/>
          <w:b/>
          <w:bCs/>
          <w:i w:val="0"/>
          <w:iCs w:val="0"/>
          <w:caps w:val="0"/>
          <w:color w:val="1D2125"/>
          <w:spacing w:val="0"/>
          <w:sz w:val="36"/>
          <w:szCs w:val="36"/>
          <w:u w:val="single"/>
          <w:lang w:val="es-ES"/>
        </w:rPr>
      </w:pPr>
      <w:r>
        <w:rPr>
          <w:rFonts w:hint="default" w:ascii="Arial" w:hAnsi="Arial" w:eastAsia="Arial" w:cs="Arial"/>
          <w:b/>
          <w:bCs/>
          <w:i w:val="0"/>
          <w:iCs w:val="0"/>
          <w:caps w:val="0"/>
          <w:color w:val="1D2125"/>
          <w:spacing w:val="0"/>
          <w:sz w:val="36"/>
          <w:szCs w:val="36"/>
          <w:u w:val="single"/>
          <w:lang w:val="es-ES"/>
        </w:rPr>
        <w:drawing>
          <wp:inline distT="0" distB="0" distL="114300" distR="114300">
            <wp:extent cx="5875655" cy="5875655"/>
            <wp:effectExtent l="0" t="0" r="6985" b="6985"/>
            <wp:docPr id="1" name="Picture 1" descr="DALL·E 2023-10-26 13.26.09 - Photo of Málaga's iconic architecture with a golden sun overlay on the top left. The name 'Sol Málaga' is placed at the bottom right in a stylish wh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LL·E 2023-10-26 13.26.09 - Photo of Málaga's iconic architecture with a golden sun overlay on the top left. The name 'Sol Málaga' is placed at the bottom right in a stylish whit"/>
                    <pic:cNvPicPr>
                      <a:picLocks noChangeAspect="1"/>
                    </pic:cNvPicPr>
                  </pic:nvPicPr>
                  <pic:blipFill>
                    <a:blip r:embed="rId5"/>
                    <a:stretch>
                      <a:fillRect/>
                    </a:stretch>
                  </pic:blipFill>
                  <pic:spPr>
                    <a:xfrm>
                      <a:off x="0" y="0"/>
                      <a:ext cx="5875655" cy="5875655"/>
                    </a:xfrm>
                    <a:prstGeom prst="rect">
                      <a:avLst/>
                    </a:prstGeom>
                  </pic:spPr>
                </pic:pic>
              </a:graphicData>
            </a:graphic>
          </wp:inline>
        </w:drawing>
      </w:r>
    </w:p>
    <w:p>
      <w:pPr>
        <w:rPr>
          <w:rFonts w:hint="default" w:ascii="Arial" w:hAnsi="Arial" w:eastAsia="Arial" w:cs="Arial"/>
          <w:b/>
          <w:bCs/>
          <w:i w:val="0"/>
          <w:iCs w:val="0"/>
          <w:caps w:val="0"/>
          <w:color w:val="1D2125"/>
          <w:spacing w:val="0"/>
          <w:sz w:val="36"/>
          <w:szCs w:val="36"/>
          <w:u w:val="single"/>
          <w:lang w:val="es-ES"/>
        </w:rPr>
      </w:pPr>
    </w:p>
    <w:p>
      <w:pPr>
        <w:rPr>
          <w:rFonts w:hint="default" w:ascii="Arial" w:hAnsi="Arial" w:eastAsia="Arial" w:cs="Arial"/>
          <w:b/>
          <w:bCs/>
          <w:i w:val="0"/>
          <w:iCs w:val="0"/>
          <w:caps w:val="0"/>
          <w:color w:val="1D2125"/>
          <w:spacing w:val="0"/>
          <w:sz w:val="36"/>
          <w:szCs w:val="36"/>
          <w:u w:val="single"/>
          <w:lang w:val="es-ES"/>
        </w:rPr>
      </w:pPr>
    </w:p>
    <w:p>
      <w:pPr>
        <w:rPr>
          <w:rFonts w:hint="default" w:ascii="Arial" w:hAnsi="Arial" w:eastAsia="Arial" w:cs="Arial"/>
          <w:b/>
          <w:bCs/>
          <w:i w:val="0"/>
          <w:iCs w:val="0"/>
          <w:caps w:val="0"/>
          <w:color w:val="1D2125"/>
          <w:spacing w:val="0"/>
          <w:sz w:val="36"/>
          <w:szCs w:val="36"/>
          <w:u w:val="single"/>
          <w:lang w:val="es-ES"/>
        </w:rPr>
      </w:pPr>
    </w:p>
    <w:p>
      <w:pPr>
        <w:rPr>
          <w:rFonts w:hint="default" w:ascii="Arial" w:hAnsi="Arial" w:eastAsia="Arial" w:cs="Arial"/>
          <w:b/>
          <w:bCs/>
          <w:i w:val="0"/>
          <w:iCs w:val="0"/>
          <w:caps w:val="0"/>
          <w:color w:val="1D2125"/>
          <w:spacing w:val="0"/>
          <w:sz w:val="36"/>
          <w:szCs w:val="36"/>
          <w:u w:val="single"/>
          <w:lang w:val="es-ES"/>
        </w:rPr>
      </w:pPr>
    </w:p>
    <w:p>
      <w:pPr>
        <w:rPr>
          <w:rFonts w:hint="default" w:ascii="Arial" w:hAnsi="Arial" w:eastAsia="Arial" w:cs="Arial"/>
          <w:b/>
          <w:bCs/>
          <w:i w:val="0"/>
          <w:iCs w:val="0"/>
          <w:caps w:val="0"/>
          <w:color w:val="1D2125"/>
          <w:spacing w:val="0"/>
          <w:sz w:val="36"/>
          <w:szCs w:val="36"/>
          <w:u w:val="single"/>
          <w:lang w:val="es-ES"/>
        </w:rPr>
      </w:pPr>
    </w:p>
    <w:p>
      <w:pPr>
        <w:rPr>
          <w:rFonts w:hint="default" w:ascii="Arial" w:hAnsi="Arial" w:eastAsia="Arial" w:cs="Arial"/>
          <w:b/>
          <w:bCs/>
          <w:i w:val="0"/>
          <w:iCs w:val="0"/>
          <w:caps w:val="0"/>
          <w:color w:val="1D2125"/>
          <w:spacing w:val="0"/>
          <w:sz w:val="36"/>
          <w:szCs w:val="36"/>
          <w:u w:val="single"/>
          <w:lang w:val="es-ES"/>
        </w:rPr>
      </w:pPr>
    </w:p>
    <w:p>
      <w:pPr>
        <w:rPr>
          <w:rFonts w:hint="default" w:ascii="Arial" w:hAnsi="Arial" w:eastAsia="Arial" w:cs="Arial"/>
          <w:b/>
          <w:bCs/>
          <w:i w:val="0"/>
          <w:iCs w:val="0"/>
          <w:caps w:val="0"/>
          <w:color w:val="1D2125"/>
          <w:spacing w:val="0"/>
          <w:sz w:val="36"/>
          <w:szCs w:val="36"/>
          <w:u w:val="single"/>
          <w:lang w:val="es-ES"/>
        </w:rPr>
      </w:pPr>
    </w:p>
    <w:p>
      <w:pPr>
        <w:jc w:val="left"/>
        <w:rPr>
          <w:rFonts w:hint="default" w:ascii="Arial" w:hAnsi="Arial" w:cs="Arial"/>
          <w:b/>
          <w:bCs/>
          <w:sz w:val="32"/>
          <w:szCs w:val="32"/>
        </w:rPr>
      </w:pPr>
      <w:r>
        <w:rPr>
          <w:rFonts w:hint="default" w:ascii="Arial" w:hAnsi="Arial" w:cs="Arial"/>
          <w:b/>
          <w:bCs/>
          <w:sz w:val="32"/>
          <w:szCs w:val="32"/>
        </w:rPr>
        <w:t>¿Cómo nos afectan los siguientes factores?</w:t>
      </w:r>
    </w:p>
    <w:p>
      <w:pPr>
        <w:jc w:val="left"/>
        <w:rPr>
          <w:rFonts w:hint="default" w:ascii="Arial" w:hAnsi="Arial" w:cs="Arial"/>
          <w:b/>
          <w:bCs/>
          <w:sz w:val="32"/>
          <w:szCs w:val="32"/>
        </w:rPr>
      </w:pPr>
    </w:p>
    <w:p>
      <w:pPr>
        <w:numPr>
          <w:ilvl w:val="0"/>
          <w:numId w:val="1"/>
        </w:numPr>
        <w:jc w:val="left"/>
        <w:rPr>
          <w:rFonts w:hint="default" w:ascii="Arial" w:hAnsi="Arial" w:cs="Arial"/>
          <w:b/>
          <w:bCs/>
          <w:sz w:val="32"/>
          <w:szCs w:val="32"/>
        </w:rPr>
      </w:pPr>
      <w:r>
        <w:rPr>
          <w:rFonts w:hint="default" w:ascii="Arial" w:hAnsi="Arial" w:cs="Arial"/>
          <w:b/>
          <w:bCs/>
          <w:sz w:val="32"/>
          <w:szCs w:val="32"/>
        </w:rPr>
        <w:t>Políticas. Buscar normativa política que nos pueda afectar. Breve introducción y enlace de la normativa.</w:t>
      </w:r>
    </w:p>
    <w:p>
      <w:pPr>
        <w:numPr>
          <w:ilvl w:val="0"/>
          <w:numId w:val="0"/>
        </w:numPr>
        <w:jc w:val="left"/>
        <w:rPr>
          <w:rFonts w:hint="default" w:ascii="Arial" w:hAnsi="Arial" w:cs="Arial"/>
          <w:b/>
          <w:bCs/>
          <w:sz w:val="32"/>
          <w:szCs w:val="32"/>
        </w:rPr>
      </w:pPr>
    </w:p>
    <w:p>
      <w:pPr>
        <w:numPr>
          <w:ilvl w:val="0"/>
          <w:numId w:val="1"/>
        </w:numPr>
        <w:ind w:left="0" w:leftChars="0" w:firstLine="0" w:firstLineChars="0"/>
        <w:jc w:val="left"/>
        <w:rPr>
          <w:rFonts w:hint="default" w:ascii="Arial" w:hAnsi="Arial" w:cs="Arial"/>
          <w:b/>
          <w:bCs/>
          <w:sz w:val="32"/>
          <w:szCs w:val="32"/>
        </w:rPr>
      </w:pPr>
      <w:r>
        <w:rPr>
          <w:rFonts w:hint="default" w:ascii="Arial" w:hAnsi="Arial" w:cs="Arial"/>
          <w:b/>
          <w:bCs/>
          <w:sz w:val="32"/>
          <w:szCs w:val="32"/>
        </w:rPr>
        <w:t>Sociales. Costumbres, hábitos que nos puedan afectar.</w:t>
      </w:r>
    </w:p>
    <w:p>
      <w:pPr>
        <w:numPr>
          <w:ilvl w:val="0"/>
          <w:numId w:val="0"/>
        </w:numPr>
        <w:ind w:leftChars="0"/>
        <w:jc w:val="left"/>
        <w:rPr>
          <w:rFonts w:hint="default" w:ascii="Arial" w:hAnsi="Arial" w:cs="Arial"/>
          <w:b/>
          <w:bCs/>
          <w:sz w:val="32"/>
          <w:szCs w:val="32"/>
        </w:rPr>
      </w:pPr>
    </w:p>
    <w:p>
      <w:pPr>
        <w:numPr>
          <w:ilvl w:val="0"/>
          <w:numId w:val="1"/>
        </w:numPr>
        <w:ind w:left="0" w:leftChars="0" w:firstLine="0" w:firstLineChars="0"/>
        <w:jc w:val="left"/>
        <w:rPr>
          <w:rFonts w:hint="default" w:ascii="Arial" w:hAnsi="Arial" w:cs="Arial"/>
          <w:b/>
          <w:bCs/>
          <w:sz w:val="32"/>
          <w:szCs w:val="32"/>
        </w:rPr>
      </w:pPr>
      <w:r>
        <w:rPr>
          <w:rFonts w:hint="default" w:ascii="Arial" w:hAnsi="Arial" w:cs="Arial"/>
          <w:b/>
          <w:bCs/>
          <w:sz w:val="32"/>
          <w:szCs w:val="32"/>
        </w:rPr>
        <w:t>Económicas. Inflación, tasa de paro, breve explicación y gráfico</w:t>
      </w:r>
    </w:p>
    <w:p>
      <w:pPr>
        <w:numPr>
          <w:ilvl w:val="0"/>
          <w:numId w:val="0"/>
        </w:numPr>
        <w:ind w:leftChars="0"/>
        <w:jc w:val="left"/>
        <w:rPr>
          <w:rFonts w:hint="default" w:ascii="Arial" w:hAnsi="Arial" w:cs="Arial"/>
          <w:b/>
          <w:bCs/>
          <w:sz w:val="32"/>
          <w:szCs w:val="32"/>
        </w:rPr>
      </w:pPr>
    </w:p>
    <w:p>
      <w:pPr>
        <w:numPr>
          <w:ilvl w:val="0"/>
          <w:numId w:val="1"/>
        </w:numPr>
        <w:ind w:left="0" w:leftChars="0" w:firstLine="0" w:firstLineChars="0"/>
        <w:jc w:val="left"/>
        <w:rPr>
          <w:rFonts w:hint="default" w:ascii="Arial" w:hAnsi="Arial" w:cs="Arial"/>
          <w:b/>
          <w:bCs/>
          <w:sz w:val="32"/>
          <w:szCs w:val="32"/>
        </w:rPr>
      </w:pPr>
      <w:r>
        <w:rPr>
          <w:rFonts w:hint="default" w:ascii="Arial" w:hAnsi="Arial" w:cs="Arial"/>
          <w:b/>
          <w:bCs/>
          <w:sz w:val="32"/>
          <w:szCs w:val="32"/>
        </w:rPr>
        <w:t>¿Cómo influye la tecnología en nuestro sector?</w:t>
      </w:r>
    </w:p>
    <w:p>
      <w:pPr>
        <w:numPr>
          <w:ilvl w:val="0"/>
          <w:numId w:val="0"/>
        </w:numPr>
        <w:ind w:leftChars="0"/>
        <w:jc w:val="left"/>
        <w:rPr>
          <w:rFonts w:hint="default" w:ascii="Arial" w:hAnsi="Arial" w:cs="Arial"/>
          <w:b/>
          <w:bCs/>
          <w:sz w:val="32"/>
          <w:szCs w:val="32"/>
        </w:rPr>
      </w:pPr>
    </w:p>
    <w:p>
      <w:pPr>
        <w:numPr>
          <w:ilvl w:val="0"/>
          <w:numId w:val="1"/>
        </w:numPr>
        <w:ind w:left="0" w:leftChars="0" w:firstLine="0" w:firstLineChars="0"/>
        <w:jc w:val="left"/>
        <w:rPr>
          <w:rFonts w:hint="default" w:ascii="Arial" w:hAnsi="Arial" w:cs="Arial"/>
          <w:b/>
          <w:bCs/>
          <w:sz w:val="32"/>
          <w:szCs w:val="32"/>
        </w:rPr>
      </w:pPr>
      <w:r>
        <w:rPr>
          <w:rFonts w:hint="default" w:ascii="Arial" w:hAnsi="Arial" w:cs="Arial"/>
          <w:b/>
          <w:bCs/>
          <w:sz w:val="32"/>
          <w:szCs w:val="32"/>
        </w:rPr>
        <w:t xml:space="preserve"> ¿Qué medidas medioambientales afectan a nuestra actividad?</w:t>
      </w:r>
      <w:r>
        <w:rPr>
          <w:rFonts w:hint="default" w:ascii="Arial" w:hAnsi="Arial" w:cs="Arial"/>
          <w:b/>
          <w:bCs/>
          <w:sz w:val="32"/>
          <w:szCs w:val="32"/>
          <w:lang w:val="es-ES"/>
        </w:rPr>
        <w:t xml:space="preserve"> </w:t>
      </w:r>
      <w:r>
        <w:rPr>
          <w:rFonts w:hint="default" w:ascii="Arial" w:hAnsi="Arial" w:cs="Arial"/>
          <w:b/>
          <w:bCs/>
          <w:sz w:val="32"/>
          <w:szCs w:val="32"/>
        </w:rPr>
        <w:t>Normativa y breve explicación</w:t>
      </w:r>
    </w:p>
    <w:p>
      <w:pPr>
        <w:numPr>
          <w:ilvl w:val="0"/>
          <w:numId w:val="0"/>
        </w:numPr>
        <w:ind w:leftChars="0"/>
        <w:jc w:val="left"/>
        <w:rPr>
          <w:rFonts w:hint="default" w:ascii="Arial" w:hAnsi="Arial" w:cs="Arial"/>
          <w:b/>
          <w:bCs/>
          <w:sz w:val="32"/>
          <w:szCs w:val="32"/>
        </w:rPr>
      </w:pPr>
    </w:p>
    <w:p>
      <w:pPr>
        <w:numPr>
          <w:ilvl w:val="0"/>
          <w:numId w:val="1"/>
        </w:numPr>
        <w:ind w:left="0" w:leftChars="0" w:firstLine="0" w:firstLineChars="0"/>
        <w:jc w:val="left"/>
        <w:rPr>
          <w:rFonts w:hint="default" w:ascii="Arial" w:hAnsi="Arial" w:cs="Arial"/>
          <w:b/>
          <w:bCs/>
          <w:sz w:val="32"/>
          <w:szCs w:val="32"/>
        </w:rPr>
      </w:pPr>
      <w:r>
        <w:rPr>
          <w:rFonts w:hint="default" w:ascii="Arial" w:hAnsi="Arial" w:cs="Arial"/>
          <w:b/>
          <w:bCs/>
          <w:sz w:val="32"/>
          <w:szCs w:val="32"/>
        </w:rPr>
        <w:t>¿Cómo nos afecta la globalización?</w:t>
      </w:r>
    </w:p>
    <w:p>
      <w:pPr>
        <w:rPr>
          <w:rFonts w:hint="default"/>
        </w:rPr>
      </w:pPr>
    </w:p>
    <w:p>
      <w:pPr>
        <w:rPr>
          <w:rFonts w:hint="default"/>
        </w:rPr>
      </w:pPr>
    </w:p>
    <w:p>
      <w:pPr>
        <w:numPr>
          <w:ilvl w:val="0"/>
          <w:numId w:val="2"/>
        </w:numPr>
        <w:rPr>
          <w:rFonts w:hint="default" w:ascii="Arial" w:hAnsi="Arial" w:cs="Arial"/>
          <w:sz w:val="24"/>
          <w:szCs w:val="24"/>
        </w:rPr>
      </w:pPr>
      <w:r>
        <w:rPr>
          <w:rFonts w:hint="default" w:ascii="Arial" w:hAnsi="Arial" w:cs="Arial"/>
          <w:b/>
          <w:bCs/>
          <w:sz w:val="24"/>
          <w:szCs w:val="24"/>
        </w:rPr>
        <w:t xml:space="preserve">Políticas: </w:t>
      </w:r>
      <w:r>
        <w:rPr>
          <w:rFonts w:hint="default" w:ascii="Arial" w:hAnsi="Arial" w:cs="Arial"/>
          <w:sz w:val="24"/>
          <w:szCs w:val="24"/>
        </w:rPr>
        <w:t xml:space="preserve">La normativa política puede tener un impacto significativo en el sector inmobiliario. El Convenio colectivo estatal para las empresas de gestión y mediación inmobiliaria es una normativa que podría ser relevante para </w:t>
      </w:r>
      <w:r>
        <w:rPr>
          <w:rFonts w:hint="default" w:ascii="Arial" w:hAnsi="Arial" w:cs="Arial"/>
          <w:sz w:val="24"/>
          <w:szCs w:val="24"/>
          <w:lang w:val="es-ES"/>
        </w:rPr>
        <w:t>mi</w:t>
      </w:r>
      <w:r>
        <w:rPr>
          <w:rFonts w:hint="default" w:ascii="Arial" w:hAnsi="Arial" w:cs="Arial"/>
          <w:sz w:val="24"/>
          <w:szCs w:val="24"/>
        </w:rPr>
        <w:t xml:space="preserve"> empresa. Este convenio establece las condiciones laborales para las empresas de gestión y mediación inmobiliaria en España.</w:t>
      </w:r>
    </w:p>
    <w:p>
      <w:pPr>
        <w:rPr>
          <w:rFonts w:hint="default" w:ascii="Arial" w:hAnsi="Arial" w:cs="Arial"/>
          <w:sz w:val="24"/>
          <w:szCs w:val="24"/>
        </w:rPr>
      </w:pPr>
    </w:p>
    <w:p>
      <w:pPr>
        <w:numPr>
          <w:ilvl w:val="0"/>
          <w:numId w:val="2"/>
        </w:numPr>
        <w:ind w:left="0" w:leftChars="0" w:firstLine="0" w:firstLineChars="0"/>
        <w:rPr>
          <w:rFonts w:hint="default" w:ascii="Arial" w:hAnsi="Arial" w:cs="Arial"/>
          <w:sz w:val="24"/>
          <w:szCs w:val="24"/>
        </w:rPr>
      </w:pPr>
      <w:r>
        <w:rPr>
          <w:rFonts w:hint="default" w:ascii="Arial" w:hAnsi="Arial" w:cs="Arial"/>
          <w:b/>
          <w:bCs/>
          <w:sz w:val="24"/>
          <w:szCs w:val="24"/>
        </w:rPr>
        <w:t xml:space="preserve">Sociales: </w:t>
      </w:r>
      <w:r>
        <w:rPr>
          <w:rFonts w:hint="default" w:ascii="Arial" w:hAnsi="Arial" w:cs="Arial"/>
          <w:sz w:val="24"/>
          <w:szCs w:val="24"/>
        </w:rPr>
        <w:t>Los hábitos y costumbres sociales también pueden afectar al sector inmobiliario. Por ejemplo, la pandemia de COVID-19 ha llevado a un aumento en la demanda de viviendas más grandes y con espacios exteriores.</w:t>
      </w:r>
    </w:p>
    <w:p>
      <w:pPr>
        <w:rPr>
          <w:rFonts w:hint="default" w:ascii="Arial" w:hAnsi="Arial" w:cs="Arial"/>
          <w:sz w:val="24"/>
          <w:szCs w:val="24"/>
        </w:rPr>
      </w:pPr>
    </w:p>
    <w:p>
      <w:pPr>
        <w:numPr>
          <w:ilvl w:val="0"/>
          <w:numId w:val="2"/>
        </w:numPr>
        <w:ind w:left="0" w:leftChars="0" w:firstLine="0" w:firstLineChars="0"/>
        <w:rPr>
          <w:rFonts w:hint="default" w:ascii="Arial" w:hAnsi="Arial" w:cs="Arial"/>
          <w:sz w:val="24"/>
          <w:szCs w:val="24"/>
        </w:rPr>
      </w:pPr>
      <w:r>
        <w:rPr>
          <w:rFonts w:hint="default" w:ascii="Arial" w:hAnsi="Arial" w:cs="Arial"/>
          <w:b/>
          <w:bCs/>
          <w:sz w:val="24"/>
          <w:szCs w:val="24"/>
        </w:rPr>
        <w:t xml:space="preserve">Económicas: </w:t>
      </w:r>
      <w:r>
        <w:rPr>
          <w:rFonts w:hint="default" w:ascii="Arial" w:hAnsi="Arial" w:cs="Arial"/>
          <w:sz w:val="24"/>
          <w:szCs w:val="24"/>
        </w:rPr>
        <w:t xml:space="preserve">La inflación y la tasa de paro son dos factores económicos que pueden afectar al sector inmobiliario. En España, la tasa anual del Índice de Precios de Consumo (IPC) general en el mes de mayo fue del 8,7%. El consumo energético y las emisiones del CO2 son dos aspectos importantes a tener en cuenta en el sector inmobiliario. </w:t>
      </w:r>
    </w:p>
    <w:p>
      <w:pPr>
        <w:numPr>
          <w:numId w:val="0"/>
        </w:numPr>
        <w:ind w:leftChars="0"/>
        <w:rPr>
          <w:rFonts w:hint="default" w:ascii="Arial" w:hAnsi="Arial" w:cs="Arial"/>
          <w:sz w:val="24"/>
          <w:szCs w:val="24"/>
          <w:lang w:val="es-ES"/>
        </w:rPr>
      </w:pPr>
      <w:r>
        <w:rPr>
          <w:rFonts w:hint="default" w:ascii="Arial" w:hAnsi="Arial" w:cs="Arial"/>
          <w:sz w:val="24"/>
          <w:szCs w:val="24"/>
          <w:lang w:val="es-ES"/>
        </w:rPr>
        <w:drawing>
          <wp:inline distT="0" distB="0" distL="114300" distR="114300">
            <wp:extent cx="4776470" cy="2804160"/>
            <wp:effectExtent l="0" t="0" r="8890" b="0"/>
            <wp:docPr id="3" name="Picture 3" descr="evolucion-del-indice-de-precios-de-consumo-ipc-1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volucion-del-indice-de-precios-de-consumo-ipc-11 (1)"/>
                    <pic:cNvPicPr>
                      <a:picLocks noChangeAspect="1"/>
                    </pic:cNvPicPr>
                  </pic:nvPicPr>
                  <pic:blipFill>
                    <a:blip r:embed="rId6"/>
                    <a:stretch>
                      <a:fillRect/>
                    </a:stretch>
                  </pic:blipFill>
                  <pic:spPr>
                    <a:xfrm>
                      <a:off x="0" y="0"/>
                      <a:ext cx="4776470" cy="2804160"/>
                    </a:xfrm>
                    <a:prstGeom prst="rect">
                      <a:avLst/>
                    </a:prstGeom>
                  </pic:spPr>
                </pic:pic>
              </a:graphicData>
            </a:graphic>
          </wp:inline>
        </w:drawing>
      </w:r>
    </w:p>
    <w:p>
      <w:pPr>
        <w:numPr>
          <w:numId w:val="0"/>
        </w:numPr>
        <w:ind w:leftChars="0"/>
        <w:rPr>
          <w:rFonts w:hint="default" w:ascii="Arial" w:hAnsi="Arial" w:cs="Arial"/>
          <w:sz w:val="24"/>
          <w:szCs w:val="24"/>
          <w:lang w:val="es-ES"/>
        </w:rPr>
      </w:pPr>
      <w:bookmarkStart w:id="0" w:name="_GoBack"/>
      <w:bookmarkEnd w:id="0"/>
    </w:p>
    <w:p>
      <w:pPr>
        <w:rPr>
          <w:rFonts w:hint="default" w:ascii="Arial" w:hAnsi="Arial" w:cs="Arial"/>
          <w:sz w:val="24"/>
          <w:szCs w:val="24"/>
        </w:rPr>
      </w:pPr>
    </w:p>
    <w:p>
      <w:pPr>
        <w:numPr>
          <w:ilvl w:val="0"/>
          <w:numId w:val="2"/>
        </w:numPr>
        <w:ind w:left="0" w:leftChars="0" w:firstLine="0" w:firstLineChars="0"/>
        <w:rPr>
          <w:rFonts w:hint="default" w:ascii="Arial" w:hAnsi="Arial" w:cs="Arial"/>
          <w:sz w:val="24"/>
          <w:szCs w:val="24"/>
        </w:rPr>
      </w:pPr>
      <w:r>
        <w:rPr>
          <w:rFonts w:hint="default" w:ascii="Arial" w:hAnsi="Arial" w:cs="Arial"/>
          <w:b/>
          <w:bCs/>
          <w:sz w:val="24"/>
          <w:szCs w:val="24"/>
        </w:rPr>
        <w:t>Tecnología:</w:t>
      </w:r>
      <w:r>
        <w:rPr>
          <w:rFonts w:hint="default" w:ascii="Arial" w:hAnsi="Arial" w:cs="Arial"/>
          <w:sz w:val="24"/>
          <w:szCs w:val="24"/>
        </w:rPr>
        <w:t xml:space="preserve"> La tecnología puede tener un impacto significativo en el sector inmobiliario. Las nuevas tecnologías como la inteligencia artificial, la robótica o la realidad virtual están revolucionando el sector inmobiliario. La industrialización, el uso de nuevos materiales y la digitalización son algunas innovaciones que están transformando la industria.</w:t>
      </w:r>
    </w:p>
    <w:p>
      <w:pPr>
        <w:rPr>
          <w:rFonts w:hint="default" w:ascii="Arial" w:hAnsi="Arial" w:cs="Arial"/>
          <w:sz w:val="24"/>
          <w:szCs w:val="24"/>
        </w:rPr>
      </w:pPr>
    </w:p>
    <w:p>
      <w:pPr>
        <w:numPr>
          <w:ilvl w:val="0"/>
          <w:numId w:val="2"/>
        </w:numPr>
        <w:ind w:left="0" w:leftChars="0" w:firstLine="0" w:firstLineChars="0"/>
        <w:rPr>
          <w:rFonts w:hint="default" w:ascii="Arial" w:hAnsi="Arial" w:cs="Arial"/>
          <w:sz w:val="24"/>
          <w:szCs w:val="24"/>
        </w:rPr>
      </w:pPr>
      <w:r>
        <w:rPr>
          <w:rFonts w:hint="default" w:ascii="Arial" w:hAnsi="Arial" w:cs="Arial"/>
          <w:b/>
          <w:bCs/>
          <w:sz w:val="24"/>
          <w:szCs w:val="24"/>
        </w:rPr>
        <w:t>Medio ambiente:</w:t>
      </w:r>
      <w:r>
        <w:rPr>
          <w:rFonts w:hint="default" w:ascii="Arial" w:hAnsi="Arial" w:cs="Arial"/>
          <w:sz w:val="24"/>
          <w:szCs w:val="24"/>
        </w:rPr>
        <w:t xml:space="preserve"> El sector inmobiliario tiene un impacto significativo en el medio ambiente. La sostenibilidad es cada vez más importante para los promotores y usuarios finales. Las medidas medioambientales que afectan al sector incluyen el desarrollo normativo y reglamentario orientado a una mayor eficiencia y ahorro en el consumo de energía en los edificios, así como políticas activas de fomento de la mejora energética de los edificios existentes y de alta eficiencia energética de los edificios nuevos.</w:t>
      </w:r>
    </w:p>
    <w:p>
      <w:pPr>
        <w:rPr>
          <w:rFonts w:hint="default" w:ascii="Arial" w:hAnsi="Arial" w:cs="Arial"/>
          <w:sz w:val="24"/>
          <w:szCs w:val="24"/>
        </w:rPr>
      </w:pPr>
    </w:p>
    <w:p>
      <w:pPr>
        <w:numPr>
          <w:ilvl w:val="0"/>
          <w:numId w:val="2"/>
        </w:numPr>
        <w:ind w:left="0" w:leftChars="0" w:firstLine="0" w:firstLineChars="0"/>
        <w:rPr>
          <w:rFonts w:hint="default" w:ascii="Arial" w:hAnsi="Arial" w:cs="Arial"/>
          <w:sz w:val="24"/>
          <w:szCs w:val="24"/>
        </w:rPr>
      </w:pPr>
      <w:r>
        <w:rPr>
          <w:rFonts w:hint="default" w:ascii="Arial" w:hAnsi="Arial" w:cs="Arial"/>
          <w:b/>
          <w:bCs/>
          <w:sz w:val="24"/>
          <w:szCs w:val="24"/>
          <w:lang w:val="es-ES"/>
        </w:rPr>
        <w:t>Globalización:</w:t>
      </w:r>
      <w:r>
        <w:rPr>
          <w:rFonts w:hint="default" w:ascii="Arial" w:hAnsi="Arial" w:cs="Arial"/>
          <w:sz w:val="24"/>
          <w:szCs w:val="24"/>
          <w:lang w:val="es-ES"/>
        </w:rPr>
        <w:t xml:space="preserve"> La globalizacíon</w:t>
      </w:r>
      <w:r>
        <w:rPr>
          <w:rFonts w:hint="default" w:ascii="Arial" w:hAnsi="Arial" w:cs="Arial"/>
          <w:sz w:val="24"/>
          <w:szCs w:val="24"/>
        </w:rPr>
        <w:t xml:space="preserve"> es un fenómeno que ha tenido un impacto significativo en el sector inmobiliario. La globalización ha llevado a una mayor competencia en el mercado inmobiliario, lo que ha llevado a una mayor presión sobre los precios y los márgenes de beneficio. Además, la globalización ha llevado a una mayor movilidad de la población, lo que ha llevado a un aumento en la demanda de viviendas y propiedades en todo el mundo.</w:t>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rFonts w:hint="default"/>
        <w:lang w:val="es-ES"/>
      </w:rPr>
    </w:pPr>
    <w:r>
      <w:rPr>
        <w:rFonts w:hint="default"/>
        <w:lang w:val="es-ES"/>
      </w:rPr>
      <w:t>Alejandro López Sepúlveda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B2D392"/>
    <w:multiLevelType w:val="singleLevel"/>
    <w:tmpl w:val="D2B2D392"/>
    <w:lvl w:ilvl="0" w:tentative="0">
      <w:start w:val="1"/>
      <w:numFmt w:val="decimal"/>
      <w:suff w:val="space"/>
      <w:lvlText w:val="%1."/>
      <w:lvlJc w:val="left"/>
    </w:lvl>
  </w:abstractNum>
  <w:abstractNum w:abstractNumId="1">
    <w:nsid w:val="57D74807"/>
    <w:multiLevelType w:val="singleLevel"/>
    <w:tmpl w:val="57D74807"/>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E804BF"/>
    <w:rsid w:val="13E804BF"/>
    <w:rsid w:val="37F33380"/>
    <w:rsid w:val="6E121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2023-10-26T11:20:00Z</dcterms:created>
  <dc:creator>Alejandro</dc:creator>
  <cp:lastModifiedBy>Alejandro</cp:lastModifiedBy>
  <dcterms:modified xsi:type="dcterms:W3CDTF">2023-10-26T11:48:25Z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AF127B41651D4748AC6FF5C92FF5707E_13</vt:lpwstr>
  </property>
</Properties>
</file>