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-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|  Duración: 30s  |  Palabras: 59  |  Ritmo: 116 ppm  |  Positividad: 71%  |  Muletillas: 0  |  Generado: 7/13/2026, 9:13:00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d39a14"/>
        </w:rPr>
        <w:t xml:space="preserve">Usually, executives who work throughout the USA understand that wealth and wealth are a matter in business. </w:t>
      </w:r>
      <w:r>
        <w:rPr>
          <w:color w:val="1f9d6b"/>
        </w:rPr>
        <w:t xml:space="preserve">Currently, many advantages are for companies that examine opportunities and establish clear strategies. </w:t>
      </w:r>
      <w:r>
        <w:rPr>
          <w:color w:val="1f9d6b"/>
        </w:rPr>
        <w:t xml:space="preserve">It is a true thought that who speaks Portuguese and decides to pursue new decisions require further more patience more patience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- Verde: positivo | Amarillo: neutral |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wjo9-plvx0r6qfg-sr75.png"/><Relationship Id="rId7" Type="http://schemas.openxmlformats.org/officeDocument/2006/relationships/image" Target="media/8qt7jtm97oqd4cw23v3rm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2026-07-14T02:13:00.243Z</dcterms:created>
  <dcterms:modified xsi:type="dcterms:W3CDTF">2026-07-14T02:13:00.243Z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