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25s  ·  Palabras: 58  ·  Ritmo: 138 ppm  ·  Positividad: 68%  ·  Muletillas: 1  ·  Generado: 7/11/2026, 1:26:10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When the US-CADC is from the USA, come to Latin America, they are looking for competitive salaries and other who can speak Portuguese, like here, I decide to pursue a career in a corporate business education field. </w:t>
      </w:r>
      <w:r>
        <w:rPr>
          <w:color w:val="1f9d6b"/>
        </w:rPr>
        <w:t xml:space="preserve">And currently, in studying chemistry and English, this is a true-fought path that through hard work, you can achieve new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lmccamxbqplje3wurdfpy.png"/><Relationship Id="rId7" Type="http://schemas.openxmlformats.org/officeDocument/2006/relationships/image" Target="media/h_zrpqh4d-kmzegd4noe5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2026-07-11T18:26:10.523Z</dcterms:created>
  <dcterms:modified xsi:type="dcterms:W3CDTF">2026-07-11T18:26:10.523Z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