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27s  ·  Palabras: 54  ·  Ritmo: 122 ppm  ·  Positividad: 49%  ·  Muletillas: 0  ·  Generado: 7/12/2026, 1:58:12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d39a14"/>
        </w:rPr>
        <w:t xml:space="preserve">It's not for executives who work throughout the USA understand that negotiation study requires further more patience and worth. </w:t>
      </w:r>
      <w:r>
        <w:rPr>
          <w:color w:val="1f9d6b"/>
        </w:rPr>
        <w:t xml:space="preserve">Currently, many advantages exist for those who can speak Portuguese and decide it to pursue a career in international business. </w:t>
      </w:r>
      <w:r>
        <w:rPr>
          <w:color w:val="d8232a"/>
        </w:rPr>
        <w:t xml:space="preserve">This is a true, full, fat, that through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04w47eyuukkjbnskjq5r.png"/><Relationship Id="rId7" Type="http://schemas.openxmlformats.org/officeDocument/2006/relationships/image" Target="media/-h91qlyy3b4jcxliqqjca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2026-07-12T18:58:12.257Z</dcterms:created>
  <dcterms:modified xsi:type="dcterms:W3CDTF">2026-07-12T18:58:12.257Z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