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33s  ·  Palabras: 53  ·  Ritmo: 95 ppm  ·  Positividad: 66%  ·  Muletillas: 0  ·  Generado: 7/11/2026, 11:25:14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d39a14"/>
        </w:rPr>
        <w:t xml:space="preserve">Through food executives who work throughout the USA understand that negotiation is that they require further more patience and work. </w:t>
      </w:r>
      <w:r>
        <w:rPr>
          <w:color w:val="1f9d6b"/>
        </w:rPr>
        <w:t xml:space="preserve">Currently, many advantages it is for those who can speak Portuguese and decide to pursue a career in international business. </w:t>
      </w:r>
      <w:r>
        <w:rPr>
          <w:color w:val="1f9d6b"/>
        </w:rPr>
        <w:t xml:space="preserve">It's a truthful fact that so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qg70snku9itaimpj4586s.png"/><Relationship Id="rId7" Type="http://schemas.openxmlformats.org/officeDocument/2006/relationships/image" Target="media/ix9waafzifbg31_cghmol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2026-07-12T04:25:14.476Z</dcterms:created>
  <dcterms:modified xsi:type="dcterms:W3CDTF">2026-07-12T04:25:14.476Z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