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w:t>
      </w:r>
      <w:r w:rsidR="00B80140">
        <w:rPr>
          <w:rFonts w:ascii="Arial" w:hAnsi="Arial" w:cs="Arial"/>
          <w:b/>
          <w:sz w:val="24"/>
        </w:rPr>
        <w:t>6</w:t>
      </w:r>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B80140" w:rsidRPr="00B80140" w:rsidRDefault="00B80140" w:rsidP="00B80140">
      <w:pPr>
        <w:jc w:val="both"/>
        <w:rPr>
          <w:rFonts w:ascii="Arial" w:hAnsi="Arial" w:cs="Arial"/>
          <w:sz w:val="24"/>
        </w:rPr>
      </w:pPr>
      <w:r w:rsidRPr="00B80140">
        <w:rPr>
          <w:rFonts w:ascii="Arial" w:hAnsi="Arial" w:cs="Arial"/>
          <w:sz w:val="24"/>
        </w:rPr>
        <w:t>Se agregó la página donde se podrán ver una lista de todos los reportes realizados hasta la fecha, la página cuenta con una tabla en la cual contiene todos los campos con los que se llenan los reportes, la lista esta ordenada por el número de reporte</w:t>
      </w:r>
      <w:r>
        <w:rPr>
          <w:rFonts w:ascii="Arial" w:hAnsi="Arial" w:cs="Arial"/>
          <w:sz w:val="24"/>
        </w:rPr>
        <w:t xml:space="preserve"> también contiene el nombre de la persona que atendió el reporte</w:t>
      </w:r>
      <w:r w:rsidRPr="00B80140">
        <w:rPr>
          <w:rFonts w:ascii="Arial" w:hAnsi="Arial" w:cs="Arial"/>
          <w:sz w:val="24"/>
        </w:rPr>
        <w:t>.</w:t>
      </w:r>
    </w:p>
    <w:p w:rsidR="00B80140" w:rsidRDefault="00B80140" w:rsidP="00C74279">
      <w:pPr>
        <w:jc w:val="both"/>
        <w:rPr>
          <w:rFonts w:ascii="Arial" w:hAnsi="Arial" w:cs="Arial"/>
          <w:b/>
          <w:sz w:val="24"/>
        </w:rPr>
      </w:pPr>
      <w:r w:rsidRPr="00B80140">
        <w:rPr>
          <w:rFonts w:ascii="Arial" w:hAnsi="Arial" w:cs="Arial"/>
          <w:sz w:val="24"/>
        </w:rPr>
        <w:t>La lista también contiene dos ac</w:t>
      </w:r>
      <w:r>
        <w:rPr>
          <w:rFonts w:ascii="Arial" w:hAnsi="Arial" w:cs="Arial"/>
          <w:sz w:val="24"/>
        </w:rPr>
        <w:t>ciones extras las cuales</w:t>
      </w:r>
      <w:r w:rsidRPr="00B80140">
        <w:rPr>
          <w:rFonts w:ascii="Arial" w:hAnsi="Arial" w:cs="Arial"/>
          <w:sz w:val="24"/>
        </w:rPr>
        <w:t xml:space="preserve"> son el editar y eliminar algún reporte los cuales mediante un botón la página te envía a una página nueva, si seleccionaste editar, la cual es muy similar a la página de crear donde puedes modificar cualquiera de los campos y poder guardar los cambios realizados para poder mostrar los datos en la ventana de editar se utiliza un método GET el cual muestra los datos guardados en la base de datos de acuerdo a el No_reporte seleccionado.</w:t>
      </w:r>
      <w:r>
        <w:rPr>
          <w:rFonts w:ascii="Arial" w:hAnsi="Arial" w:cs="Arial"/>
          <w:sz w:val="24"/>
        </w:rPr>
        <w:t xml:space="preserve"> Si se selecciona la opción eliminar el sistema te manda a una página nueva la cual te pregunta si estás seguro de eliminar el reporte y contiene las opciones de si, eliminar y cancelar una vez confirmando que se quiere eliminar te regresa al listado de reportes, si se selecciona la opción cancelar también de regresa a la página de listado solo que conserva el reporte que se había seleccionado.</w:t>
      </w:r>
      <w:bookmarkStart w:id="0" w:name="_GoBack"/>
      <w:bookmarkEnd w:id="0"/>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2B37C0"/>
    <w:rsid w:val="003513F9"/>
    <w:rsid w:val="0076726E"/>
    <w:rsid w:val="008035EB"/>
    <w:rsid w:val="00A2595A"/>
    <w:rsid w:val="00AD2A4C"/>
    <w:rsid w:val="00B33452"/>
    <w:rsid w:val="00B80140"/>
    <w:rsid w:val="00C020FD"/>
    <w:rsid w:val="00C7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2019-03-14T03:56:00Z</dcterms:created>
  <dcterms:modified xsi:type="dcterms:W3CDTF">2019-03-14T03:56:00Z</dcterms:modified>
</cp:coreProperties>
</file>