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D42B2B"/>
          <w:sz w:val="52"/>
          <w:szCs w:val="52"/>
        </w:rPr>
        <w:t xml:space="preserve">TELECROM SOLUTIONS</w:t>
      </w:r>
    </w:p>
    <w:p>
      <w:pPr>
        <w:spacing w:after="200"/>
        <w:jc w:val="center"/>
      </w:pPr>
      <w:r>
        <w:rPr>
          <w:color w:val="191919"/>
          <w:sz w:val="30"/>
          <w:szCs w:val="30"/>
        </w:rPr>
        <w:t xml:space="preserve">Catálogo de Automatizaciones n8n y Modelo Comercial</w:t>
      </w:r>
    </w:p>
    <w:p>
      <w:pPr>
        <w:spacing w:after="100"/>
        <w:jc w:val="center"/>
      </w:pPr>
      <w:r>
        <w:rPr>
          <w:i/>
          <w:iCs/>
          <w:color w:val="595959"/>
          <w:sz w:val="22"/>
          <w:szCs w:val="22"/>
        </w:rPr>
        <w:t xml:space="preserve">Licencias, precios de referencia y modelo de depósito de financiación</w:t>
      </w:r>
    </w:p>
    <w:p>
      <w:pPr>
        <w:spacing w:before="500"/>
        <w:jc w:val="center"/>
      </w:pPr>
      <w:r>
        <w:rPr>
          <w:color w:val="595959"/>
          <w:sz w:val="18"/>
          <w:szCs w:val="18"/>
        </w:rPr>
        <w:t xml:space="preserve">Documento interno — Alejandro Taborda</w:t>
      </w:r>
    </w:p>
    <w:p>
      <w:pPr>
        <w:spacing w:before="80"/>
        <w:jc w:val="center"/>
      </w:pPr>
      <w:r>
        <w:rPr>
          <w:color w:val="595959"/>
          <w:sz w:val="16"/>
          <w:szCs w:val="16"/>
        </w:rPr>
        <w:t xml:space="preserve">Precios de referencia investigados en septiembre de 2026. TRM usada: ~$3.200 COP/USD. Verificar antes de cotizar.</w:t>
      </w:r>
    </w:p>
    <w:p>
      <w:r>
        <w:br w:type="page"/>
      </w:r>
    </w:p>
    <w:p>
      <w:pPr>
        <w:pStyle w:val="Heading1"/>
        <w:pBdr>
          <w:bottom w:val="single" w:color="D42B2B" w:sz="6" w:space="4"/>
        </w:pBdr>
        <w:spacing w:after="200" w:before="400"/>
      </w:pPr>
      <w:r>
        <w:rPr>
          <w:b/>
          <w:bCs/>
          <w:color w:val="191919"/>
        </w:rPr>
        <w:t xml:space="preserve">1. Marco legal: qué permite n8n</w:t>
      </w:r>
    </w:p>
    <w:p>
      <w:pPr>
        <w:spacing w:after="160" w:line="300"/>
      </w:pPr>
      <w:r>
        <w:rPr>
          <w:color w:val="191919"/>
        </w:rPr>
        <w:t xml:space="preserve">n8n no es de código abierto tradicional: se distribuye bajo la Sustainable Use License (SUL), una licencia “fair-code”. Esto es clave porque define exactamente qué puede vender Telecrom sin necesitar un acuerdo comercial con n8n GmbH.</w:t>
      </w:r>
    </w:p>
    <w:p>
      <w:pPr>
        <w:pStyle w:val="Heading3"/>
        <w:spacing w:after="100" w:before="200"/>
      </w:pPr>
      <w:r>
        <w:rPr>
          <w:b/>
          <w:bCs/>
          <w:color w:val="191919"/>
        </w:rPr>
        <w:t xml:space="preserve">Permitido sin licencia de pago:</w:t>
      </w:r>
    </w:p>
    <w:p>
      <w:pPr>
        <w:pStyle w:val="ListParagraph"/>
        <w:numPr>
          <w:ilvl w:val="0"/>
          <w:numId w:val="2"/>
        </w:numPr>
        <w:spacing w:after="90"/>
      </w:pPr>
      <w:r>
        <w:rPr>
          <w:color w:val="191919"/>
        </w:rPr>
        <w:t xml:space="preserve">Autoalojar n8n (Community Edition) de forma gratuita, sin límite de flujos ni ejecuciones.</w:t>
      </w:r>
    </w:p>
    <w:p>
      <w:pPr>
        <w:pStyle w:val="ListParagraph"/>
        <w:numPr>
          <w:ilvl w:val="0"/>
          <w:numId w:val="2"/>
        </w:numPr>
        <w:spacing w:after="90"/>
      </w:pPr>
      <w:r>
        <w:rPr>
          <w:color w:val="191919"/>
        </w:rPr>
        <w:t xml:space="preserve">Construir automatizaciones para clientes en una instancia propia de Telecrom, siempre que el cliente no tenga la posibilidad de crear o editar los flujos directamente.</w:t>
      </w:r>
    </w:p>
    <w:p>
      <w:pPr>
        <w:pStyle w:val="ListParagraph"/>
        <w:numPr>
          <w:ilvl w:val="0"/>
          <w:numId w:val="2"/>
        </w:numPr>
        <w:spacing w:after="90"/>
      </w:pPr>
      <w:r>
        <w:rPr>
          <w:color w:val="191919"/>
        </w:rPr>
        <w:t xml:space="preserve">Cobrar a los clientes por construcción, configuración, mantenimiento, capacitación y consultoría de automatizaciones.</w:t>
      </w:r>
    </w:p>
    <w:p>
      <w:pPr>
        <w:pStyle w:val="Heading3"/>
        <w:spacing w:after="100" w:before="200"/>
      </w:pPr>
      <w:r>
        <w:rPr>
          <w:b/>
          <w:bCs/>
          <w:color w:val="191919"/>
        </w:rPr>
        <w:t xml:space="preserve">No permitido sin un acuerdo comercial con n8n:</w:t>
      </w:r>
    </w:p>
    <w:p>
      <w:pPr>
        <w:pStyle w:val="ListParagraph"/>
        <w:numPr>
          <w:ilvl w:val="0"/>
          <w:numId w:val="2"/>
        </w:numPr>
        <w:spacing w:after="90"/>
      </w:pPr>
      <w:r>
        <w:rPr>
          <w:color w:val="191919"/>
        </w:rPr>
        <w:t xml:space="preserve">Revender n8n como un producto propio (“white-label”) o alojarlo como servicio SaaS cobrando acceso directo a la herramienta.</w:t>
      </w:r>
    </w:p>
    <w:p>
      <w:pPr>
        <w:pStyle w:val="ListParagraph"/>
        <w:numPr>
          <w:ilvl w:val="0"/>
          <w:numId w:val="2"/>
        </w:numPr>
        <w:spacing w:after="90"/>
      </w:pPr>
      <w:r>
        <w:rPr>
          <w:color w:val="191919"/>
        </w:rPr>
        <w:t xml:space="preserve">Hospedar de forma permanente las credenciales o los flujos de un cliente en una instancia comercializada como si fuera un producto propio de Telecrom sin ese acuerdo — para ese caso existe la licencia Enterprise de n8n.</w:t>
      </w:r>
    </w:p>
    <w:p>
      <w:pPr>
        <w:pBdr>
          <w:left w:val="single" w:color="D42B2B" w:sz="18" w:space="8"/>
        </w:pBdr>
        <w:spacing w:after="200" w:before="150"/>
        <w:ind w:left="400"/>
      </w:pPr>
      <w:r>
        <w:rPr>
          <w:i/>
          <w:iCs/>
          <w:color w:val="595959"/>
          <w:sz w:val="20"/>
          <w:szCs w:val="20"/>
        </w:rPr>
        <w:t xml:space="preserve">Conclusión práctica: el modelo de Telecrom encaja exactamente en lo permitido. Telecrom no vende “n8n”, vende el resultado — el flujo de trabajo funcionando — usando n8n como motor interno. Por eso el contrato con el cliente debe hablar siempre de “licencia de uso del sistema/automatización desarrollado por Telecrom”, nunca de “vender n8n”.</w:t>
      </w:r>
    </w:p>
    <w:p>
      <w:pPr>
        <w:pStyle w:val="Heading1"/>
        <w:pBdr>
          <w:bottom w:val="single" w:color="D42B2B" w:sz="6" w:space="4"/>
        </w:pBdr>
        <w:spacing w:after="200" w:before="400"/>
      </w:pPr>
      <w:r>
        <w:rPr>
          <w:b/>
          <w:bCs/>
          <w:color w:val="191919"/>
        </w:rPr>
        <w:t xml:space="preserve">2. Precios de referencia de mercado (investigación septiembre 2026)</w:t>
      </w:r>
    </w:p>
    <w:p>
      <w:pPr>
        <w:spacing w:after="160" w:line="300"/>
      </w:pPr>
      <w:r>
        <w:rPr>
          <w:color w:val="191919"/>
        </w:rPr>
        <w:t xml:space="preserve">Estos valores ubican a Telecrom frente al mercado real. No son el precio final: son el rango dentro del cual Telecrom debe posicionarse — más accesible que una agencia extranjera, pero por encima del freelancer sin estructura, porque Telecrom entrega acompañamiento continuo.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100"/>
      </w:tblGrid>
      <w:tr>
        <w:trPr>
          <w:tblHeader/>
        </w:trPr>
        <w:tc>
          <w:tcPr>
            <w:tcW w:type="dxa" w:w="4200"/>
            <w:shd w:fill="191919" w:val="clear"/>
            <w:tcMar>
              <w:top w:type="dxa" w:w="80"/>
              <w:left w:type="dxa" w:w="100"/>
              <w:bottom w:type="dxa" w:w="80"/>
              <w:right w:type="dxa" w:w="100"/>
            </w:tcMar>
            <w:vAlign w:val="center"/>
          </w:tcPr>
          <w:p>
            <w:pPr>
              <w:jc w:val="left"/>
            </w:pPr>
            <w:r>
              <w:rPr>
                <w:b/>
                <w:bCs/>
                <w:color w:val="FFFFFF"/>
                <w:sz w:val="19"/>
                <w:szCs w:val="19"/>
              </w:rPr>
              <w:t xml:space="preserve">Servicio de referencia</w:t>
            </w:r>
          </w:p>
        </w:tc>
        <w:tc>
          <w:tcPr>
            <w:tcW w:type="dxa" w:w="3200"/>
            <w:shd w:fill="191919" w:val="clear"/>
            <w:tcMar>
              <w:top w:type="dxa" w:w="80"/>
              <w:left w:type="dxa" w:w="100"/>
              <w:bottom w:type="dxa" w:w="80"/>
              <w:right w:type="dxa" w:w="100"/>
            </w:tcMar>
            <w:vAlign w:val="center"/>
          </w:tcPr>
          <w:p>
            <w:pPr>
              <w:jc w:val="left"/>
            </w:pPr>
            <w:r>
              <w:rPr>
                <w:b/>
                <w:bCs/>
                <w:color w:val="FFFFFF"/>
                <w:sz w:val="19"/>
                <w:szCs w:val="19"/>
              </w:rPr>
              <w:t xml:space="preserve">Rango de mercado</w:t>
            </w:r>
          </w:p>
        </w:tc>
        <w:tc>
          <w:tcPr>
            <w:tcW w:type="dxa" w:w="2100"/>
            <w:shd w:fill="191919" w:val="clear"/>
            <w:tcMar>
              <w:top w:type="dxa" w:w="80"/>
              <w:left w:type="dxa" w:w="100"/>
              <w:bottom w:type="dxa" w:w="80"/>
              <w:right w:type="dxa" w:w="100"/>
            </w:tcMar>
            <w:vAlign w:val="center"/>
          </w:tcPr>
          <w:p>
            <w:pPr>
              <w:jc w:val="left"/>
            </w:pPr>
            <w:r>
              <w:rPr>
                <w:b/>
                <w:bCs/>
                <w:color w:val="FFFFFF"/>
                <w:sz w:val="19"/>
                <w:szCs w:val="19"/>
              </w:rPr>
              <w:t xml:space="preserve">Fuente</w:t>
            </w:r>
          </w:p>
        </w:tc>
      </w:tr>
      <w:tr>
        <w:tc>
          <w:tcPr>
            <w:tcW w:type="dxa" w:w="4200"/>
            <w:tcMar>
              <w:top w:type="dxa" w:w="80"/>
              <w:left w:type="dxa" w:w="100"/>
              <w:bottom w:type="dxa" w:w="80"/>
              <w:right w:type="dxa" w:w="100"/>
            </w:tcMar>
            <w:vAlign w:val="center"/>
          </w:tcPr>
          <w:p>
            <w:pPr>
              <w:jc w:val="left"/>
            </w:pPr>
            <w:r>
              <w:rPr>
                <w:b w:val="false"/>
                <w:bCs w:val="false"/>
                <w:color w:val="191919"/>
                <w:sz w:val="19"/>
                <w:szCs w:val="19"/>
              </w:rPr>
              <w:t xml:space="preserve">n8n Cloud (si algún día se usa en vez de autoalojado)</w:t>
            </w:r>
          </w:p>
        </w:tc>
        <w:tc>
          <w:tcPr>
            <w:tcW w:type="dxa" w:w="3200"/>
            <w:tcMar>
              <w:top w:type="dxa" w:w="80"/>
              <w:left w:type="dxa" w:w="100"/>
              <w:bottom w:type="dxa" w:w="80"/>
              <w:right w:type="dxa" w:w="100"/>
            </w:tcMar>
            <w:vAlign w:val="center"/>
          </w:tcPr>
          <w:p>
            <w:pPr>
              <w:jc w:val="left"/>
            </w:pPr>
            <w:r>
              <w:rPr>
                <w:b w:val="false"/>
                <w:bCs w:val="false"/>
                <w:color w:val="191919"/>
                <w:sz w:val="19"/>
                <w:szCs w:val="19"/>
              </w:rPr>
              <w:t xml:space="preserve">USD 20–60/mes (Starter/Pro)</w:t>
            </w:r>
          </w:p>
        </w:tc>
        <w:tc>
          <w:tcPr>
            <w:tcW w:type="dxa" w:w="2100"/>
            <w:tcMar>
              <w:top w:type="dxa" w:w="80"/>
              <w:left w:type="dxa" w:w="100"/>
              <w:bottom w:type="dxa" w:w="80"/>
              <w:right w:type="dxa" w:w="100"/>
            </w:tcMar>
            <w:vAlign w:val="center"/>
          </w:tcPr>
          <w:p>
            <w:pPr>
              <w:jc w:val="left"/>
            </w:pPr>
            <w:r>
              <w:rPr>
                <w:b w:val="false"/>
                <w:bCs w:val="false"/>
                <w:color w:val="191919"/>
                <w:sz w:val="19"/>
                <w:szCs w:val="19"/>
              </w:rPr>
              <w:t xml:space="preserve">n8n.io, 2026</w:t>
            </w:r>
          </w:p>
        </w:tc>
      </w:tr>
      <w:tr>
        <w:tc>
          <w:tcPr>
            <w:tcW w:type="dxa" w:w="42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VPS propio para autoalojar n8n</w:t>
            </w:r>
          </w:p>
        </w:tc>
        <w:tc>
          <w:tcPr>
            <w:tcW w:type="dxa" w:w="32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USD 5–20/mes</w:t>
            </w:r>
          </w:p>
        </w:tc>
        <w:tc>
          <w:tcPr>
            <w:tcW w:type="dxa" w:w="21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Hetzner / DigitalOcean / Hostinger</w:t>
            </w:r>
          </w:p>
        </w:tc>
      </w:tr>
      <w:tr>
        <w:tc>
          <w:tcPr>
            <w:tcW w:type="dxa" w:w="4200"/>
            <w:tcMar>
              <w:top w:type="dxa" w:w="80"/>
              <w:left w:type="dxa" w:w="100"/>
              <w:bottom w:type="dxa" w:w="80"/>
              <w:right w:type="dxa" w:w="100"/>
            </w:tcMar>
            <w:vAlign w:val="center"/>
          </w:tcPr>
          <w:p>
            <w:pPr>
              <w:jc w:val="left"/>
            </w:pPr>
            <w:r>
              <w:rPr>
                <w:b w:val="false"/>
                <w:bCs w:val="false"/>
                <w:color w:val="191919"/>
                <w:sz w:val="19"/>
                <w:szCs w:val="19"/>
              </w:rPr>
              <w:t xml:space="preserve">Automatización simple (1 flujo, agencia)</w:t>
            </w:r>
          </w:p>
        </w:tc>
        <w:tc>
          <w:tcPr>
            <w:tcW w:type="dxa" w:w="3200"/>
            <w:tcMar>
              <w:top w:type="dxa" w:w="80"/>
              <w:left w:type="dxa" w:w="100"/>
              <w:bottom w:type="dxa" w:w="80"/>
              <w:right w:type="dxa" w:w="100"/>
            </w:tcMar>
            <w:vAlign w:val="center"/>
          </w:tcPr>
          <w:p>
            <w:pPr>
              <w:jc w:val="left"/>
            </w:pPr>
            <w:r>
              <w:rPr>
                <w:b w:val="false"/>
                <w:bCs w:val="false"/>
                <w:color w:val="191919"/>
                <w:sz w:val="19"/>
                <w:szCs w:val="19"/>
              </w:rPr>
              <w:t xml:space="preserve">USD 400–2.500 único pago</w:t>
            </w:r>
          </w:p>
        </w:tc>
        <w:tc>
          <w:tcPr>
            <w:tcW w:type="dxa" w:w="2100"/>
            <w:tcMar>
              <w:top w:type="dxa" w:w="80"/>
              <w:left w:type="dxa" w:w="100"/>
              <w:bottom w:type="dxa" w:w="80"/>
              <w:right w:type="dxa" w:w="100"/>
            </w:tcMar>
            <w:vAlign w:val="center"/>
          </w:tcPr>
          <w:p>
            <w:pPr>
              <w:jc w:val="left"/>
            </w:pPr>
            <w:r>
              <w:rPr>
                <w:b w:val="false"/>
                <w:bCs w:val="false"/>
                <w:color w:val="191919"/>
                <w:sz w:val="19"/>
                <w:szCs w:val="19"/>
              </w:rPr>
              <w:t xml:space="preserve">Mercado agencias 2026</w:t>
            </w:r>
          </w:p>
        </w:tc>
      </w:tr>
      <w:tr>
        <w:tc>
          <w:tcPr>
            <w:tcW w:type="dxa" w:w="42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Sistema multi-flujo (3–6 flujos conectados)</w:t>
            </w:r>
          </w:p>
        </w:tc>
        <w:tc>
          <w:tcPr>
            <w:tcW w:type="dxa" w:w="32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USD 1.500–4.500 único pago</w:t>
            </w:r>
          </w:p>
        </w:tc>
        <w:tc>
          <w:tcPr>
            <w:tcW w:type="dxa" w:w="21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Mercado agencias n8n 2026</w:t>
            </w:r>
          </w:p>
        </w:tc>
      </w:tr>
      <w:tr>
        <w:tc>
          <w:tcPr>
            <w:tcW w:type="dxa" w:w="4200"/>
            <w:tcMar>
              <w:top w:type="dxa" w:w="80"/>
              <w:left w:type="dxa" w:w="100"/>
              <w:bottom w:type="dxa" w:w="80"/>
              <w:right w:type="dxa" w:w="100"/>
            </w:tcMar>
            <w:vAlign w:val="center"/>
          </w:tcPr>
          <w:p>
            <w:pPr>
              <w:jc w:val="left"/>
            </w:pPr>
            <w:r>
              <w:rPr>
                <w:b w:val="false"/>
                <w:bCs w:val="false"/>
                <w:color w:val="191919"/>
                <w:sz w:val="19"/>
                <w:szCs w:val="19"/>
              </w:rPr>
              <w:t xml:space="preserve">Retenedor mensual de mantenimiento</w:t>
            </w:r>
          </w:p>
        </w:tc>
        <w:tc>
          <w:tcPr>
            <w:tcW w:type="dxa" w:w="3200"/>
            <w:tcMar>
              <w:top w:type="dxa" w:w="80"/>
              <w:left w:type="dxa" w:w="100"/>
              <w:bottom w:type="dxa" w:w="80"/>
              <w:right w:type="dxa" w:w="100"/>
            </w:tcMar>
            <w:vAlign w:val="center"/>
          </w:tcPr>
          <w:p>
            <w:pPr>
              <w:jc w:val="left"/>
            </w:pPr>
            <w:r>
              <w:rPr>
                <w:b w:val="false"/>
                <w:bCs w:val="false"/>
                <w:color w:val="191919"/>
                <w:sz w:val="19"/>
                <w:szCs w:val="19"/>
              </w:rPr>
              <w:t xml:space="preserve">USD 300–3.500/mes</w:t>
            </w:r>
          </w:p>
        </w:tc>
        <w:tc>
          <w:tcPr>
            <w:tcW w:type="dxa" w:w="2100"/>
            <w:tcMar>
              <w:top w:type="dxa" w:w="80"/>
              <w:left w:type="dxa" w:w="100"/>
              <w:bottom w:type="dxa" w:w="80"/>
              <w:right w:type="dxa" w:w="100"/>
            </w:tcMar>
            <w:vAlign w:val="center"/>
          </w:tcPr>
          <w:p>
            <w:pPr>
              <w:jc w:val="left"/>
            </w:pPr>
            <w:r>
              <w:rPr>
                <w:b w:val="false"/>
                <w:bCs w:val="false"/>
                <w:color w:val="191919"/>
                <w:sz w:val="19"/>
                <w:szCs w:val="19"/>
              </w:rPr>
              <w:t xml:space="preserve">Mercado agencias automatización 2026</w:t>
            </w:r>
          </w:p>
        </w:tc>
      </w:tr>
      <w:tr>
        <w:tc>
          <w:tcPr>
            <w:tcW w:type="dxa" w:w="42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Página web landing (Colombia)</w:t>
            </w:r>
          </w:p>
        </w:tc>
        <w:tc>
          <w:tcPr>
            <w:tcW w:type="dxa" w:w="32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$800.000–$3.000.000 COP</w:t>
            </w:r>
          </w:p>
        </w:tc>
        <w:tc>
          <w:tcPr>
            <w:tcW w:type="dxa" w:w="21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Mercado web Colombia 2026</w:t>
            </w:r>
          </w:p>
        </w:tc>
      </w:tr>
      <w:tr>
        <w:tc>
          <w:tcPr>
            <w:tcW w:type="dxa" w:w="4200"/>
            <w:tcMar>
              <w:top w:type="dxa" w:w="80"/>
              <w:left w:type="dxa" w:w="100"/>
              <w:bottom w:type="dxa" w:w="80"/>
              <w:right w:type="dxa" w:w="100"/>
            </w:tcMar>
            <w:vAlign w:val="center"/>
          </w:tcPr>
          <w:p>
            <w:pPr>
              <w:jc w:val="left"/>
            </w:pPr>
            <w:r>
              <w:rPr>
                <w:b w:val="false"/>
                <w:bCs w:val="false"/>
                <w:color w:val="191919"/>
                <w:sz w:val="19"/>
                <w:szCs w:val="19"/>
              </w:rPr>
              <w:t xml:space="preserve">Página web corporativa (Colombia)</w:t>
            </w:r>
          </w:p>
        </w:tc>
        <w:tc>
          <w:tcPr>
            <w:tcW w:type="dxa" w:w="3200"/>
            <w:tcMar>
              <w:top w:type="dxa" w:w="80"/>
              <w:left w:type="dxa" w:w="100"/>
              <w:bottom w:type="dxa" w:w="80"/>
              <w:right w:type="dxa" w:w="100"/>
            </w:tcMar>
            <w:vAlign w:val="center"/>
          </w:tcPr>
          <w:p>
            <w:pPr>
              <w:jc w:val="left"/>
            </w:pPr>
            <w:r>
              <w:rPr>
                <w:b w:val="false"/>
                <w:bCs w:val="false"/>
                <w:color w:val="191919"/>
                <w:sz w:val="19"/>
                <w:szCs w:val="19"/>
              </w:rPr>
              <w:t xml:space="preserve">$2.000.000–$6.000.000 COP</w:t>
            </w:r>
          </w:p>
        </w:tc>
        <w:tc>
          <w:tcPr>
            <w:tcW w:type="dxa" w:w="2100"/>
            <w:tcMar>
              <w:top w:type="dxa" w:w="80"/>
              <w:left w:type="dxa" w:w="100"/>
              <w:bottom w:type="dxa" w:w="80"/>
              <w:right w:type="dxa" w:w="100"/>
            </w:tcMar>
            <w:vAlign w:val="center"/>
          </w:tcPr>
          <w:p>
            <w:pPr>
              <w:jc w:val="left"/>
            </w:pPr>
            <w:r>
              <w:rPr>
                <w:b w:val="false"/>
                <w:bCs w:val="false"/>
                <w:color w:val="191919"/>
                <w:sz w:val="19"/>
                <w:szCs w:val="19"/>
              </w:rPr>
              <w:t xml:space="preserve">Mercado web Colombia 2026</w:t>
            </w:r>
          </w:p>
        </w:tc>
      </w:tr>
      <w:tr>
        <w:tc>
          <w:tcPr>
            <w:tcW w:type="dxa" w:w="42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Identidad visual / branding básico (Colombia)</w:t>
            </w:r>
          </w:p>
        </w:tc>
        <w:tc>
          <w:tcPr>
            <w:tcW w:type="dxa" w:w="32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$1.000.000–$2.000.000 COP</w:t>
            </w:r>
          </w:p>
        </w:tc>
        <w:tc>
          <w:tcPr>
            <w:tcW w:type="dxa" w:w="21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Mercado branding Colombia 2026</w:t>
            </w:r>
          </w:p>
        </w:tc>
      </w:tr>
      <w:tr>
        <w:tc>
          <w:tcPr>
            <w:tcW w:type="dxa" w:w="4200"/>
            <w:tcMar>
              <w:top w:type="dxa" w:w="80"/>
              <w:left w:type="dxa" w:w="100"/>
              <w:bottom w:type="dxa" w:w="80"/>
              <w:right w:type="dxa" w:w="100"/>
            </w:tcMar>
            <w:vAlign w:val="center"/>
          </w:tcPr>
          <w:p>
            <w:pPr>
              <w:jc w:val="left"/>
            </w:pPr>
            <w:r>
              <w:rPr>
                <w:b w:val="false"/>
                <w:bCs w:val="false"/>
                <w:color w:val="191919"/>
                <w:sz w:val="19"/>
                <w:szCs w:val="19"/>
              </w:rPr>
              <w:t xml:space="preserve">Branding completo con manual de marca (Colombia)</w:t>
            </w:r>
          </w:p>
        </w:tc>
        <w:tc>
          <w:tcPr>
            <w:tcW w:type="dxa" w:w="3200"/>
            <w:tcMar>
              <w:top w:type="dxa" w:w="80"/>
              <w:left w:type="dxa" w:w="100"/>
              <w:bottom w:type="dxa" w:w="80"/>
              <w:right w:type="dxa" w:w="100"/>
            </w:tcMar>
            <w:vAlign w:val="center"/>
          </w:tcPr>
          <w:p>
            <w:pPr>
              <w:jc w:val="left"/>
            </w:pPr>
            <w:r>
              <w:rPr>
                <w:b w:val="false"/>
                <w:bCs w:val="false"/>
                <w:color w:val="191919"/>
                <w:sz w:val="19"/>
                <w:szCs w:val="19"/>
              </w:rPr>
              <w:t xml:space="preserve">$3.000.000–$6.000.000 COP</w:t>
            </w:r>
          </w:p>
        </w:tc>
        <w:tc>
          <w:tcPr>
            <w:tcW w:type="dxa" w:w="2100"/>
            <w:tcMar>
              <w:top w:type="dxa" w:w="80"/>
              <w:left w:type="dxa" w:w="100"/>
              <w:bottom w:type="dxa" w:w="80"/>
              <w:right w:type="dxa" w:w="100"/>
            </w:tcMar>
            <w:vAlign w:val="center"/>
          </w:tcPr>
          <w:p>
            <w:pPr>
              <w:jc w:val="left"/>
            </w:pPr>
            <w:r>
              <w:rPr>
                <w:b w:val="false"/>
                <w:bCs w:val="false"/>
                <w:color w:val="191919"/>
                <w:sz w:val="19"/>
                <w:szCs w:val="19"/>
              </w:rPr>
              <w:t xml:space="preserve">Mercado branding Colombia 2026</w:t>
            </w:r>
          </w:p>
        </w:tc>
      </w:tr>
      <w:tr>
        <w:tc>
          <w:tcPr>
            <w:tcW w:type="dxa" w:w="42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Auditoría de vulnerabilidades básica (pyme)</w:t>
            </w:r>
          </w:p>
        </w:tc>
        <w:tc>
          <w:tcPr>
            <w:tcW w:type="dxa" w:w="32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USD 500–1.500 (€450–2.500)</w:t>
            </w:r>
          </w:p>
        </w:tc>
        <w:tc>
          <w:tcPr>
            <w:tcW w:type="dxa" w:w="21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Mercado ciberseguridad 2026</w:t>
            </w:r>
          </w:p>
        </w:tc>
      </w:tr>
      <w:tr>
        <w:tc>
          <w:tcPr>
            <w:tcW w:type="dxa" w:w="4200"/>
            <w:tcMar>
              <w:top w:type="dxa" w:w="80"/>
              <w:left w:type="dxa" w:w="100"/>
              <w:bottom w:type="dxa" w:w="80"/>
              <w:right w:type="dxa" w:w="100"/>
            </w:tcMar>
            <w:vAlign w:val="center"/>
          </w:tcPr>
          <w:p>
            <w:pPr>
              <w:jc w:val="left"/>
            </w:pPr>
            <w:r>
              <w:rPr>
                <w:b w:val="false"/>
                <w:bCs w:val="false"/>
                <w:color w:val="191919"/>
                <w:sz w:val="19"/>
                <w:szCs w:val="19"/>
              </w:rPr>
              <w:t xml:space="preserve">Pentesting básico (pyme pequeña)</w:t>
            </w:r>
          </w:p>
        </w:tc>
        <w:tc>
          <w:tcPr>
            <w:tcW w:type="dxa" w:w="3200"/>
            <w:tcMar>
              <w:top w:type="dxa" w:w="80"/>
              <w:left w:type="dxa" w:w="100"/>
              <w:bottom w:type="dxa" w:w="80"/>
              <w:right w:type="dxa" w:w="100"/>
            </w:tcMar>
            <w:vAlign w:val="center"/>
          </w:tcPr>
          <w:p>
            <w:pPr>
              <w:jc w:val="left"/>
            </w:pPr>
            <w:r>
              <w:rPr>
                <w:b w:val="false"/>
                <w:bCs w:val="false"/>
                <w:color w:val="191919"/>
                <w:sz w:val="19"/>
                <w:szCs w:val="19"/>
              </w:rPr>
              <w:t xml:space="preserve">USD 800–2.200 (€800–2.000)</w:t>
            </w:r>
          </w:p>
        </w:tc>
        <w:tc>
          <w:tcPr>
            <w:tcW w:type="dxa" w:w="2100"/>
            <w:tcMar>
              <w:top w:type="dxa" w:w="80"/>
              <w:left w:type="dxa" w:w="100"/>
              <w:bottom w:type="dxa" w:w="80"/>
              <w:right w:type="dxa" w:w="100"/>
            </w:tcMar>
            <w:vAlign w:val="center"/>
          </w:tcPr>
          <w:p>
            <w:pPr>
              <w:jc w:val="left"/>
            </w:pPr>
            <w:r>
              <w:rPr>
                <w:b w:val="false"/>
                <w:bCs w:val="false"/>
                <w:color w:val="191919"/>
                <w:sz w:val="19"/>
                <w:szCs w:val="19"/>
              </w:rPr>
              <w:t xml:space="preserve">Mercado ciberseguridad 2026</w:t>
            </w:r>
          </w:p>
        </w:tc>
      </w:tr>
    </w:tbl>
    <w:p>
      <w:pPr>
        <w:pStyle w:val="Heading1"/>
        <w:pBdr>
          <w:bottom w:val="single" w:color="D42B2B" w:sz="6" w:space="4"/>
        </w:pBdr>
        <w:spacing w:after="200" w:before="400"/>
      </w:pPr>
      <w:r>
        <w:rPr>
          <w:b/>
          <w:bCs/>
          <w:color w:val="191919"/>
        </w:rPr>
        <w:t xml:space="preserve">3. Modelo de licencias propuesto (no venta de producto)</w:t>
      </w:r>
    </w:p>
    <w:p>
      <w:pPr>
        <w:spacing w:after="160" w:line="300"/>
      </w:pPr>
      <w:r>
        <w:rPr>
          <w:color w:val="191919"/>
        </w:rPr>
        <w:t xml:space="preserve">Telecrom no vende software como producto tangible. El cliente contrata una licencia de uso sobre el sistema o automatización desarrollado, con soporte y mantenimiento incluidos mientras la licencia esté activa. Si el cliente cancela, pierde el acceso al sistema en producción (el hosting y las APIs se dan de baja), pero conserva lo pactado en el contrato sobre entregables de marca (logo, manual, etc., que sí son propiedad transferida).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2000"/>
      </w:tblGrid>
      <w:tr>
        <w:trPr>
          <w:tblHeader/>
        </w:trPr>
        <w:tc>
          <w:tcPr>
            <w:tcW w:type="dxa" w:w="2200"/>
            <w:shd w:fill="191919" w:val="clear"/>
            <w:tcMar>
              <w:top w:type="dxa" w:w="80"/>
              <w:left w:type="dxa" w:w="100"/>
              <w:bottom w:type="dxa" w:w="80"/>
              <w:right w:type="dxa" w:w="100"/>
            </w:tcMar>
            <w:vAlign w:val="center"/>
          </w:tcPr>
          <w:p>
            <w:pPr>
              <w:jc w:val="left"/>
            </w:pPr>
            <w:r>
              <w:rPr>
                <w:b/>
                <w:bCs/>
                <w:color w:val="FFFFFF"/>
                <w:sz w:val="19"/>
                <w:szCs w:val="19"/>
              </w:rPr>
              <w:t xml:space="preserve">Plan</w:t>
            </w:r>
          </w:p>
        </w:tc>
        <w:tc>
          <w:tcPr>
            <w:tcW w:type="dxa" w:w="5300"/>
            <w:shd w:fill="191919" w:val="clear"/>
            <w:tcMar>
              <w:top w:type="dxa" w:w="80"/>
              <w:left w:type="dxa" w:w="100"/>
              <w:bottom w:type="dxa" w:w="80"/>
              <w:right w:type="dxa" w:w="100"/>
            </w:tcMar>
            <w:vAlign w:val="center"/>
          </w:tcPr>
          <w:p>
            <w:pPr>
              <w:jc w:val="left"/>
            </w:pPr>
            <w:r>
              <w:rPr>
                <w:b/>
                <w:bCs/>
                <w:color w:val="FFFFFF"/>
                <w:sz w:val="19"/>
                <w:szCs w:val="19"/>
              </w:rPr>
              <w:t xml:space="preserve">Incluye</w:t>
            </w:r>
          </w:p>
        </w:tc>
        <w:tc>
          <w:tcPr>
            <w:tcW w:type="dxa" w:w="2000"/>
            <w:shd w:fill="191919" w:val="clear"/>
            <w:tcMar>
              <w:top w:type="dxa" w:w="80"/>
              <w:left w:type="dxa" w:w="100"/>
              <w:bottom w:type="dxa" w:w="80"/>
              <w:right w:type="dxa" w:w="100"/>
            </w:tcMar>
            <w:vAlign w:val="center"/>
          </w:tcPr>
          <w:p>
            <w:pPr>
              <w:jc w:val="left"/>
            </w:pPr>
            <w:r>
              <w:rPr>
                <w:b/>
                <w:bCs/>
                <w:color w:val="FFFFFF"/>
                <w:sz w:val="19"/>
                <w:szCs w:val="19"/>
              </w:rPr>
              <w:t xml:space="preserve">Precio sugerido (COP/mes)</w:t>
            </w:r>
          </w:p>
        </w:tc>
      </w:tr>
      <w:tr>
        <w:tc>
          <w:tcPr>
            <w:tcW w:type="dxa" w:w="2200"/>
            <w:tcMar>
              <w:top w:type="dxa" w:w="80"/>
              <w:left w:type="dxa" w:w="100"/>
              <w:bottom w:type="dxa" w:w="80"/>
              <w:right w:type="dxa" w:w="100"/>
            </w:tcMar>
            <w:vAlign w:val="center"/>
          </w:tcPr>
          <w:p>
            <w:pPr>
              <w:jc w:val="left"/>
            </w:pPr>
            <w:r>
              <w:rPr>
                <w:b w:val="false"/>
                <w:bCs w:val="false"/>
                <w:color w:val="191919"/>
                <w:sz w:val="19"/>
                <w:szCs w:val="19"/>
              </w:rPr>
              <w:t xml:space="preserve">Esencial</w:t>
            </w:r>
          </w:p>
        </w:tc>
        <w:tc>
          <w:tcPr>
            <w:tcW w:type="dxa" w:w="5300"/>
            <w:tcMar>
              <w:top w:type="dxa" w:w="80"/>
              <w:left w:type="dxa" w:w="100"/>
              <w:bottom w:type="dxa" w:w="80"/>
              <w:right w:type="dxa" w:w="100"/>
            </w:tcMar>
            <w:vAlign w:val="center"/>
          </w:tcPr>
          <w:p>
            <w:pPr>
              <w:jc w:val="left"/>
            </w:pPr>
            <w:r>
              <w:rPr>
                <w:b w:val="false"/>
                <w:bCs w:val="false"/>
                <w:color w:val="191919"/>
                <w:sz w:val="19"/>
                <w:szCs w:val="19"/>
              </w:rPr>
              <w:t xml:space="preserve">1 automatización activa + hosting compartido + soporte por WhatsApp/correo</w:t>
            </w:r>
          </w:p>
        </w:tc>
        <w:tc>
          <w:tcPr>
            <w:tcW w:type="dxa" w:w="2000"/>
            <w:tcMar>
              <w:top w:type="dxa" w:w="80"/>
              <w:left w:type="dxa" w:w="100"/>
              <w:bottom w:type="dxa" w:w="80"/>
              <w:right w:type="dxa" w:w="100"/>
            </w:tcMar>
            <w:vAlign w:val="center"/>
          </w:tcPr>
          <w:p>
            <w:pPr>
              <w:jc w:val="left"/>
            </w:pPr>
            <w:r>
              <w:rPr>
                <w:b w:val="false"/>
                <w:bCs w:val="false"/>
                <w:color w:val="191919"/>
                <w:sz w:val="19"/>
                <w:szCs w:val="19"/>
              </w:rPr>
              <w:t xml:space="preserve">$350.000 – $600.000</w:t>
            </w:r>
          </w:p>
        </w:tc>
      </w:tr>
      <w:tr>
        <w:tc>
          <w:tcPr>
            <w:tcW w:type="dxa" w:w="22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Profesional</w:t>
            </w:r>
          </w:p>
        </w:tc>
        <w:tc>
          <w:tcPr>
            <w:tcW w:type="dxa" w:w="53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Hasta 3 automatizaciones + web corporativa + monitoreo básico + 2h de ajustes/mes</w:t>
            </w:r>
          </w:p>
        </w:tc>
        <w:tc>
          <w:tcPr>
            <w:tcW w:type="dxa" w:w="20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$800.000 – $1.500.000</w:t>
            </w:r>
          </w:p>
        </w:tc>
      </w:tr>
      <w:tr>
        <w:tc>
          <w:tcPr>
            <w:tcW w:type="dxa" w:w="2200"/>
            <w:tcMar>
              <w:top w:type="dxa" w:w="80"/>
              <w:left w:type="dxa" w:w="100"/>
              <w:bottom w:type="dxa" w:w="80"/>
              <w:right w:type="dxa" w:w="100"/>
            </w:tcMar>
            <w:vAlign w:val="center"/>
          </w:tcPr>
          <w:p>
            <w:pPr>
              <w:jc w:val="left"/>
            </w:pPr>
            <w:r>
              <w:rPr>
                <w:b w:val="false"/>
                <w:bCs w:val="false"/>
                <w:color w:val="191919"/>
                <w:sz w:val="19"/>
                <w:szCs w:val="19"/>
              </w:rPr>
              <w:t xml:space="preserve">Integral</w:t>
            </w:r>
          </w:p>
        </w:tc>
        <w:tc>
          <w:tcPr>
            <w:tcW w:type="dxa" w:w="5300"/>
            <w:tcMar>
              <w:top w:type="dxa" w:w="80"/>
              <w:left w:type="dxa" w:w="100"/>
              <w:bottom w:type="dxa" w:w="80"/>
              <w:right w:type="dxa" w:w="100"/>
            </w:tcMar>
            <w:vAlign w:val="center"/>
          </w:tcPr>
          <w:p>
            <w:pPr>
              <w:jc w:val="left"/>
            </w:pPr>
            <w:r>
              <w:rPr>
                <w:b w:val="false"/>
                <w:bCs w:val="false"/>
                <w:color w:val="191919"/>
                <w:sz w:val="19"/>
                <w:szCs w:val="19"/>
              </w:rPr>
              <w:t xml:space="preserve">Automatizaciones ilimitadas dentro de capacidad del servidor + web + branding + revisión de seguridad trimestral</w:t>
            </w:r>
          </w:p>
        </w:tc>
        <w:tc>
          <w:tcPr>
            <w:tcW w:type="dxa" w:w="2000"/>
            <w:tcMar>
              <w:top w:type="dxa" w:w="80"/>
              <w:left w:type="dxa" w:w="100"/>
              <w:bottom w:type="dxa" w:w="80"/>
              <w:right w:type="dxa" w:w="100"/>
            </w:tcMar>
            <w:vAlign w:val="center"/>
          </w:tcPr>
          <w:p>
            <w:pPr>
              <w:jc w:val="left"/>
            </w:pPr>
            <w:r>
              <w:rPr>
                <w:b w:val="false"/>
                <w:bCs w:val="false"/>
                <w:color w:val="191919"/>
                <w:sz w:val="19"/>
                <w:szCs w:val="19"/>
              </w:rPr>
              <w:t xml:space="preserve">$1.800.000 – $3.500.000</w:t>
            </w:r>
          </w:p>
        </w:tc>
      </w:tr>
    </w:tbl>
    <w:p>
      <w:pPr>
        <w:pBdr>
          <w:left w:val="single" w:color="D42B2B" w:sz="18" w:space="8"/>
        </w:pBdr>
        <w:spacing w:after="200" w:before="150"/>
        <w:ind w:left="400"/>
      </w:pPr>
      <w:r>
        <w:rPr>
          <w:i/>
          <w:iCs/>
          <w:color w:val="595959"/>
          <w:sz w:val="20"/>
          <w:szCs w:val="20"/>
        </w:rPr>
        <w:t xml:space="preserve">Estos valores son un punto de partida para la primera ronda de clientes piloto. Ajustar hacia arriba a medida que el portafolio de casos reales crezca y Telecrom deje de necesitar el depósito para financiar cada proyecto.</w:t>
      </w:r>
    </w:p>
    <w:p>
      <w:pPr>
        <w:pStyle w:val="Heading1"/>
        <w:pBdr>
          <w:bottom w:val="single" w:color="D42B2B" w:sz="6" w:space="4"/>
        </w:pBdr>
        <w:spacing w:after="200" w:before="400"/>
      </w:pPr>
      <w:r>
        <w:rPr>
          <w:b/>
          <w:bCs/>
          <w:color w:val="191919"/>
        </w:rPr>
        <w:t xml:space="preserve">4. Catálogo de automatizaciones para el portafolio (n8n + herramientas gratuitas)</w:t>
      </w:r>
    </w:p>
    <w:p>
      <w:pPr>
        <w:spacing w:after="160" w:line="300"/>
      </w:pPr>
      <w:r>
        <w:rPr>
          <w:color w:val="191919"/>
        </w:rPr>
        <w:t xml:space="preserve">Estas automatizaciones se pueden construir hoy, sin costo de licencias, usando n8n autoalojado (gratis bajo la SUL) más herramientas con capa gratuita. Sirven para que el cliente las pruebe en la web y para mostrar capacidad real. Cada una indica qué se reemplazaría por una API de pago en la versión final del cliente — ese costo es la base para calcular el depósito.</w:t>
      </w:r>
    </w:p>
    <w:p>
      <w:pPr>
        <w:pStyle w:val="Heading2"/>
        <w:spacing w:after="140" w:before="280"/>
      </w:pPr>
      <w:r>
        <w:rPr>
          <w:b/>
          <w:bCs/>
          <w:color w:val="D42B2B"/>
        </w:rPr>
        <w:t xml:space="preserve">4.1 Captura y calificación de leads desde formulario web</w:t>
      </w:r>
    </w:p>
    <w:p>
      <w:pPr>
        <w:pStyle w:val="ListParagraph"/>
        <w:numPr>
          <w:ilvl w:val="0"/>
          <w:numId w:val="2"/>
        </w:numPr>
        <w:spacing w:after="90"/>
      </w:pPr>
      <w:r>
        <w:rPr>
          <w:b/>
          <w:bCs/>
          <w:color w:val="191919"/>
        </w:rPr>
        <w:t xml:space="preserve">Flujo gratuito de demostración:</w:t>
      </w:r>
      <w:r>
        <w:rPr>
          <w:color w:val="191919"/>
        </w:rPr>
        <w:t xml:space="preserve"> Formulario de la web (webhook de n8n) → valida datos → guarda en Google Sheets → envía notificación por correo (Gmail/SMTP) al equipo.</w:t>
      </w:r>
    </w:p>
    <w:p>
      <w:pPr>
        <w:pStyle w:val="ListParagraph"/>
        <w:numPr>
          <w:ilvl w:val="0"/>
          <w:numId w:val="2"/>
        </w:numPr>
        <w:spacing w:after="90"/>
      </w:pPr>
      <w:r>
        <w:rPr>
          <w:b/>
          <w:bCs/>
          <w:color w:val="191919"/>
        </w:rPr>
        <w:t xml:space="preserve">Con IA (aún gratis):</w:t>
      </w:r>
      <w:r>
        <w:rPr>
          <w:color w:val="191919"/>
        </w:rPr>
        <w:t xml:space="preserve"> IA de calificación automática del lead (Gemini API, capa gratuita: ~1.500 solicitudes/día en modelos Flash) que asigna prioridad y sugiere primer mensaje de respuesta.</w:t>
      </w:r>
    </w:p>
    <w:p>
      <w:pPr>
        <w:pStyle w:val="ListParagraph"/>
        <w:numPr>
          <w:ilvl w:val="0"/>
          <w:numId w:val="2"/>
        </w:numPr>
        <w:spacing w:after="90"/>
      </w:pPr>
      <w:r>
        <w:rPr>
          <w:b/>
          <w:bCs/>
          <w:color w:val="191919"/>
        </w:rPr>
        <w:t xml:space="preserve">Versión de pago para el cliente:</w:t>
      </w:r>
      <w:r>
        <w:rPr>
          <w:color w:val="191919"/>
        </w:rPr>
        <w:t xml:space="preserve"> Notificación instantánea por WhatsApp Business API al equipo comercial cuando llega un lead caliente. Costo real: ~USD 0,0008 por mensaje de utilidad en Colombia — prácticamente insignificante incluso en volumen.</w:t>
      </w:r>
    </w:p>
    <w:p>
      <w:pPr>
        <w:pStyle w:val="Heading2"/>
        <w:spacing w:after="140" w:before="280"/>
      </w:pPr>
      <w:r>
        <w:rPr>
          <w:b/>
          <w:bCs/>
          <w:color w:val="D42B2B"/>
        </w:rPr>
        <w:t xml:space="preserve">4.2 Respuesta automática de atención al cliente (WhatsApp/Chat)</w:t>
      </w:r>
    </w:p>
    <w:p>
      <w:pPr>
        <w:pStyle w:val="ListParagraph"/>
        <w:numPr>
          <w:ilvl w:val="0"/>
          <w:numId w:val="2"/>
        </w:numPr>
        <w:spacing w:after="90"/>
      </w:pPr>
      <w:r>
        <w:rPr>
          <w:b/>
          <w:bCs/>
          <w:color w:val="191919"/>
        </w:rPr>
        <w:t xml:space="preserve">Flujo gratuito de demostración:</w:t>
      </w:r>
      <w:r>
        <w:rPr>
          <w:color w:val="191919"/>
        </w:rPr>
        <w:t xml:space="preserve"> Bot con n8n + Telegram (gratis, sin límites de mensajes) que responde preguntas frecuentes desde una base de conocimiento simple.</w:t>
      </w:r>
    </w:p>
    <w:p>
      <w:pPr>
        <w:pStyle w:val="ListParagraph"/>
        <w:numPr>
          <w:ilvl w:val="0"/>
          <w:numId w:val="2"/>
        </w:numPr>
        <w:spacing w:after="90"/>
      </w:pPr>
      <w:r>
        <w:rPr>
          <w:b/>
          <w:bCs/>
          <w:color w:val="191919"/>
        </w:rPr>
        <w:t xml:space="preserve">Versión de pago para el cliente:</w:t>
      </w:r>
      <w:r>
        <w:rPr>
          <w:color w:val="191919"/>
        </w:rPr>
        <w:t xml:space="preserve"> Migrar de Telegram a WhatsApp Business Cloud API. Los mensajes de servicio dentro de la ventana de 24h son gratuitos (con tope de 1.000/mes por número desde oct. 2026); fuera de esa ventana se cobra por plantilla, desde USD 0,0008 en Colombia.</w:t>
      </w:r>
    </w:p>
    <w:p>
      <w:pPr>
        <w:pStyle w:val="Heading2"/>
        <w:spacing w:after="140" w:before="280"/>
      </w:pPr>
      <w:r>
        <w:rPr>
          <w:b/>
          <w:bCs/>
          <w:color w:val="D42B2B"/>
        </w:rPr>
        <w:t xml:space="preserve">4.3 Reportes automáticos semanales</w:t>
      </w:r>
    </w:p>
    <w:p>
      <w:pPr>
        <w:pStyle w:val="ListParagraph"/>
        <w:numPr>
          <w:ilvl w:val="0"/>
          <w:numId w:val="2"/>
        </w:numPr>
        <w:spacing w:after="90"/>
      </w:pPr>
      <w:r>
        <w:rPr>
          <w:b/>
          <w:bCs/>
          <w:color w:val="191919"/>
        </w:rPr>
        <w:t xml:space="preserve">Flujo gratuito de demostración:</w:t>
      </w:r>
      <w:r>
        <w:rPr>
          <w:color w:val="191919"/>
        </w:rPr>
        <w:t xml:space="preserve"> n8n programado (Cron) → lee datos de Google Sheets → genera resumen con fórmulas → envía por correo cada lunes.</w:t>
      </w:r>
    </w:p>
    <w:p>
      <w:pPr>
        <w:pStyle w:val="ListParagraph"/>
        <w:numPr>
          <w:ilvl w:val="0"/>
          <w:numId w:val="2"/>
        </w:numPr>
        <w:spacing w:after="90"/>
      </w:pPr>
      <w:r>
        <w:rPr>
          <w:b/>
          <w:bCs/>
          <w:color w:val="191919"/>
        </w:rPr>
        <w:t xml:space="preserve">Versión de pago para el cliente:</w:t>
      </w:r>
      <w:r>
        <w:rPr>
          <w:color w:val="191919"/>
        </w:rPr>
        <w:t xml:space="preserve"> Conectar a la base de datos real del cliente (CRM, e-commerce) y generar el reporte con un modelo de IA (Gemini/OpenAI) que redacta el resumen ejecutivo en lenguaje natural. Costo aproximado: USD 5–15/mes según volumen.</w:t>
      </w:r>
    </w:p>
    <w:p>
      <w:pPr>
        <w:pStyle w:val="Heading2"/>
        <w:spacing w:after="140" w:before="280"/>
      </w:pPr>
      <w:r>
        <w:rPr>
          <w:b/>
          <w:bCs/>
          <w:color w:val="D42B2B"/>
        </w:rPr>
        <w:t xml:space="preserve">4.4 Publicación automática en redes sociales</w:t>
      </w:r>
    </w:p>
    <w:p>
      <w:pPr>
        <w:pStyle w:val="ListParagraph"/>
        <w:numPr>
          <w:ilvl w:val="0"/>
          <w:numId w:val="2"/>
        </w:numPr>
        <w:spacing w:after="90"/>
      </w:pPr>
      <w:r>
        <w:rPr>
          <w:b/>
          <w:bCs/>
          <w:color w:val="191919"/>
        </w:rPr>
        <w:t xml:space="preserve">Flujo gratuito de demostración:</w:t>
      </w:r>
      <w:r>
        <w:rPr>
          <w:color w:val="191919"/>
        </w:rPr>
        <w:t xml:space="preserve"> n8n → RSS o Google Sheets con el contenido → publica automáticamente (nodos gratuitos disponibles para varias redes vía sus APIs gratuitas de desarrollador).</w:t>
      </w:r>
    </w:p>
    <w:p>
      <w:pPr>
        <w:pStyle w:val="ListParagraph"/>
        <w:numPr>
          <w:ilvl w:val="0"/>
          <w:numId w:val="2"/>
        </w:numPr>
        <w:spacing w:after="90"/>
      </w:pPr>
      <w:r>
        <w:rPr>
          <w:b/>
          <w:bCs/>
          <w:color w:val="191919"/>
        </w:rPr>
        <w:t xml:space="preserve">Versión de pago para el cliente:</w:t>
      </w:r>
      <w:r>
        <w:rPr>
          <w:color w:val="191919"/>
        </w:rPr>
        <w:t xml:space="preserve"> Generación de imágenes o copys con IA (Gemini gratis en capa básica) antes de publicar, y programación multi-red con mayor volumen.</w:t>
      </w:r>
    </w:p>
    <w:p>
      <w:pPr>
        <w:pStyle w:val="Heading2"/>
        <w:spacing w:after="140" w:before="280"/>
      </w:pPr>
      <w:r>
        <w:rPr>
          <w:b/>
          <w:bCs/>
          <w:color w:val="D42B2B"/>
        </w:rPr>
        <w:t xml:space="preserve">4.5 Monitoreo básico de seguridad / disponibilidad</w:t>
      </w:r>
    </w:p>
    <w:p>
      <w:pPr>
        <w:pStyle w:val="ListParagraph"/>
        <w:numPr>
          <w:ilvl w:val="0"/>
          <w:numId w:val="2"/>
        </w:numPr>
        <w:spacing w:after="90"/>
      </w:pPr>
      <w:r>
        <w:rPr>
          <w:b/>
          <w:bCs/>
          <w:color w:val="191919"/>
        </w:rPr>
        <w:t xml:space="preserve">Flujo gratuito de demostración:</w:t>
      </w:r>
      <w:r>
        <w:rPr>
          <w:color w:val="191919"/>
        </w:rPr>
        <w:t xml:space="preserve"> n8n programado → hace ping/HTTP request al sitio del cliente cada X minutos → si falla, notifica por Telegram o correo.</w:t>
      </w:r>
    </w:p>
    <w:p>
      <w:pPr>
        <w:pStyle w:val="ListParagraph"/>
        <w:numPr>
          <w:ilvl w:val="0"/>
          <w:numId w:val="2"/>
        </w:numPr>
        <w:spacing w:after="90"/>
      </w:pPr>
      <w:r>
        <w:rPr>
          <w:b/>
          <w:bCs/>
          <w:color w:val="191919"/>
        </w:rPr>
        <w:t xml:space="preserve">Versión de pago para el cliente:</w:t>
      </w:r>
      <w:r>
        <w:rPr>
          <w:color w:val="191919"/>
        </w:rPr>
        <w:t xml:space="preserve"> Notificación por WhatsApp + integración con un escáner de vulnerabilidades básico (herramientas open-source como OWASP ZAP en el propio servidor) para reportes de seguridad periódicos.</w:t>
      </w:r>
    </w:p>
    <w:p>
      <w:pPr>
        <w:pStyle w:val="Heading2"/>
        <w:spacing w:after="140" w:before="280"/>
      </w:pPr>
      <w:r>
        <w:rPr>
          <w:b/>
          <w:bCs/>
          <w:color w:val="D42B2B"/>
        </w:rPr>
        <w:t xml:space="preserve">4.6 Onboarding automático de nuevos clientes</w:t>
      </w:r>
    </w:p>
    <w:p>
      <w:pPr>
        <w:pStyle w:val="ListParagraph"/>
        <w:numPr>
          <w:ilvl w:val="0"/>
          <w:numId w:val="2"/>
        </w:numPr>
        <w:spacing w:after="90"/>
      </w:pPr>
      <w:r>
        <w:rPr>
          <w:b/>
          <w:bCs/>
          <w:color w:val="191919"/>
        </w:rPr>
        <w:t xml:space="preserve">Flujo gratuito de demostración:</w:t>
      </w:r>
      <w:r>
        <w:rPr>
          <w:color w:val="191919"/>
        </w:rPr>
        <w:t xml:space="preserve"> Formulario → n8n crea la carpeta/registro en Google Sheets → envía correo de bienvenida con plantilla → crea tarea de seguimiento.</w:t>
      </w:r>
    </w:p>
    <w:p>
      <w:pPr>
        <w:pStyle w:val="ListParagraph"/>
        <w:numPr>
          <w:ilvl w:val="0"/>
          <w:numId w:val="2"/>
        </w:numPr>
        <w:spacing w:after="90"/>
      </w:pPr>
      <w:r>
        <w:rPr>
          <w:b/>
          <w:bCs/>
          <w:color w:val="191919"/>
        </w:rPr>
        <w:t xml:space="preserve">Versión de pago para el cliente:</w:t>
      </w:r>
      <w:r>
        <w:rPr>
          <w:color w:val="191919"/>
        </w:rPr>
        <w:t xml:space="preserve"> Integración con firma electrónica y CRM real del cliente, más recordatorios automáticos por WhatsApp.</w:t>
      </w:r>
    </w:p>
    <w:p>
      <w:pPr>
        <w:pStyle w:val="Heading1"/>
        <w:pBdr>
          <w:bottom w:val="single" w:color="D42B2B" w:sz="6" w:space="4"/>
        </w:pBdr>
        <w:spacing w:after="200" w:before="400"/>
      </w:pPr>
      <w:r>
        <w:rPr>
          <w:b/>
          <w:bCs/>
          <w:color w:val="191919"/>
        </w:rPr>
        <w:t xml:space="preserve">5. Modelo de financiación por depósito</w:t>
      </w:r>
    </w:p>
    <w:p>
      <w:pPr>
        <w:spacing w:after="160" w:line="300"/>
      </w:pPr>
      <w:r>
        <w:rPr>
          <w:color w:val="191919"/>
        </w:rPr>
        <w:t xml:space="preserve">Como Telecrom no cuenta hoy con músculo financiero para asumir por adelantado el costo de APIs de pago y hosting de cada cliente, el proyecto se financia así:</w:t>
      </w:r>
    </w:p>
    <w:p>
      <w:pPr>
        <w:pStyle w:val="ListParagraph"/>
        <w:numPr>
          <w:ilvl w:val="0"/>
          <w:numId w:val="2"/>
        </w:numPr>
        <w:spacing w:after="90"/>
      </w:pPr>
      <w:r>
        <w:rPr>
          <w:b/>
          <w:bCs/>
          <w:color w:val="191919"/>
        </w:rPr>
        <w:t xml:space="preserve">Paso 1 — Depósito:</w:t>
      </w:r>
      <w:r>
        <w:rPr>
          <w:color w:val="191919"/>
        </w:rPr>
        <w:t xml:space="preserve"> El cliente aprueba la propuesta y paga un depósito inicial que cubre exactamente el costo estimado de las APIs y el hosting de los primeros 2 a 3 meses del proyecto (no es una cuota de Telecrom, es el costo real de terceros).</w:t>
      </w:r>
    </w:p>
    <w:p>
      <w:pPr>
        <w:pStyle w:val="ListParagraph"/>
        <w:numPr>
          <w:ilvl w:val="0"/>
          <w:numId w:val="2"/>
        </w:numPr>
        <w:spacing w:after="90"/>
      </w:pPr>
      <w:r>
        <w:rPr>
          <w:b/>
          <w:bCs/>
          <w:color w:val="191919"/>
        </w:rPr>
        <w:t xml:space="preserve">Paso 2 — Activación:</w:t>
      </w:r>
      <w:r>
        <w:rPr>
          <w:color w:val="191919"/>
        </w:rPr>
        <w:t xml:space="preserve"> Con ese depósito, Telecrom activa las cuentas necesarias (WhatsApp Business API, servidor VPS, dominio si aplica) y entrega el sistema funcionando.</w:t>
      </w:r>
    </w:p>
    <w:p>
      <w:pPr>
        <w:pStyle w:val="ListParagraph"/>
        <w:numPr>
          <w:ilvl w:val="0"/>
          <w:numId w:val="2"/>
        </w:numPr>
        <w:spacing w:after="90"/>
      </w:pPr>
      <w:r>
        <w:rPr>
          <w:b/>
          <w:bCs/>
          <w:color w:val="191919"/>
        </w:rPr>
        <w:t xml:space="preserve">Paso 3 — Licencia mensual:</w:t>
      </w:r>
      <w:r>
        <w:rPr>
          <w:color w:val="191919"/>
        </w:rPr>
        <w:t xml:space="preserve"> A partir de la entrega, el cliente paga la licencia mensual definida en la sección 3, que ya incluye el costo continuo de esas APIs y hosting más el mantenimiento de Telecrom.</w:t>
      </w:r>
    </w:p>
    <w:p>
      <w:pPr>
        <w:pStyle w:val="ListParagraph"/>
        <w:numPr>
          <w:ilvl w:val="0"/>
          <w:numId w:val="2"/>
        </w:numPr>
        <w:spacing w:after="90"/>
      </w:pPr>
      <w:r>
        <w:rPr>
          <w:b/>
          <w:bCs/>
          <w:color w:val="191919"/>
        </w:rPr>
        <w:t xml:space="preserve">Regla de cancelación:</w:t>
      </w:r>
      <w:r>
        <w:rPr>
          <w:color w:val="191919"/>
        </w:rPr>
        <w:t xml:space="preserve"> Si el cliente cancela antes de recuperar el depósito en servicio, el contrato debe dejar claro qué parte del depósito no es reembolsable (porque ya se gastó en APIs/hosting a nombre del cliente) y qué parte sí. Esto debe quedar definido por un abogado antes de firmar el primer contrato real.</w:t>
      </w:r>
    </w:p>
    <w:p>
      <w:pPr>
        <w:pStyle w:val="Heading3"/>
        <w:spacing w:after="100" w:before="200"/>
      </w:pPr>
      <w:r>
        <w:rPr>
          <w:b/>
          <w:bCs/>
          <w:color w:val="191919"/>
        </w:rPr>
        <w:t xml:space="preserve">Ejemplo numérico simple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500"/>
        <w:gridCol w:w="3000"/>
      </w:tblGrid>
      <w:tr>
        <w:trPr>
          <w:tblHeader/>
        </w:trPr>
        <w:tc>
          <w:tcPr>
            <w:tcW w:type="dxa" w:w="5500"/>
            <w:shd w:fill="191919" w:val="clear"/>
            <w:tcMar>
              <w:top w:type="dxa" w:w="80"/>
              <w:left w:type="dxa" w:w="100"/>
              <w:bottom w:type="dxa" w:w="80"/>
              <w:right w:type="dxa" w:w="100"/>
            </w:tcMar>
            <w:vAlign w:val="center"/>
          </w:tcPr>
          <w:p>
            <w:pPr>
              <w:jc w:val="left"/>
            </w:pPr>
            <w:r>
              <w:rPr>
                <w:b/>
                <w:bCs/>
                <w:color w:val="FFFFFF"/>
                <w:sz w:val="19"/>
                <w:szCs w:val="19"/>
              </w:rPr>
              <w:t xml:space="preserve">Concepto</w:t>
            </w:r>
          </w:p>
        </w:tc>
        <w:tc>
          <w:tcPr>
            <w:tcW w:type="dxa" w:w="3000"/>
            <w:shd w:fill="191919" w:val="clear"/>
            <w:tcMar>
              <w:top w:type="dxa" w:w="80"/>
              <w:left w:type="dxa" w:w="100"/>
              <w:bottom w:type="dxa" w:w="80"/>
              <w:right w:type="dxa" w:w="100"/>
            </w:tcMar>
            <w:vAlign w:val="center"/>
          </w:tcPr>
          <w:p>
            <w:pPr>
              <w:jc w:val="left"/>
            </w:pPr>
            <w:r>
              <w:rPr>
                <w:b/>
                <w:bCs/>
                <w:color w:val="FFFFFF"/>
                <w:sz w:val="19"/>
                <w:szCs w:val="19"/>
              </w:rPr>
              <w:t xml:space="preserve">Costo estimado (3 meses)</w:t>
            </w:r>
          </w:p>
        </w:tc>
      </w:tr>
      <w:tr>
        <w:tc>
          <w:tcPr>
            <w:tcW w:type="dxa" w:w="5500"/>
            <w:tcMar>
              <w:top w:type="dxa" w:w="80"/>
              <w:left w:type="dxa" w:w="100"/>
              <w:bottom w:type="dxa" w:w="80"/>
              <w:right w:type="dxa" w:w="100"/>
            </w:tcMar>
            <w:vAlign w:val="center"/>
          </w:tcPr>
          <w:p>
            <w:pPr>
              <w:jc w:val="left"/>
            </w:pPr>
            <w:r>
              <w:rPr>
                <w:b w:val="false"/>
                <w:bCs w:val="false"/>
                <w:color w:val="191919"/>
                <w:sz w:val="19"/>
                <w:szCs w:val="19"/>
              </w:rPr>
              <w:t xml:space="preserve">VPS para hosting del sistema del cliente</w:t>
            </w:r>
          </w:p>
        </w:tc>
        <w:tc>
          <w:tcPr>
            <w:tcW w:type="dxa" w:w="3000"/>
            <w:tcMar>
              <w:top w:type="dxa" w:w="80"/>
              <w:left w:type="dxa" w:w="100"/>
              <w:bottom w:type="dxa" w:w="80"/>
              <w:right w:type="dxa" w:w="100"/>
            </w:tcMar>
            <w:vAlign w:val="center"/>
          </w:tcPr>
          <w:p>
            <w:pPr>
              <w:jc w:val="left"/>
            </w:pPr>
            <w:r>
              <w:rPr>
                <w:b w:val="false"/>
                <w:bCs w:val="false"/>
                <w:color w:val="191919"/>
                <w:sz w:val="19"/>
                <w:szCs w:val="19"/>
              </w:rPr>
              <w:t xml:space="preserve">USD 15–30 (~$50.000–$100.000 COP)</w:t>
            </w:r>
          </w:p>
        </w:tc>
      </w:tr>
      <w:tr>
        <w:tc>
          <w:tcPr>
            <w:tcW w:type="dxa" w:w="55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WhatsApp Business API (volumen bajo-medio)</w:t>
            </w:r>
          </w:p>
        </w:tc>
        <w:tc>
          <w:tcPr>
            <w:tcW w:type="dxa" w:w="30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USD 5–15 (~$16.000–$48.000 COP)</w:t>
            </w:r>
          </w:p>
        </w:tc>
      </w:tr>
      <w:tr>
        <w:tc>
          <w:tcPr>
            <w:tcW w:type="dxa" w:w="5500"/>
            <w:tcMar>
              <w:top w:type="dxa" w:w="80"/>
              <w:left w:type="dxa" w:w="100"/>
              <w:bottom w:type="dxa" w:w="80"/>
              <w:right w:type="dxa" w:w="100"/>
            </w:tcMar>
            <w:vAlign w:val="center"/>
          </w:tcPr>
          <w:p>
            <w:pPr>
              <w:jc w:val="left"/>
            </w:pPr>
            <w:r>
              <w:rPr>
                <w:b w:val="false"/>
                <w:bCs w:val="false"/>
                <w:color w:val="191919"/>
                <w:sz w:val="19"/>
                <w:szCs w:val="19"/>
              </w:rPr>
              <w:t xml:space="preserve">Dominio (si el cliente no tiene uno)</w:t>
            </w:r>
          </w:p>
        </w:tc>
        <w:tc>
          <w:tcPr>
            <w:tcW w:type="dxa" w:w="3000"/>
            <w:tcMar>
              <w:top w:type="dxa" w:w="80"/>
              <w:left w:type="dxa" w:w="100"/>
              <w:bottom w:type="dxa" w:w="80"/>
              <w:right w:type="dxa" w:w="100"/>
            </w:tcMar>
            <w:vAlign w:val="center"/>
          </w:tcPr>
          <w:p>
            <w:pPr>
              <w:jc w:val="left"/>
            </w:pPr>
            <w:r>
              <w:rPr>
                <w:b w:val="false"/>
                <w:bCs w:val="false"/>
                <w:color w:val="191919"/>
                <w:sz w:val="19"/>
                <w:szCs w:val="19"/>
              </w:rPr>
              <w:t xml:space="preserve">~$60.000 COP/año, prorrateado</w:t>
            </w:r>
          </w:p>
        </w:tc>
      </w:tr>
      <w:tr>
        <w:tc>
          <w:tcPr>
            <w:tcW w:type="dxa" w:w="55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Margen de imprevistos (15%)</w:t>
            </w:r>
          </w:p>
        </w:tc>
        <w:tc>
          <w:tcPr>
            <w:tcW w:type="dxa" w:w="3000"/>
            <w:shd w:fill="F2F2F2" w:val="clear"/>
            <w:tcMar>
              <w:top w:type="dxa" w:w="80"/>
              <w:left w:type="dxa" w:w="100"/>
              <w:bottom w:type="dxa" w:w="80"/>
              <w:right w:type="dxa" w:w="100"/>
            </w:tcMar>
            <w:vAlign w:val="center"/>
          </w:tcPr>
          <w:p>
            <w:pPr>
              <w:jc w:val="left"/>
            </w:pPr>
            <w:r>
              <w:rPr>
                <w:b w:val="false"/>
                <w:bCs w:val="false"/>
                <w:color w:val="191919"/>
                <w:sz w:val="19"/>
                <w:szCs w:val="19"/>
              </w:rPr>
              <w:t xml:space="preserve">según subtotal</w:t>
            </w:r>
          </w:p>
        </w:tc>
      </w:tr>
      <w:tr>
        <w:tc>
          <w:tcPr>
            <w:tcW w:type="dxa" w:w="5500"/>
            <w:tcMar>
              <w:top w:type="dxa" w:w="80"/>
              <w:left w:type="dxa" w:w="100"/>
              <w:bottom w:type="dxa" w:w="80"/>
              <w:right w:type="dxa" w:w="100"/>
            </w:tcMar>
            <w:vAlign w:val="center"/>
          </w:tcPr>
          <w:p>
            <w:pPr>
              <w:jc w:val="left"/>
            </w:pPr>
            <w:r>
              <w:rPr>
                <w:b w:val="false"/>
                <w:bCs w:val="false"/>
                <w:color w:val="191919"/>
                <w:sz w:val="19"/>
                <w:szCs w:val="19"/>
              </w:rPr>
              <w:t xml:space="preserve">Depósito sugerido total (3 meses, proyecto pequeño)</w:t>
            </w:r>
          </w:p>
        </w:tc>
        <w:tc>
          <w:tcPr>
            <w:tcW w:type="dxa" w:w="3000"/>
            <w:tcMar>
              <w:top w:type="dxa" w:w="80"/>
              <w:left w:type="dxa" w:w="100"/>
              <w:bottom w:type="dxa" w:w="80"/>
              <w:right w:type="dxa" w:w="100"/>
            </w:tcMar>
            <w:vAlign w:val="center"/>
          </w:tcPr>
          <w:p>
            <w:pPr>
              <w:jc w:val="left"/>
            </w:pPr>
            <w:r>
              <w:rPr>
                <w:b w:val="false"/>
                <w:bCs w:val="false"/>
                <w:color w:val="191919"/>
                <w:sz w:val="19"/>
                <w:szCs w:val="19"/>
              </w:rPr>
              <w:t xml:space="preserve">$250.000 – $450.000 COP</w:t>
            </w:r>
          </w:p>
        </w:tc>
      </w:tr>
    </w:tbl>
    <w:p>
      <w:pPr>
        <w:pBdr>
          <w:left w:val="single" w:color="D42B2B" w:sz="18" w:space="8"/>
        </w:pBdr>
        <w:spacing w:after="200" w:before="150"/>
        <w:ind w:left="400"/>
      </w:pPr>
      <w:r>
        <w:rPr>
          <w:i/>
          <w:iCs/>
          <w:color w:val="595959"/>
          <w:sz w:val="20"/>
          <w:szCs w:val="20"/>
        </w:rPr>
        <w:t xml:space="preserve">Este es un ejemplo de referencia para un proyecto pequeño (Plan Esencial). Cada propuesta real debe recalcularse según las APIs específicas que el proyecto necesite, sin usar precios fijos: la fórmula que no cambia es Depósito = costo real de terceros para el periodo pactado + margen de imprevistos.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2026-09-29T04:06:14.846Z</dcterms:created>
  <dcterms:modified xsi:type="dcterms:W3CDTF">2026-09-29T04:06:14.846Z</dcterms:modified>
</cp:coreProperties>
</file>

<file path=docProps/custom.xml><?xml version="1.0" encoding="utf-8"?>
<Properties xmlns="http://schemas.openxmlformats.org/officeDocument/2006/custom-properties" xmlns:vt="http://schemas.openxmlformats.org/officeDocument/2006/docPropsVTypes"/>
</file>