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2011680" cy="438363"/>
            <wp:effectExtent b="0" l="0" r="0" t="0"/>
            <wp:docPr descr="Datimpacto" title="" id="1" name="Picture"/>
            <a:graphic>
              <a:graphicData uri="http://schemas.openxmlformats.org/drawingml/2006/picture">
                <pic:pic>
                  <pic:nvPicPr>
                    <pic:cNvPr descr="logo.jpg" id="0" name="Picture"/>
                    <pic:cNvPicPr>
                      <a:picLocks noChangeArrowheads="1" noChangeAspect="1"/>
                    </pic:cNvPicPr>
                  </pic:nvPicPr>
                  <pic:blipFill>
                    <a:blip r:embed="rId20"/>
                    <a:stretch>
                      <a:fillRect/>
                    </a:stretch>
                  </pic:blipFill>
                  <pic:spPr bwMode="auto">
                    <a:xfrm>
                      <a:off x="0" y="0"/>
                      <a:ext cx="2011680" cy="438363"/>
                    </a:xfrm>
                    <a:prstGeom prst="rect">
                      <a:avLst/>
                    </a:prstGeom>
                    <a:noFill/>
                    <a:ln w="9525">
                      <a:noFill/>
                      <a:headEnd/>
                      <a:tailEnd/>
                    </a:ln>
                  </pic:spPr>
                </pic:pic>
              </a:graphicData>
            </a:graphic>
          </wp:inline>
        </w:drawing>
      </w:r>
    </w:p>
    <w:p>
      <w:pPr>
        <w:pStyle w:val="ImageCaption"/>
      </w:pPr>
      <w:r>
        <w:t xml:space="preserve">Datimpacto</w:t>
      </w:r>
    </w:p>
    <w:bookmarkStart w:id="25" w:name="X6818166c98146dca9dde327e66927f53b4d45b3"/>
    <w:p>
      <w:pPr>
        <w:pStyle w:val="Heading1"/>
      </w:pPr>
      <w:r>
        <w:t xml:space="preserve">Managing an External Consultancy: MEL Toolkit</w:t>
      </w:r>
    </w:p>
    <w:p>
      <w:pPr>
        <w:pStyle w:val="FirstParagraph"/>
      </w:pPr>
      <w:r>
        <w:t xml:space="preserve">Datimpacto · MEL Community of Practice · September 2026</w:t>
      </w:r>
    </w:p>
    <w:p>
      <w:pPr>
        <w:pStyle w:val="BodyText"/>
      </w:pPr>
      <w:r>
        <w:t xml:space="preserve">This toolkit turns the five blocks of the workshop into tools you can use on your next engagement. Each file stands on its own. Pick the one that matches the stage you are in. The same five blocks and tools apply to any external consultancy you manage: a MEL system design contract, a standalone data-collection engagement, or an evaluation.</w:t>
      </w:r>
    </w:p>
    <w:bookmarkStart w:id="21" w:name="checklists-and-templates"/>
    <w:p>
      <w:pPr>
        <w:pStyle w:val="Heading2"/>
      </w:pPr>
      <w:r>
        <w:t xml:space="preserve">Checklists and Templates</w:t>
      </w:r>
    </w:p>
    <w:tbl>
      <w:tblPr>
        <w:tblStyle w:val="Table"/>
        <w:tblW w:type="pct" w:w="5000.0"/>
        <w:tblLook w:firstRow="1" w:lastRow="0" w:firstColumn="0" w:lastColumn="0" w:noHBand="0" w:noVBand="0"/>
      </w:tblPr>
      <w:tblGrid>
        <w:gridCol w:w="2501"/>
        <w:gridCol w:w="5418"/>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Use it when</w:t>
            </w:r>
          </w:p>
        </w:tc>
      </w:tr>
      <w:tr>
        <w:tc>
          <w:p>
            <w:pPr>
              <w:pStyle w:val="Compact"/>
              <w:jc w:val="left"/>
            </w:pPr>
            <w:r>
              <w:t xml:space="preserve">01-tor-checklist.md</w:t>
            </w:r>
          </w:p>
        </w:tc>
        <w:tc>
          <w:p>
            <w:pPr>
              <w:pStyle w:val="Compact"/>
              <w:jc w:val="left"/>
            </w:pPr>
            <w:r>
              <w:t xml:space="preserve">You are drafting or reviewing a Terms of Reference</w:t>
            </w:r>
          </w:p>
        </w:tc>
      </w:tr>
      <w:tr>
        <w:tc>
          <w:p>
            <w:pPr>
              <w:pStyle w:val="Compact"/>
              <w:jc w:val="left"/>
            </w:pPr>
            <w:r>
              <w:t xml:space="preserve">02-consultant-selection-matrix.md</w:t>
            </w:r>
          </w:p>
        </w:tc>
        <w:tc>
          <w:p>
            <w:pPr>
              <w:pStyle w:val="Compact"/>
              <w:jc w:val="left"/>
            </w:pPr>
            <w:r>
              <w:t xml:space="preserve">You are setting selection criteria or scoring proposals. Includes an AI-assisted first-pass triage prompt</w:t>
            </w:r>
          </w:p>
        </w:tc>
      </w:tr>
      <w:tr>
        <w:tc>
          <w:p>
            <w:pPr>
              <w:pStyle w:val="Compact"/>
              <w:jc w:val="left"/>
            </w:pPr>
            <w:r>
              <w:t xml:space="preserve">03-milestone-review-sheet.md</w:t>
            </w:r>
          </w:p>
        </w:tc>
        <w:tc>
          <w:p>
            <w:pPr>
              <w:pStyle w:val="Compact"/>
              <w:jc w:val="left"/>
            </w:pPr>
            <w:r>
              <w:t xml:space="preserve">An interim product lands and you need to decide what happens next. Includes an AI-assisted milestone prep prompt</w:t>
            </w:r>
          </w:p>
        </w:tc>
      </w:tr>
      <w:tr>
        <w:tc>
          <w:p>
            <w:pPr>
              <w:pStyle w:val="Compact"/>
              <w:jc w:val="left"/>
            </w:pPr>
            <w:r>
              <w:t xml:space="preserve">04-active-management-kit.md</w:t>
            </w:r>
          </w:p>
        </w:tc>
        <w:tc>
          <w:p>
            <w:pPr>
              <w:pStyle w:val="Compact"/>
              <w:jc w:val="left"/>
            </w:pPr>
            <w:r>
              <w:t xml:space="preserve">The engagement is running and you need a risk log, change requests and check-ins</w:t>
            </w:r>
          </w:p>
        </w:tc>
      </w:tr>
      <w:tr>
        <w:tc>
          <w:p>
            <w:pPr>
              <w:pStyle w:val="Compact"/>
              <w:jc w:val="left"/>
            </w:pPr>
            <w:r>
              <w:t xml:space="preserve">05-final-deliverable-signoff-checklist.md</w:t>
            </w:r>
          </w:p>
        </w:tc>
        <w:tc>
          <w:p>
            <w:pPr>
              <w:pStyle w:val="Compact"/>
              <w:jc w:val="left"/>
            </w:pPr>
            <w:r>
              <w:t xml:space="preserve">The final deliverable arrives and someone has to sign it off</w:t>
            </w:r>
          </w:p>
        </w:tc>
      </w:tr>
      <w:tr>
        <w:tc>
          <w:p>
            <w:pPr>
              <w:pStyle w:val="Compact"/>
              <w:jc w:val="left"/>
            </w:pPr>
            <w:r>
              <w:t xml:space="preserve">06-one-page-checklist.md</w:t>
            </w:r>
          </w:p>
        </w:tc>
        <w:tc>
          <w:p>
            <w:pPr>
              <w:pStyle w:val="Compact"/>
              <w:jc w:val="left"/>
            </w:pPr>
            <w:r>
              <w:t xml:space="preserve">You want the whole process on a single page</w:t>
            </w:r>
          </w:p>
        </w:tc>
      </w:tr>
    </w:tbl>
    <w:bookmarkEnd w:id="21"/>
    <w:bookmarkStart w:id="22" w:name="prompts-for-ai-assistants"/>
    <w:p>
      <w:pPr>
        <w:pStyle w:val="Heading2"/>
      </w:pPr>
      <w:r>
        <w:t xml:space="preserve">Prompts for AI Assistants</w:t>
      </w:r>
    </w:p>
    <w:p>
      <w:pPr>
        <w:pStyle w:val="FirstParagraph"/>
      </w:pPr>
      <w:r>
        <w:t xml:space="preserve">The prompts work with any general-purpose assistant (ChatGPT, Claude, Copilot, Gemini). Paste the prompt, replace the placeholders in square brackets, and attach or paste the documents it asks for. Two more prompts live inside their related checklist (Tool 2 and Tool 3 above) instead of as separate files, since the workshop demoed each pair together.</w:t>
      </w:r>
    </w:p>
    <w:tbl>
      <w:tblPr>
        <w:tblStyle w:val="Table"/>
        <w:tblW w:type="pct" w:w="5000.0"/>
        <w:tblLook w:firstRow="1" w:lastRow="0" w:firstColumn="0" w:lastColumn="0" w:noHBand="0" w:noVBand="0"/>
      </w:tblPr>
      <w:tblGrid>
        <w:gridCol w:w="1532"/>
        <w:gridCol w:w="6387"/>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What the assistant does</w:t>
            </w:r>
          </w:p>
        </w:tc>
      </w:tr>
      <w:tr>
        <w:tc>
          <w:p>
            <w:pPr>
              <w:pStyle w:val="Compact"/>
              <w:jc w:val="left"/>
            </w:pPr>
            <w:r>
              <w:t xml:space="preserve">07-prompt-tor-bidder-read.md</w:t>
            </w:r>
          </w:p>
        </w:tc>
        <w:tc>
          <w:p>
            <w:pPr>
              <w:pStyle w:val="Compact"/>
              <w:jc w:val="left"/>
            </w:pPr>
            <w:r>
              <w:t xml:space="preserve">Reads your ToR as a bidder would and flags gaps</w:t>
            </w:r>
          </w:p>
        </w:tc>
      </w:tr>
      <w:tr>
        <w:tc>
          <w:p>
            <w:pPr>
              <w:pStyle w:val="Compact"/>
              <w:jc w:val="left"/>
            </w:pPr>
            <w:r>
              <w:t xml:space="preserve">08-prompt-change-request-assessment.md</w:t>
            </w:r>
          </w:p>
        </w:tc>
        <w:tc>
          <w:p>
            <w:pPr>
              <w:pStyle w:val="Compact"/>
              <w:jc w:val="left"/>
            </w:pPr>
            <w:r>
              <w:t xml:space="preserve">Estimates the impact of a proposed change</w:t>
            </w:r>
          </w:p>
        </w:tc>
      </w:tr>
      <w:tr>
        <w:tc>
          <w:p>
            <w:pPr>
              <w:pStyle w:val="Compact"/>
              <w:jc w:val="left"/>
            </w:pPr>
            <w:r>
              <w:t xml:space="preserve">09-prompt-final-report-first-pass.md</w:t>
            </w:r>
          </w:p>
        </w:tc>
        <w:tc>
          <w:p>
            <w:pPr>
              <w:pStyle w:val="Compact"/>
              <w:jc w:val="left"/>
            </w:pPr>
            <w:r>
              <w:t xml:space="preserve">Runs the seven sign-off questions on a draft deliverable</w:t>
            </w:r>
          </w:p>
        </w:tc>
      </w:tr>
      <w:tr>
        <w:tc>
          <w:p>
            <w:pPr>
              <w:pStyle w:val="Compact"/>
              <w:jc w:val="left"/>
            </w:pPr>
            <w:r>
              <w:t xml:space="preserve">10-prompt-tor-checklist-compliance.md</w:t>
            </w:r>
          </w:p>
        </w:tc>
        <w:tc>
          <w:p>
            <w:pPr>
              <w:pStyle w:val="Compact"/>
              <w:jc w:val="left"/>
            </w:pPr>
            <w:r>
              <w:t xml:space="preserve">Rates a draft ToR against the five-element checklist from Tool 1, element by element</w:t>
            </w:r>
          </w:p>
        </w:tc>
      </w:tr>
    </w:tbl>
    <w:bookmarkEnd w:id="22"/>
    <w:bookmarkStart w:id="23" w:name="calculator"/>
    <w:p>
      <w:pPr>
        <w:pStyle w:val="Heading2"/>
      </w:pPr>
      <w:r>
        <w:t xml:space="preserve">Calculator</w:t>
      </w:r>
    </w:p>
    <w:p>
      <w:pPr>
        <w:pStyle w:val="FirstParagraph"/>
      </w:pPr>
      <w:r>
        <w:t xml:space="preserve">11-timeline-feasibility-calculator.html checks whether the phases and site or delivery activities fit inside the window your ToR allows. Open it in any browser.</w:t>
      </w:r>
    </w:p>
    <w:bookmarkEnd w:id="23"/>
    <w:bookmarkStart w:id="24" w:name="three-rules-for-using-ai-in-this-toolkit"/>
    <w:p>
      <w:pPr>
        <w:pStyle w:val="Heading2"/>
      </w:pPr>
      <w:r>
        <w:t xml:space="preserve">Three Rules for Using AI in This Toolkit</w:t>
      </w:r>
    </w:p>
    <w:p>
      <w:pPr>
        <w:numPr>
          <w:ilvl w:val="0"/>
          <w:numId w:val="1001"/>
        </w:numPr>
        <w:pStyle w:val="Compact"/>
      </w:pPr>
      <w:r>
        <w:t xml:space="preserve">Work with documents only: ToRs, proposals, deliverables, methodology sections and aggregated figures. Do not paste raw beneficiary-level data or anything that identifies a person.</w:t>
      </w:r>
    </w:p>
    <w:p>
      <w:pPr>
        <w:numPr>
          <w:ilvl w:val="0"/>
          <w:numId w:val="1001"/>
        </w:numPr>
        <w:pStyle w:val="Compact"/>
      </w:pPr>
      <w:r>
        <w:t xml:space="preserve">Check your organization’s policy on which AI tools are approved for internal documents before you paste them.</w:t>
      </w:r>
    </w:p>
    <w:p>
      <w:pPr>
        <w:numPr>
          <w:ilvl w:val="0"/>
          <w:numId w:val="1001"/>
        </w:numPr>
        <w:pStyle w:val="Compact"/>
      </w:pPr>
      <w:r>
        <w:t xml:space="preserve">The assistant produces a first pass. Selection, sign-off and any decision about scope, budget or people stay with your team.</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2026-09-23T23:56:49Z</dcterms:created>
  <dcterms:modified xsi:type="dcterms:W3CDTF">2026-09-23T23:56:49Z</dcterms:modified>
</cp:coreProperties>
</file>

<file path=docProps/custom.xml><?xml version="1.0" encoding="utf-8"?>
<Properties xmlns="http://schemas.openxmlformats.org/officeDocument/2006/custom-properties" xmlns:vt="http://schemas.openxmlformats.org/officeDocument/2006/docPropsVTypes"/>
</file>