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6" w:name="terms-of-reference-checklist"/>
    <w:p>
      <w:pPr>
        <w:pStyle w:val="Heading1"/>
      </w:pPr>
      <w:r>
        <w:t xml:space="preserve">Terms of Reference Checklist</w:t>
      </w:r>
    </w:p>
    <w:p>
      <w:pPr>
        <w:pStyle w:val="FirstParagraph"/>
      </w:pPr>
      <w:r>
        <w:t xml:space="preserve">Datimpacto · MEL Community of Practice Toolkit · Tool 1</w:t>
      </w:r>
    </w:p>
    <w:p>
      <w:pPr>
        <w:pStyle w:val="BodyText"/>
      </w:pPr>
      <w:r>
        <w:t xml:space="preserve">Purpose: check a Terms of Reference against the five things it needs to do clearly before it goes out to bidders.</w:t>
      </w:r>
      <w:r>
        <w:t xml:space="preserve"> </w:t>
      </w:r>
      <w:r>
        <w:t xml:space="preserve">When to use: while drafting a ToR, or when reviewing one someone else drafted.</w:t>
      </w:r>
      <w:r>
        <w:t xml:space="preserve"> </w:t>
      </w:r>
      <w:r>
        <w:t xml:space="preserve">Time needed: 20 to 30 minutes.</w:t>
      </w:r>
    </w:p>
    <w:bookmarkStart w:id="21" w:name="X451b13ee975976c080e7f9a368eaa5c0ef0c302"/>
    <w:p>
      <w:pPr>
        <w:pStyle w:val="Heading2"/>
      </w:pPr>
      <w:r>
        <w:t xml:space="preserve">The Five Things a Strong ToR Does Clearly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08"/>
        <w:gridCol w:w="908"/>
        <w:gridCol w:w="3669"/>
        <w:gridCol w:w="32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good looks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 and why now</w:t>
            </w:r>
          </w:p>
        </w:tc>
        <w:tc>
          <w:p>
            <w:pPr>
              <w:pStyle w:val="Compact"/>
              <w:jc w:val="left"/>
            </w:pPr>
            <w:r>
              <w:t xml:space="preserve">The object, period and geography are named, with a stated reason for commissioning now</w:t>
            </w:r>
          </w:p>
        </w:tc>
        <w:tc>
          <w:p>
            <w:pPr>
              <w:pStyle w:val="Compact"/>
              <w:jc w:val="left"/>
            </w:pPr>
            <w:r>
              <w:t xml:space="preserve">A generic description that could fit any program or any year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Who it’s for</w:t>
            </w:r>
          </w:p>
        </w:tc>
        <w:tc>
          <w:p>
            <w:pPr>
              <w:pStyle w:val="Compact"/>
              <w:jc w:val="left"/>
            </w:pPr>
            <w:r>
              <w:t xml:space="preserve">Primary users are named, with the decisions they will make from the findings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Stakeholders</w:t>
            </w:r>
            <w:r>
              <w:t xml:space="preserve">”</w:t>
            </w:r>
            <w:r>
              <w:t xml:space="preserve"> </w:t>
            </w:r>
            <w:r>
              <w:t xml:space="preserve">with no names, or no stated use for the 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Questions or deliverables</w:t>
            </w:r>
          </w:p>
        </w:tc>
        <w:tc>
          <w:p>
            <w:pPr>
              <w:pStyle w:val="Compact"/>
              <w:jc w:val="left"/>
            </w:pPr>
            <w:r>
              <w:t xml:space="preserve">A short, prioritized list, not an exhaustive, unranked one</w:t>
            </w:r>
          </w:p>
        </w:tc>
        <w:tc>
          <w:p>
            <w:pPr>
              <w:pStyle w:val="Compact"/>
              <w:jc w:val="left"/>
            </w:pPr>
            <w:r>
              <w:t xml:space="preserve">40 to 50 questions with no ranking, or one vague line covering 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p>
            <w:pPr>
              <w:pStyle w:val="Compact"/>
              <w:jc w:val="left"/>
            </w:pPr>
            <w:r>
              <w:t xml:space="preserve">Geography, timeframe, sample or methodological scope, and a budget ceiling are all stated</w:t>
            </w:r>
          </w:p>
        </w:tc>
        <w:tc>
          <w:p>
            <w:pPr>
              <w:pStyle w:val="Compact"/>
              <w:jc w:val="left"/>
            </w:pPr>
            <w:r>
              <w:t xml:space="preserve">No budget ceiling, or no indication of how many interviews, surveys or sites are 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looks like</w:t>
            </w:r>
          </w:p>
        </w:tc>
        <w:tc>
          <w:p>
            <w:pPr>
              <w:pStyle w:val="Compact"/>
              <w:jc w:val="left"/>
            </w:pPr>
            <w:r>
              <w:t xml:space="preserve">Deliverables, review checkpoints and the approver are named, with review time built into the timeline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 listed with no review checkpoints, or a timeline with no margin for delays</w:t>
            </w:r>
          </w:p>
        </w:tc>
      </w:tr>
    </w:tbl>
    <w:p>
      <w:pPr>
        <w:pStyle w:val="BodyText"/>
      </w:pPr>
      <w:r>
        <w:t xml:space="preserve">The same five things apply to any external consultancy, not only evaluations: a MEL system design contract or a standalone data-collection engagement needs the same five elements stated clearly.</w:t>
      </w:r>
    </w:p>
    <w:bookmarkEnd w:id="21"/>
    <w:bookmarkStart w:id="22" w:name="timeline-check"/>
    <w:p>
      <w:pPr>
        <w:pStyle w:val="Heading2"/>
      </w:pPr>
      <w:r>
        <w:t xml:space="preserve">Timeline Check</w:t>
      </w:r>
    </w:p>
    <w:p>
      <w:pPr>
        <w:pStyle w:val="FirstParagraph"/>
      </w:pPr>
      <w:r>
        <w:t xml:space="preserve">Once phases and field activities are drafted, run them through Tool 11 (the timeline feasibility calculator) to check the window in the ToR actually fits the work it asks for.</w:t>
      </w:r>
    </w:p>
    <w:bookmarkEnd w:id="22"/>
    <w:bookmarkStart w:id="23" w:name="decision"/>
    <w:p>
      <w:pPr>
        <w:pStyle w:val="Heading2"/>
      </w:pPr>
      <w:r>
        <w:t xml:space="preserve">Decision</w:t>
      </w:r>
    </w:p>
    <w:p>
      <w:pPr>
        <w:numPr>
          <w:ilvl w:val="0"/>
          <w:numId w:val="1001"/>
        </w:numPr>
        <w:pStyle w:val="Compact"/>
      </w:pPr>
      <w:r>
        <w:t xml:space="preserve">Ready to publish.</w:t>
      </w:r>
    </w:p>
    <w:p>
      <w:pPr>
        <w:numPr>
          <w:ilvl w:val="0"/>
          <w:numId w:val="1001"/>
        </w:numPr>
        <w:pStyle w:val="Compact"/>
      </w:pPr>
      <w:r>
        <w:t xml:space="preserve">Needs revision before publishing (list which of the five elements are missing or weak).</w:t>
      </w:r>
    </w:p>
    <w:bookmarkEnd w:id="23"/>
    <w:bookmarkStart w:id="24" w:name="related-tools"/>
    <w:p>
      <w:pPr>
        <w:pStyle w:val="Heading2"/>
      </w:pPr>
      <w:r>
        <w:t xml:space="preserve">Related Tools</w:t>
      </w:r>
    </w:p>
    <w:p>
      <w:pPr>
        <w:numPr>
          <w:ilvl w:val="0"/>
          <w:numId w:val="1002"/>
        </w:numPr>
        <w:pStyle w:val="Compact"/>
      </w:pPr>
      <w:r>
        <w:t xml:space="preserve">Tool 10: an AI prompt that runs this checklist against a draft and rates each element. Run it before Tool 7.</w:t>
      </w:r>
    </w:p>
    <w:p>
      <w:pPr>
        <w:numPr>
          <w:ilvl w:val="0"/>
          <w:numId w:val="1002"/>
        </w:numPr>
        <w:pStyle w:val="Compact"/>
      </w:pPr>
      <w:r>
        <w:t xml:space="preserve">Tool 7: an AI prompt that reads the ToR as a bidder would, before publishing.</w:t>
      </w:r>
    </w:p>
    <w:p>
      <w:pPr>
        <w:numPr>
          <w:ilvl w:val="0"/>
          <w:numId w:val="1002"/>
        </w:numPr>
        <w:pStyle w:val="Compact"/>
      </w:pPr>
      <w:r>
        <w:t xml:space="preserve">Tool 11: the timeline feasibility calculator.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UNEG (2010). Quality Checklist for Evaluation Terms of Reference and Inception Reports.</w:t>
      </w:r>
    </w:p>
    <w:p>
      <w:pPr>
        <w:numPr>
          <w:ilvl w:val="0"/>
          <w:numId w:val="1003"/>
        </w:numPr>
        <w:pStyle w:val="Compact"/>
      </w:pPr>
      <w:r>
        <w:t xml:space="preserve">BetterEvaluation. Manager’s Guide to Evaluation. betterevaluation.org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2026-09-23T23:56:49Z</dcterms:created>
  <dcterms:modified xsi:type="dcterms:W3CDTF">2026-09-23T23:56:49Z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