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011680" cy="438363"/>
            <wp:effectExtent b="0" l="0" r="0" t="0"/>
            <wp:docPr descr="Datimpacto" title="" id="1" name="Picture"/>
            <a:graphic>
              <a:graphicData uri="http://schemas.openxmlformats.org/drawingml/2006/picture">
                <pic:pic>
                  <pic:nvPicPr>
                    <pic:cNvPr descr="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Datimpacto</w:t>
      </w:r>
    </w:p>
    <w:bookmarkStart w:id="26" w:name="active-management-kit"/>
    <w:p>
      <w:pPr>
        <w:pStyle w:val="Heading1"/>
      </w:pPr>
      <w:r>
        <w:t xml:space="preserve">Active Management Kit</w:t>
      </w:r>
    </w:p>
    <w:p>
      <w:pPr>
        <w:pStyle w:val="FirstParagraph"/>
      </w:pPr>
      <w:r>
        <w:t xml:space="preserve">Datimpacto · MEL Community of Practice Toolkit · Tool 4</w:t>
      </w:r>
    </w:p>
    <w:p>
      <w:pPr>
        <w:pStyle w:val="BodyText"/>
      </w:pPr>
      <w:r>
        <w:t xml:space="preserve">Purpose: apply standard project management discipline to an external consultancy while it runs.</w:t>
      </w:r>
      <w:r>
        <w:t xml:space="preserve"> </w:t>
      </w:r>
      <w:r>
        <w:t xml:space="preserve">When to use: from contract signature to final sign-off.</w:t>
      </w:r>
      <w:r>
        <w:t xml:space="preserve"> </w:t>
      </w:r>
      <w:r>
        <w:t xml:space="preserve">Time needed: 1 hour to set up, then 15 minutes a week to keep current.</w:t>
      </w:r>
    </w:p>
    <w:p>
      <w:pPr>
        <w:pStyle w:val="BodyText"/>
      </w:pPr>
      <w:r>
        <w:t xml:space="preserve">The kit has four parts: a shared risk and issues log, a change request protocol, recurring check-ins and a contingency margin.</w:t>
      </w:r>
    </w:p>
    <w:bookmarkStart w:id="21" w:name="part-1.-shared-risk-and-issues-log"/>
    <w:p>
      <w:pPr>
        <w:pStyle w:val="Heading2"/>
      </w:pPr>
      <w:r>
        <w:t xml:space="preserve">Part 1. Shared Risk and Issues Log</w:t>
      </w:r>
    </w:p>
    <w:p>
      <w:pPr>
        <w:pStyle w:val="FirstParagraph"/>
      </w:pPr>
      <w:r>
        <w:t xml:space="preserve">One file that both sides can see and update. A risk is something that may happen; an issue is something that already did.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16"/>
        <w:gridCol w:w="427"/>
        <w:gridCol w:w="737"/>
        <w:gridCol w:w="2135"/>
        <w:gridCol w:w="698"/>
        <w:gridCol w:w="543"/>
        <w:gridCol w:w="737"/>
        <w:gridCol w:w="1863"/>
        <w:gridCol w:w="232"/>
        <w:gridCol w:w="4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raised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(Risk / Issue)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 (L/M/H)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(L/M/H)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Travel authorization for region 2 may be delayed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Consultant/Provider</w:t>
            </w:r>
          </w:p>
        </w:tc>
        <w:tc>
          <w:p>
            <w:pPr>
              <w:pStyle w:val="Compact"/>
              <w:jc w:val="left"/>
            </w:pPr>
            <w:r>
              <w:t xml:space="preserve">Request permits in week 1; prepare remote option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Partner B has not shared beneficiary lists for sampling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Commissioning team</w:t>
            </w:r>
          </w:p>
        </w:tc>
        <w:tc>
          <w:p>
            <w:pPr>
              <w:pStyle w:val="Compact"/>
              <w:jc w:val="left"/>
            </w:pPr>
            <w:r>
              <w:t xml:space="preserve">Escalate to partner focal point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/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 Either side can add an entry at any time.</w:t>
      </w:r>
      <w:r>
        <w:t xml:space="preserve"> </w:t>
      </w:r>
      <w:r>
        <w:t xml:space="preserve">- Review open items at every check-in.</w:t>
      </w:r>
      <w:r>
        <w:t xml:space="preserve"> </w:t>
      </w:r>
      <w:r>
        <w:t xml:space="preserve">- Anything rated High impact goes to the next milestone review (Tool 3).</w:t>
      </w:r>
    </w:p>
    <w:bookmarkEnd w:id="21"/>
    <w:bookmarkStart w:id="22" w:name="part-2.-change-request-protocol"/>
    <w:p>
      <w:pPr>
        <w:pStyle w:val="Heading2"/>
      </w:pPr>
      <w:r>
        <w:t xml:space="preserve">Part 2. Change Request Protocol</w:t>
      </w:r>
    </w:p>
    <w:p>
      <w:pPr>
        <w:pStyle w:val="FirstParagraph"/>
      </w:pPr>
      <w:r>
        <w:t xml:space="preserve">Any change to scope, timeline or budget goes through this form. Nothing changes until it is approved in writing.</w:t>
      </w:r>
    </w:p>
    <w:p>
      <w:pPr>
        <w:pStyle w:val="SourceCode"/>
      </w:pPr>
      <w:r>
        <w:rPr>
          <w:rStyle w:val="VerbatimChar"/>
        </w:rPr>
        <w:t xml:space="preserve">CHANGE REQUEST</w:t>
      </w:r>
      <w:r>
        <w:br/>
      </w:r>
      <w:r>
        <w:br/>
      </w:r>
      <w:r>
        <w:rPr>
          <w:rStyle w:val="VerbatimChar"/>
        </w:rPr>
        <w:t xml:space="preserve">Request ID:</w:t>
      </w:r>
      <w:r>
        <w:br/>
      </w:r>
      <w:r>
        <w:rPr>
          <w:rStyle w:val="VerbatimChar"/>
        </w:rPr>
        <w:t xml:space="preserve">Requested by:                     Date:</w:t>
      </w:r>
      <w:r>
        <w:br/>
      </w:r>
      <w:r>
        <w:rPr>
          <w:rStyle w:val="VerbatimChar"/>
        </w:rPr>
        <w:t xml:space="preserve">Type of change:   [ ] Scope   [ ] Timeline   [ ] Budget</w:t>
      </w:r>
      <w:r>
        <w:br/>
      </w:r>
      <w:r>
        <w:br/>
      </w:r>
      <w:r>
        <w:rPr>
          <w:rStyle w:val="VerbatimChar"/>
        </w:rPr>
        <w:t xml:space="preserve">What changes:</w:t>
      </w:r>
      <w:r>
        <w:br/>
      </w:r>
      <w:r>
        <w:rPr>
          <w:rStyle w:val="VerbatimChar"/>
        </w:rPr>
        <w:t xml:space="preserve">Why it is needed:</w:t>
      </w:r>
      <w:r>
        <w:br/>
      </w:r>
      <w:r>
        <w:br/>
      </w:r>
      <w:r>
        <w:rPr>
          <w:rStyle w:val="VerbatimChar"/>
        </w:rPr>
        <w:t xml:space="preserve">Impact on priority questions or requirements (which ones, and how):</w:t>
      </w:r>
      <w:r>
        <w:br/>
      </w:r>
      <w:r>
        <w:rPr>
          <w:rStyle w:val="VerbatimChar"/>
        </w:rPr>
        <w:t xml:space="preserve">Impact on timeline (new dates):</w:t>
      </w:r>
      <w:r>
        <w:br/>
      </w:r>
      <w:r>
        <w:rPr>
          <w:rStyle w:val="VerbatimChar"/>
        </w:rPr>
        <w:t xml:space="preserve">Impact on budget (amount, and which lines):</w:t>
      </w:r>
      <w:r>
        <w:br/>
      </w:r>
      <w:r>
        <w:br/>
      </w:r>
      <w:r>
        <w:rPr>
          <w:rStyle w:val="VerbatimChar"/>
        </w:rPr>
        <w:t xml:space="preserve">Options considered:</w:t>
      </w:r>
      <w:r>
        <w:br/>
      </w:r>
      <w:r>
        <w:rPr>
          <w:rStyle w:val="VerbatimChar"/>
        </w:rPr>
        <w:t xml:space="preserve">  1.</w:t>
      </w:r>
      <w:r>
        <w:br/>
      </w:r>
      <w:r>
        <w:rPr>
          <w:rStyle w:val="VerbatimChar"/>
        </w:rPr>
        <w:t xml:space="preserve">  2.</w:t>
      </w:r>
      <w:r>
        <w:br/>
      </w:r>
      <w:r>
        <w:br/>
      </w:r>
      <w:r>
        <w:rPr>
          <w:rStyle w:val="VerbatimChar"/>
        </w:rPr>
        <w:t xml:space="preserve">Decision:  [ ] Approved   [ ] Approved with conditions   [ ] Rejected</w:t>
      </w:r>
      <w:r>
        <w:br/>
      </w:r>
      <w:r>
        <w:rPr>
          <w:rStyle w:val="VerbatimChar"/>
        </w:rPr>
        <w:t xml:space="preserve">Conditions:</w:t>
      </w:r>
      <w:r>
        <w:br/>
      </w:r>
      <w:r>
        <w:rPr>
          <w:rStyle w:val="VerbatimChar"/>
        </w:rPr>
        <w:t xml:space="preserve">Approved by:                      Date:</w:t>
      </w:r>
    </w:p>
    <w:p>
      <w:pPr>
        <w:pStyle w:val="FirstParagraph"/>
      </w:pPr>
      <w:r>
        <w:t xml:space="preserve">Tool 8 is an AI prompt that helps you fill in the impact fields before the decision.</w:t>
      </w:r>
    </w:p>
    <w:bookmarkEnd w:id="22"/>
    <w:bookmarkStart w:id="23" w:name="part-3.-recurring-check-ins"/>
    <w:p>
      <w:pPr>
        <w:pStyle w:val="Heading2"/>
      </w:pPr>
      <w:r>
        <w:t xml:space="preserve">Part 3. Recurring Check-ins</w:t>
      </w:r>
    </w:p>
    <w:p>
      <w:pPr>
        <w:pStyle w:val="FirstParagraph"/>
      </w:pPr>
      <w:r>
        <w:t xml:space="preserve">Between formal milestones, hold a 30-minute check-in every one or two weeks.</w:t>
      </w:r>
    </w:p>
    <w:p>
      <w:pPr>
        <w:pStyle w:val="BodyText"/>
      </w:pPr>
      <w:r>
        <w:t xml:space="preserve">Standing agenda:</w:t>
      </w:r>
      <w:r>
        <w:t xml:space="preserve"> </w:t>
      </w:r>
      <w:r>
        <w:t xml:space="preserve">1. Progress against the workplan (5 min)</w:t>
      </w:r>
      <w:r>
        <w:t xml:space="preserve"> </w:t>
      </w:r>
      <w:r>
        <w:t xml:space="preserve">2. Risk and issues log: new and open items (10 min)</w:t>
      </w:r>
      <w:r>
        <w:t xml:space="preserve"> </w:t>
      </w:r>
      <w:r>
        <w:t xml:space="preserve">3. Decisions or inputs needed from either side in the next two weeks (10 min)</w:t>
      </w:r>
      <w:r>
        <w:t xml:space="preserve"> </w:t>
      </w:r>
      <w:r>
        <w:t xml:space="preserve">4. Agreed actions, owners and dates (5 min)</w:t>
      </w:r>
    </w:p>
    <w:p>
      <w:pPr>
        <w:pStyle w:val="BodyText"/>
      </w:pPr>
      <w:r>
        <w:t xml:space="preserve">Send the agreed actions in writing the same day.</w:t>
      </w:r>
    </w:p>
    <w:bookmarkEnd w:id="23"/>
    <w:bookmarkStart w:id="24" w:name="part-4.-contingency-margin"/>
    <w:p>
      <w:pPr>
        <w:pStyle w:val="Heading2"/>
      </w:pPr>
      <w:r>
        <w:t xml:space="preserve">Part 4. Contingency Margin</w:t>
      </w:r>
    </w:p>
    <w:p>
      <w:pPr>
        <w:pStyle w:val="FirstParagraph"/>
      </w:pPr>
      <w:r>
        <w:t xml:space="preserve">Agree a real margin in the contract for genuine emergencies, and say what can trigger it.</w:t>
      </w:r>
    </w:p>
    <w:p>
      <w:pPr>
        <w:numPr>
          <w:ilvl w:val="0"/>
          <w:numId w:val="1001"/>
        </w:numPr>
        <w:pStyle w:val="Compact"/>
      </w:pPr>
      <w:r>
        <w:t xml:space="preserve">Time: for example, two to three weeks of calendar time held back from the final deadline.</w:t>
      </w:r>
    </w:p>
    <w:p>
      <w:pPr>
        <w:numPr>
          <w:ilvl w:val="0"/>
          <w:numId w:val="1001"/>
        </w:numPr>
        <w:pStyle w:val="Compact"/>
      </w:pPr>
      <w:r>
        <w:t xml:space="preserve">Budget: for example, around 10% of the budget held as a contingency line.</w:t>
      </w:r>
    </w:p>
    <w:p>
      <w:pPr>
        <w:numPr>
          <w:ilvl w:val="0"/>
          <w:numId w:val="1001"/>
        </w:numPr>
        <w:pStyle w:val="Compact"/>
      </w:pPr>
      <w:r>
        <w:t xml:space="preserve">Triggers: security incidents, access restrictions, authorization delays, logistics disruptions, public health events.</w:t>
      </w:r>
    </w:p>
    <w:p>
      <w:pPr>
        <w:numPr>
          <w:ilvl w:val="0"/>
          <w:numId w:val="1001"/>
        </w:numPr>
        <w:pStyle w:val="Compact"/>
      </w:pPr>
      <w:r>
        <w:t xml:space="preserve">Use: drawing on the margin still needs a change request, so there is a record.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  <w:pStyle w:val="Compact"/>
      </w:pPr>
      <w:r>
        <w:t xml:space="preserve">BetterEvaluation. Manager’s Guide to Evaluation. betterevaluation.org</w:t>
      </w:r>
    </w:p>
    <w:p>
      <w:pPr>
        <w:numPr>
          <w:ilvl w:val="0"/>
          <w:numId w:val="1002"/>
        </w:numPr>
        <w:pStyle w:val="Compact"/>
      </w:pPr>
      <w:r>
        <w:t xml:space="preserve">ALNAP (2016). Evaluation of Humanitarian Action Guide.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2026-09-23T23:56:51Z</dcterms:created>
  <dcterms:modified xsi:type="dcterms:W3CDTF">2026-09-23T23:56:51Z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