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jpg" ContentType="image/jpe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CaptionedFigure"/>
      </w:pPr>
      <w:r>
        <w:drawing>
          <wp:inline>
            <wp:extent cx="2011680" cy="438363"/>
            <wp:effectExtent b="0" l="0" r="0" t="0"/>
            <wp:docPr descr="Datimpacto" title="" id="1" name="Picture"/>
            <a:graphic>
              <a:graphicData uri="http://schemas.openxmlformats.org/drawingml/2006/picture">
                <pic:pic>
                  <pic:nvPicPr>
                    <pic:cNvPr descr="logo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1680" cy="4383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Datimpacto</w:t>
      </w:r>
    </w:p>
    <w:bookmarkStart w:id="25" w:name="final-deliverable-sign-off-checklist"/>
    <w:p>
      <w:pPr>
        <w:pStyle w:val="Heading1"/>
      </w:pPr>
      <w:r>
        <w:t xml:space="preserve">Final Deliverable Sign-off Checklist</w:t>
      </w:r>
    </w:p>
    <w:p>
      <w:pPr>
        <w:pStyle w:val="FirstParagraph"/>
      </w:pPr>
      <w:r>
        <w:t xml:space="preserve">Datimpacto · MEL Community of Practice Toolkit · Tool 5</w:t>
      </w:r>
    </w:p>
    <w:p>
      <w:pPr>
        <w:pStyle w:val="BodyText"/>
      </w:pPr>
      <w:r>
        <w:t xml:space="preserve">Purpose: decide whether a final deliverable is ready to approve, with reasons you can share with the consultant/provider.</w:t>
      </w:r>
      <w:r>
        <w:t xml:space="preserve"> </w:t>
      </w:r>
      <w:r>
        <w:t xml:space="preserve">When to use: when the draft final deliverable arrives, and again for the revised version.</w:t>
      </w:r>
      <w:r>
        <w:t xml:space="preserve"> </w:t>
      </w:r>
      <w:r>
        <w:t xml:space="preserve">Time needed: 1.5 to 3 hours, depending on length.</w:t>
      </w:r>
    </w:p>
    <w:bookmarkStart w:id="21" w:name="seven-questions-before-you-sign-off"/>
    <w:p>
      <w:pPr>
        <w:pStyle w:val="Heading2"/>
      </w:pPr>
      <w:r>
        <w:t xml:space="preserve">Seven Questions Before You Sign Off</w:t>
      </w:r>
    </w:p>
    <w:tbl>
      <w:tblPr>
        <w:tblStyle w:val="Table"/>
        <w:tblW w:type="pct" w:w="4999.999999999999"/>
        <w:tblLook w:firstRow="1" w:lastRow="0" w:firstColumn="0" w:lastColumn="0" w:noHBand="0" w:noVBand="0"/>
      </w:tblPr>
      <w:tblGrid>
        <w:gridCol w:w="71"/>
        <w:gridCol w:w="1209"/>
        <w:gridCol w:w="4078"/>
        <w:gridCol w:w="25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to look for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Red flag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Does it answer what was asked?</w:t>
            </w:r>
          </w:p>
        </w:tc>
        <w:tc>
          <w:p>
            <w:pPr>
              <w:pStyle w:val="Compact"/>
              <w:jc w:val="left"/>
            </w:pPr>
            <w:r>
              <w:t xml:space="preserve">Every priority question or ToR requirement is addressed.</w:t>
            </w:r>
          </w:p>
        </w:tc>
        <w:tc>
          <w:p>
            <w:pPr>
              <w:pStyle w:val="Compact"/>
              <w:jc w:val="left"/>
            </w:pPr>
            <w:r>
              <w:t xml:space="preserve">Requirements dropped or merged without explanation.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Is the product trustworthy?</w:t>
            </w:r>
          </w:p>
        </w:tc>
        <w:tc>
          <w:p>
            <w:pPr>
              <w:pStyle w:val="Compact"/>
              <w:jc w:val="left"/>
            </w:pPr>
            <w:r>
              <w:t xml:space="preserve">Sample achieved vs planned, response rates, missing data and limitations stated for a report; data lineage, coverage and known gaps stated for a dataset or system handover.</w:t>
            </w:r>
          </w:p>
        </w:tc>
        <w:tc>
          <w:p>
            <w:pPr>
              <w:pStyle w:val="Compact"/>
              <w:jc w:val="left"/>
            </w:pPr>
            <w:r>
              <w:t xml:space="preserve">No mention of what went wrong, or what the deliverable does not cover.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Is the underlying work sound?</w:t>
            </w:r>
          </w:p>
        </w:tc>
        <w:tc>
          <w:p>
            <w:pPr>
              <w:pStyle w:val="Compact"/>
              <w:jc w:val="left"/>
            </w:pPr>
            <w:r>
              <w:t xml:space="preserve">Methods match the questions or requirements; comparisons, disaggregation or technical choices are explained.</w:t>
            </w:r>
          </w:p>
        </w:tc>
        <w:tc>
          <w:p>
            <w:pPr>
              <w:pStyle w:val="Compact"/>
              <w:jc w:val="left"/>
            </w:pPr>
            <w:r>
              <w:t xml:space="preserve">Percentages with no base, claims the design cannot support, or technical choices left unexplained.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Are the findings or outputs credible?</w:t>
            </w:r>
          </w:p>
        </w:tc>
        <w:tc>
          <w:p>
            <w:pPr>
              <w:pStyle w:val="Compact"/>
              <w:jc w:val="left"/>
            </w:pPr>
            <w:r>
              <w:t xml:space="preserve">Each finding or output is backed by more than one source, or clearly labeled as based on one.</w:t>
            </w:r>
          </w:p>
        </w:tc>
        <w:tc>
          <w:p>
            <w:pPr>
              <w:pStyle w:val="Compact"/>
              <w:jc w:val="left"/>
            </w:pPr>
            <w:r>
              <w:t xml:space="preserve">Findings or outputs resting on a single quote, a single site or an unverified source.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Do conclusions follow from the evidence?</w:t>
            </w:r>
          </w:p>
        </w:tc>
        <w:tc>
          <w:p>
            <w:pPr>
              <w:pStyle w:val="Compact"/>
              <w:jc w:val="left"/>
            </w:pPr>
            <w:r>
              <w:t xml:space="preserve">You can trace each conclusion or design choice back to specific evidence.</w:t>
            </w:r>
          </w:p>
        </w:tc>
        <w:tc>
          <w:p>
            <w:pPr>
              <w:pStyle w:val="Compact"/>
              <w:jc w:val="left"/>
            </w:pPr>
            <w:r>
              <w:t xml:space="preserve">New ideas or choices that never appear in the evidence presented.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Is the deliverable usable?</w:t>
            </w:r>
          </w:p>
        </w:tc>
        <w:tc>
          <w:p>
            <w:pPr>
              <w:pStyle w:val="Compact"/>
              <w:jc w:val="left"/>
            </w:pPr>
            <w:r>
              <w:t xml:space="preserve">Each recommendation, indicator or component says who should do what, and by when, and links to a conclusion or requirement.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Strengthen coordination</w:t>
            </w:r>
            <w:r>
              <w:t xml:space="preserve">”</w:t>
            </w:r>
            <w:r>
              <w:t xml:space="preserve"> </w:t>
            </w:r>
            <w:r>
              <w:t xml:space="preserve">with no owner or action, or a component no one can operate without the consultant.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Is it readable by the team that has to run with it?</w:t>
            </w:r>
          </w:p>
        </w:tc>
        <w:tc>
          <w:p>
            <w:pPr>
              <w:pStyle w:val="Compact"/>
              <w:jc w:val="left"/>
            </w:pPr>
            <w:r>
              <w:t xml:space="preserve">An executive summary or handover note a busy reader can use on its own; plain language; annexes or technical documentation for detail.</w:t>
            </w:r>
          </w:p>
        </w:tc>
        <w:tc>
          <w:p>
            <w:pPr>
              <w:pStyle w:val="Compact"/>
              <w:jc w:val="left"/>
            </w:pPr>
            <w:r>
              <w:t xml:space="preserve">A 100-page report with a 10-page summary, or documentation only the original consultant can navigate.</w:t>
            </w:r>
          </w:p>
        </w:tc>
      </w:tr>
    </w:tbl>
    <w:p>
      <w:pPr>
        <w:pStyle w:val="BodyText"/>
      </w:pPr>
      <w:r>
        <w:t xml:space="preserve">For each question, mark Meets / Partly meets / Does not meet, with a page or section reference.</w:t>
      </w:r>
    </w:p>
    <w:p>
      <w:pPr>
        <w:pStyle w:val="BodyText"/>
      </w:pPr>
      <w:r>
        <w:t xml:space="preserve">Framed here for a final evaluation report, the toolkit’s running example. The same seven questions apply to a MEL system handover, a dataset, or a design document.</w:t>
      </w:r>
    </w:p>
    <w:bookmarkEnd w:id="21"/>
    <w:bookmarkStart w:id="22" w:name="decision"/>
    <w:p>
      <w:pPr>
        <w:pStyle w:val="Heading2"/>
      </w:pPr>
      <w:r>
        <w:t xml:space="preserve">Decision</w:t>
      </w:r>
    </w:p>
    <w:p>
      <w:pPr>
        <w:numPr>
          <w:ilvl w:val="0"/>
          <w:numId w:val="1001"/>
        </w:numPr>
        <w:pStyle w:val="Compact"/>
      </w:pPr>
      <w:r>
        <w:t xml:space="preserve">Approve.</w:t>
      </w:r>
    </w:p>
    <w:p>
      <w:pPr>
        <w:numPr>
          <w:ilvl w:val="0"/>
          <w:numId w:val="1001"/>
        </w:numPr>
        <w:pStyle w:val="Compact"/>
      </w:pPr>
      <w:r>
        <w:t xml:space="preserve">Approve with minor revisions (list them; no new review round needed).</w:t>
      </w:r>
    </w:p>
    <w:p>
      <w:pPr>
        <w:numPr>
          <w:ilvl w:val="0"/>
          <w:numId w:val="1001"/>
        </w:numPr>
        <w:pStyle w:val="Compact"/>
      </w:pPr>
      <w:r>
        <w:t xml:space="preserve">Return for revision (list what must change before the next review).</w:t>
      </w:r>
    </w:p>
    <w:p>
      <w:pPr>
        <w:pStyle w:val="FirstParagraph"/>
      </w:pPr>
      <w:r>
        <w:t xml:space="preserve">Share comments in a response matrix (comment, section, provider response, status) so every point gets closed.</w:t>
      </w:r>
    </w:p>
    <w:bookmarkEnd w:id="22"/>
    <w:bookmarkStart w:id="23" w:name="a-note-on-ai"/>
    <w:p>
      <w:pPr>
        <w:pStyle w:val="Heading2"/>
      </w:pPr>
      <w:r>
        <w:t xml:space="preserve">A Note on AI</w:t>
      </w:r>
    </w:p>
    <w:p>
      <w:pPr>
        <w:pStyle w:val="FirstParagraph"/>
      </w:pPr>
      <w:r>
        <w:t xml:space="preserve">An AI assistant can run a first pass on the deliverable’s text and stated methodology (see Tool 9). It does not see raw beneficiary-level data, and it does not approve the deliverable. A person reads it and signs off.</w:t>
      </w:r>
    </w:p>
    <w:bookmarkEnd w:id="23"/>
    <w:bookmarkStart w:id="24" w:name="references"/>
    <w:p>
      <w:pPr>
        <w:pStyle w:val="Heading2"/>
      </w:pPr>
      <w:r>
        <w:t xml:space="preserve">References</w:t>
      </w:r>
    </w:p>
    <w:p>
      <w:pPr>
        <w:numPr>
          <w:ilvl w:val="0"/>
          <w:numId w:val="1002"/>
        </w:numPr>
        <w:pStyle w:val="Compact"/>
      </w:pPr>
      <w:r>
        <w:t xml:space="preserve">UNEG (2010). Quality Checklist for Evaluation Reports.</w:t>
      </w:r>
    </w:p>
    <w:p>
      <w:pPr>
        <w:numPr>
          <w:ilvl w:val="0"/>
          <w:numId w:val="1002"/>
        </w:numPr>
        <w:pStyle w:val="Compact"/>
      </w:pPr>
      <w:r>
        <w:t xml:space="preserve">OECD DAC (2010). Quality Standards for Development Evaluation.</w:t>
      </w:r>
    </w:p>
    <w:p>
      <w:pPr>
        <w:numPr>
          <w:ilvl w:val="0"/>
          <w:numId w:val="1002"/>
        </w:numPr>
        <w:pStyle w:val="Compact"/>
      </w:pPr>
      <w:r>
        <w:t xml:space="preserve">ALNAP (2016). Evaluation of Humanitarian Action Guide.</w:t>
      </w:r>
    </w:p>
    <w:p>
      <w:pPr>
        <w:numPr>
          <w:ilvl w:val="0"/>
          <w:numId w:val="1002"/>
        </w:numPr>
        <w:pStyle w:val="Compact"/>
      </w:pPr>
      <w:r>
        <w:t xml:space="preserve">BetterEvaluation. Manager’s Guide to Evaluation. betterevaluation.org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jp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2026-09-23T23:56:51Z</dcterms:created>
  <dcterms:modified xsi:type="dcterms:W3CDTF">2026-09-23T23:56:51Z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