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4F46E5"/>
          <w:sz w:val="22"/>
          <w:szCs w:val="22"/>
        </w:rPr>
        <w:t xml:space="preserve">MacroBuilt — Tu laboratorio macroeconómico</w:t>
      </w:r>
    </w:p>
    <w:p>
      <w:pPr>
        <w:spacing w:after="40"/>
      </w:pPr>
      <w:r>
        <w:rPr>
          <w:b/>
          <w:bCs/>
          <w:sz w:val="36"/>
          <w:szCs w:val="36"/>
        </w:rPr>
        <w:t xml:space="preserve">Resultados de las entrevistas: validación cualitativa</w:t>
      </w:r>
    </w:p>
    <w:p>
      <w:pPr>
        <w:pBdr>
          <w:bottom w:val="single" w:color="4F46E5" w:sz="6" w:space="6"/>
        </w:pBdr>
        <w:spacing w:after="200"/>
      </w:pPr>
      <w:r>
        <w:rPr>
          <w:color w:val="64748B"/>
          <w:sz w:val="20"/>
          <w:szCs w:val="20"/>
        </w:rPr>
        <w:t xml:space="preserve">Alejandro Ventura Meza · Universidad del Pacífico · Junio 2026</w:t>
      </w:r>
    </w:p>
    <w:p>
      <w:pPr>
        <w:spacing w:after="160" w:line="276"/>
        <w:jc w:val="both"/>
      </w:pPr>
      <w:r>
        <w:t xml:space="preserve">Como complemento a la validación cuantitativa (encuesta a 59 estudiantes de macroeconomía de la Universidad del Pacífico), se realizaron entrevistas en profundidad a cuatro estudiantes de la misma universidad, de distintas carreras, con el fin de evaluar la propuesta de valor de MacroBuilt, su modelo de adopción y la experiencia de uso del prototipo. Por confidencialidad se los identifica como </w:t>
      </w:r>
      <w:r>
        <w:rPr>
          <w:b/>
          <w:bCs/>
        </w:rPr>
        <w:t xml:space="preserve">L (Economía), E (Economía), N (Finanzas) y Er (Administración)</w:t>
      </w:r>
      <w:r>
        <w:t xml:space="preserve">. La entrevista fue grabada en su totalidad y está disponible para revisión en el siguiente enlace: </w:t>
      </w:r>
      <w:hyperlink w:history="1" r:id="rIdtymoxrupsbeibcsrv4g8i">
        <w:r>
          <w:rPr>
            <w:rStyle w:val="Hyperlink"/>
          </w:rPr>
          <w:t xml:space="preserve">ver grabación de la entrevista</w:t>
        </w:r>
      </w:hyperlink>
      <w:r>
        <w:t xml:space="preserve">.</w:t>
      </w:r>
    </w:p>
    <w:p>
      <w:pPr>
        <w:pStyle w:val="Heading1"/>
        <w:spacing w:after="120" w:before="240"/>
      </w:pPr>
      <w:r>
        <w:t xml:space="preserve">1. Entrevista a L (Economía)</w:t>
      </w:r>
    </w:p>
    <w:p>
      <w:pPr>
        <w:spacing w:after="160" w:line="276"/>
        <w:jc w:val="both"/>
      </w:pPr>
      <w:r>
        <w:t xml:space="preserve">Para L, la validez de MacroBuilt se sustenta en su capacidad de dotar a los usuarios de habilidades efectivamente aprovechables en el mercado laboral. En esa línea, su pregunta central fue cuánto se utiliza el paquete Dynare en la práctica profesional. La respuesta fue categórica: en buena parte de la comunidad académica y entre los tomadores de decisiones de política pública —en particular la política monetaria—, Dynare opera como el traductor que concretiza las abstracciones teóricas de la macroeconomía.</w:t>
      </w:r>
      <w:r>
        <w:rPr>
          <w:rStyle w:val="FootnoteReference"/>
        </w:rPr>
        <w:footnoteReference w:id="1"/>
      </w:r>
    </w:p>
    <w:p>
      <w:pPr>
        <w:spacing w:after="160" w:line="276"/>
        <w:jc w:val="both"/>
      </w:pPr>
      <w:r>
        <w:t xml:space="preserve">Un segundo aprendizaje fue el valor de estructurar el producto en torno a la </w:t>
      </w:r>
      <w:r>
        <w:rPr>
          <w:b/>
          <w:bCs/>
        </w:rPr>
        <w:t xml:space="preserve">replicación de papers reales</w:t>
      </w:r>
      <w:r>
        <w:t xml:space="preserve">. Esta práctica no solo validaría la habilidad demandada por el mercado laboral, sino que enriquecería el portafolio del estudiante desde el pregrado, fortaleciendo sus postulaciones a entidades internacionales —no necesariamente bancos centrales—. El egresado pasaría de estar meramente “al tanto” de la macroeconomía a ser capaz de concretarla.</w:t>
      </w:r>
      <w:r>
        <w:rPr>
          <w:rStyle w:val="FootnoteReference"/>
        </w:rPr>
        <w:footnoteReference w:id="2"/>
      </w:r>
    </w:p>
    <w:p>
      <w:pPr>
        <w:spacing w:after="160" w:line="276"/>
        <w:jc w:val="both"/>
      </w:pPr>
      <w:r>
        <w:t xml:space="preserve">L subrayó también la importancia de una validación institucional: el proyecto debe trabajar en estrecha cercanía con el Departamento Académico de Economía de la Universidad del Pacífico, a fin de comprobar si efectivamente mejora el aprendizaje de los estudiantes. Como asistente de docencia, el founder contempla desplegar el programa de forma gratuita, durante 2027, en las secciones de macroeconomía a su cargo; con resultados cuantitativos sólidos podría acercarse al departamento y demostrar el impacto del programa con evidencia dura.</w:t>
      </w:r>
    </w:p>
    <w:p>
      <w:pPr>
        <w:spacing w:after="160" w:line="276"/>
        <w:jc w:val="both"/>
      </w:pPr>
      <w:r>
        <w:t xml:space="preserve">Finalmente, al probar el prototipo, L propuso una experiencia más inmersiva —“estar dentro de Dynare”, al estilo del onboarding del bootcamp de MATLAB— y un reposicionamiento del producto: </w:t>
      </w:r>
      <w:r>
        <w:rPr>
          <w:i/>
          <w:iCs/>
        </w:rPr>
        <w:t xml:space="preserve">“aprender macroeconomía con Dynare”</w:t>
      </w:r>
      <w:r>
        <w:t xml:space="preserve">. La idea es conducir al estudiante a replicar papers reales y útiles para el alumno promedio, reservando una vía más avanzada y de nicho para quienes aspiren a una carrera en macroeconomía. Emerge así una línea de carrera dentro de MacroBuilt: desde una “macro para no macroeconomistas” —teoría más trabajo práctico de replicación— hasta niveles profundos de abstracción, propios de perfiles académicos.</w:t>
      </w:r>
    </w:p>
    <w:p>
      <w:pPr>
        <w:pStyle w:val="Heading1"/>
        <w:spacing w:after="120" w:before="240"/>
      </w:pPr>
      <w:r>
        <w:t xml:space="preserve">2. Entrevista conjunta a E, N y Er</w:t>
      </w:r>
    </w:p>
    <w:p>
      <w:pPr>
        <w:pStyle w:val="Heading2"/>
        <w:spacing w:after="100" w:before="200"/>
      </w:pPr>
      <w:r>
        <w:t xml:space="preserve">E (Economía) — ¿quiénes son los clientes?</w:t>
      </w:r>
    </w:p>
    <w:p>
      <w:pPr>
        <w:spacing w:after="160" w:line="276"/>
        <w:jc w:val="both"/>
      </w:pPr>
      <w:r>
        <w:t xml:space="preserve">E preguntó explícitamente por el cliente objetivo. La respuesta: estudiantes de pregrado y posgrado. MacroBuilt no busca que programar ideas macroeconómicas quede reservado a perfiles muy especializados (posdoctorados o investigadores consolidados), sino permitir que cualquier persona pueda poner en práctica y concretizar ideas tan elementales como las que se enseñan en cualquier curso de economía de agregados. Al consultar por la principal vía de exposición del producto, la respuesta coincidió con la de L: la conexión con el Departamento de Economía es clave para empezar a capturar audiencia.</w:t>
      </w:r>
    </w:p>
    <w:p>
      <w:pPr>
        <w:pStyle w:val="Heading2"/>
        <w:spacing w:after="100" w:before="200"/>
      </w:pPr>
      <w:r>
        <w:t xml:space="preserve">Er (Administración) — barreras de entrada, experiencia y propuesta de valor</w:t>
      </w:r>
    </w:p>
    <w:p>
      <w:pPr>
        <w:spacing w:after="160" w:line="276"/>
        <w:jc w:val="both"/>
      </w:pPr>
      <w:r>
        <w:t xml:space="preserve">Er preguntó si se requiere conocimiento previo para usar la herramienta. La respuesta fue categórica: se busca difuminar la idea de que solo los estudiantes de economía —y aún más, los especializados— pueden utilizar este tipo de lenguajes. Er aportó sugerencias de experiencia de usuario que se registraron explícitamente; en particular, se identificaron errores de lectura del OCR que pueden afectar la fluidez de la experiencia, un punto priorizado de mejora. También pidió precisar qué producto se vende: MacroBuilt comercializa </w:t>
      </w:r>
      <w:r>
        <w:rPr>
          <w:b/>
          <w:bCs/>
        </w:rPr>
        <w:t xml:space="preserve">servicios educativos</w:t>
      </w:r>
      <w:r>
        <w:t xml:space="preserve"> orientados a cerrar brechas de aprendizaje y a potenciar el aprender macroeconomía haciendo, al igual que cualquier científico natural.</w:t>
      </w:r>
      <w:r>
        <w:rPr>
          <w:rStyle w:val="FootnoteReference"/>
        </w:rPr>
        <w:footnoteReference w:id="3"/>
      </w:r>
    </w:p>
    <w:p>
      <w:pPr>
        <w:pStyle w:val="Heading2"/>
        <w:spacing w:after="100" w:before="200"/>
      </w:pPr>
      <w:r>
        <w:t xml:space="preserve">N (Finanzas) — utilidad y costo de la oferta existente</w:t>
      </w:r>
    </w:p>
    <w:p>
      <w:pPr>
        <w:spacing w:after="160" w:line="276"/>
        <w:jc w:val="both"/>
      </w:pPr>
      <w:r>
        <w:t xml:space="preserve">N, proveniente de Finanzas, considera la aplicación de gran utilidad, pues su formación no lo expone a un nivel alto de rigor macroeconómico. Coincidiendo con nuestra investigación de mercado, observó que la oferta existente de cursos, talleres y bootcamps es costosa; y que, incluso cuando es barata o de libre acceso, el costo de búsqueda y de aprendizaje para asimilarla es considerable.</w:t>
      </w:r>
    </w:p>
    <w:p>
      <w:pPr>
        <w:pStyle w:val="Heading1"/>
        <w:spacing w:after="120" w:before="240"/>
      </w:pPr>
      <w:r>
        <w:t xml:space="preserve">3. Aprendizajes transversales</w:t>
      </w:r>
    </w:p>
    <w:p>
      <w:pPr>
        <w:pStyle w:val="ListParagraph"/>
        <w:numPr>
          <w:ilvl w:val="0"/>
          <w:numId w:val="1"/>
        </w:numPr>
        <w:spacing w:after="100" w:line="276"/>
      </w:pPr>
      <w:r>
        <w:rPr>
          <w:b/>
          <w:bCs/>
        </w:rPr>
        <w:t xml:space="preserve">Posicionamiento: </w:t>
      </w:r>
      <w:r>
        <w:t xml:space="preserve">“aprende macroeconomía haciendo, con Dynare” — del concepto teórico a la replicación concreta.</w:t>
      </w:r>
    </w:p>
    <w:p>
      <w:pPr>
        <w:pStyle w:val="ListParagraph"/>
        <w:numPr>
          <w:ilvl w:val="0"/>
          <w:numId w:val="1"/>
        </w:numPr>
        <w:spacing w:after="100" w:line="276"/>
      </w:pPr>
      <w:r>
        <w:rPr>
          <w:b/>
          <w:bCs/>
        </w:rPr>
        <w:t xml:space="preserve">Canal de adopción: </w:t>
      </w:r>
      <w:r>
        <w:t xml:space="preserve">alianza con el Departamento de Economía de la UP; piloto gratuito en aulas (2027) para generar evidencia cuantitativa.</w:t>
      </w:r>
    </w:p>
    <w:p>
      <w:pPr>
        <w:pStyle w:val="ListParagraph"/>
        <w:numPr>
          <w:ilvl w:val="0"/>
          <w:numId w:val="1"/>
        </w:numPr>
        <w:spacing w:after="100" w:line="276"/>
      </w:pPr>
      <w:r>
        <w:rPr>
          <w:b/>
          <w:bCs/>
        </w:rPr>
        <w:t xml:space="preserve">Producto: </w:t>
      </w:r>
      <w:r>
        <w:t xml:space="preserve">servicios educativos que cierran brechas; la replicación de papers como puente teoría–práctica y como activo de portafolio.</w:t>
      </w:r>
    </w:p>
    <w:p>
      <w:pPr>
        <w:pStyle w:val="ListParagraph"/>
        <w:numPr>
          <w:ilvl w:val="0"/>
          <w:numId w:val="1"/>
        </w:numPr>
        <w:spacing w:after="100" w:line="276"/>
      </w:pPr>
      <w:r>
        <w:rPr>
          <w:b/>
          <w:bCs/>
        </w:rPr>
        <w:t xml:space="preserve">Ruta de carrera en el producto: </w:t>
      </w:r>
      <w:r>
        <w:t xml:space="preserve">desde una “macro para no macroeconomistas” hasta la abstracción avanzada para perfiles académicos.</w:t>
      </w:r>
    </w:p>
    <w:p>
      <w:pPr>
        <w:pStyle w:val="ListParagraph"/>
        <w:numPr>
          <w:ilvl w:val="0"/>
          <w:numId w:val="1"/>
        </w:numPr>
        <w:spacing w:after="100" w:line="276"/>
      </w:pPr>
      <w:r>
        <w:rPr>
          <w:b/>
          <w:bCs/>
        </w:rPr>
        <w:t xml:space="preserve">Mejoras priorizadas: </w:t>
      </w:r>
      <w:r>
        <w:t xml:space="preserve">experiencia de usuario y robustez del lector OCR.</w:t>
      </w:r>
    </w:p>
    <w:p>
      <w:pPr>
        <w:pStyle w:val="Heading1"/>
        <w:spacing w:after="120" w:before="240"/>
      </w:pPr>
      <w:r>
        <w:t xml:space="preserve">Bibliografía</w:t>
      </w:r>
    </w:p>
    <w:p>
      <w:pPr>
        <w:spacing w:after="120" w:line="264"/>
        <w:ind w:left="360" w:hanging="360"/>
      </w:pPr>
      <w:r>
        <w:t xml:space="preserve">Adjemian, S. et al. </w:t>
      </w:r>
      <w:r>
        <w:rPr>
          <w:i/>
          <w:iCs/>
        </w:rPr>
        <w:t xml:space="preserve">Dynare: Reference Manual</w:t>
      </w:r>
      <w:r>
        <w:t xml:space="preserve">. París: CEPREMAP/Dynare. </w:t>
      </w:r>
      <w:hyperlink w:history="1" r:id="rIdsib1ei1oi9i5i8z6a4tlg">
        <w:r>
          <w:rPr>
            <w:rStyle w:val="Hyperlink"/>
          </w:rPr>
          <w:t xml:space="preserve">https://www.dynare.org/about/</w:t>
        </w:r>
      </w:hyperlink>
    </w:p>
    <w:p>
      <w:pPr>
        <w:spacing w:after="120" w:line="264"/>
        <w:ind w:left="360" w:hanging="360"/>
      </w:pPr>
      <w:r>
        <w:t xml:space="preserve">Fondo Monetario Internacional (FMI). </w:t>
      </w:r>
      <w:r>
        <w:rPr>
          <w:i/>
          <w:iCs/>
        </w:rPr>
        <w:t xml:space="preserve">Fiscal and Monetary Policy Analysis with DSGE Models</w:t>
      </w:r>
      <w:r>
        <w:t xml:space="preserve">. </w:t>
      </w:r>
      <w:hyperlink w:history="1" r:id="rIdhyi_r0_rd4buviky5klyb">
        <w:r>
          <w:rPr>
            <w:rStyle w:val="Hyperlink"/>
          </w:rPr>
          <w:t xml:space="preserve">https://www.imf.org/-/media/files/icd/dsge.pdf</w:t>
        </w:r>
      </w:hyperlink>
    </w:p>
    <w:p>
      <w:pPr>
        <w:spacing w:after="120" w:line="264"/>
        <w:ind w:left="360" w:hanging="360"/>
      </w:pPr>
      <w:r>
        <w:t xml:space="preserve">Board of Governors of the Federal Reserve System. </w:t>
      </w:r>
      <w:r>
        <w:rPr>
          <w:i/>
          <w:iCs/>
        </w:rPr>
        <w:t xml:space="preserve">Optimal Monetary Policy in a DSGE Model (FEDS Notes, 2018)</w:t>
      </w:r>
      <w:r>
        <w:t xml:space="preserve">. </w:t>
      </w:r>
      <w:hyperlink w:history="1" r:id="rIdlbsziz8tsdsx1ptijxzaz">
        <w:r>
          <w:rPr>
            <w:rStyle w:val="Hyperlink"/>
          </w:rPr>
          <w:t xml:space="preserve">https://www.federalreserve.gov/econres/notes/feds-notes/optimal-monetary-policy-in-a-dsge-model-with-attenuated-forward-guidance-effects-20181019.html</w:t>
        </w:r>
      </w:hyperlink>
    </w:p>
    <w:p>
      <w:pPr>
        <w:spacing w:after="120" w:line="264"/>
        <w:ind w:left="360" w:hanging="360"/>
      </w:pPr>
      <w:r>
        <w:t xml:space="preserve">Freeman, S., Eddy, S. L., McDonough, M., Smith, M. K., Okoroafor, N., Jordt, H., &amp; Wenderoth, M. P. (2014). </w:t>
      </w:r>
      <w:r>
        <w:rPr>
          <w:i/>
          <w:iCs/>
        </w:rPr>
        <w:t xml:space="preserve">Active learning increases student performance in science, engineering, and mathematics</w:t>
      </w:r>
      <w:r>
        <w:t xml:space="preserve">. PNAS, 111(23), 8410–8415. </w:t>
      </w:r>
      <w:hyperlink w:history="1" r:id="rIdwyhm2ujmwbs0umvwbphd8">
        <w:r>
          <w:rPr>
            <w:rStyle w:val="Hyperlink"/>
          </w:rPr>
          <w:t xml:space="preserve">https://www.pnas.org/doi/10.1073/pnas.1319030111</w:t>
        </w:r>
      </w:hyperlink>
    </w:p>
    <w:p>
      <w:pPr>
        <w:spacing w:after="120" w:line="264"/>
        <w:ind w:left="360" w:hanging="360"/>
      </w:pPr>
      <w:r>
        <w:t xml:space="preserve"/>
      </w:r>
      <w:r>
        <w:rPr>
          <w:i/>
          <w:iCs/>
        </w:rPr>
        <w:t xml:space="preserve">Integrating programming into the modern undergraduate economics curriculum</w:t>
      </w:r>
      <w:r>
        <w:t xml:space="preserve"> (2025). International Review of Economics Education. </w:t>
      </w:r>
      <w:hyperlink w:history="1" r:id="rIdaefrlcuvztjzjasknnu1s">
        <w:r>
          <w:rPr>
            <w:rStyle w:val="Hyperlink"/>
          </w:rPr>
          <w:t xml:space="preserve">https://www.sciencedirect.com/science/article/pii/S1477388025000027</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MacroBuilt · Resultados de entrevistas ·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Los modelos DSGE —para los que Dynare es la plataforma de referencia— constituyen el principal instrumento del análisis de política monetaria en bancos centrales y organismos multilaterales. Véase FMI, “Fiscal and Monetary Policy Analysis with DSGE Models”; Board of Governors of the Federal Reserve System (FEDS Notes); y Dynare (dynare.org).</w:t>
      </w:r>
    </w:p>
  </w:footnote>
  <w:footnote w:id="2">
    <w:p>
      <w:r>
        <w:rPr>
          <w:rStyle w:val="FootnoteReference"/>
        </w:rPr>
        <w:footnoteRef/>
      </w:r>
      <w:r>
        <w:t xml:space="preserve">La incorporación de la programación al currículo de economía mejora la comprensión de los conceptos, la empleabilidad y la preparación para el posgrado. Véase “Integrating programming into the modern undergraduate economics curriculum”, International Review of Economics Education (2025).</w:t>
      </w:r>
    </w:p>
  </w:footnote>
  <w:footnote w:id="3">
    <w:p>
      <w:r>
        <w:rPr>
          <w:rStyle w:val="FootnoteReference"/>
        </w:rPr>
        <w:footnoteRef/>
      </w:r>
      <w:r>
        <w:t xml:space="preserve">El aprendizaje activo (“aprender haciendo”) incrementa de forma significativa el rendimiento en ciencia, ingeniería y matemáticas y reduce las tasas de desaprobación. Freeman et al. (2014), PNAS, 111(23), 8410–8415.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2937"/>
      <w:sz w:val="28"/>
      <w:szCs w:val="28"/>
    </w:rPr>
  </w:style>
  <w:style w:type="paragraph" w:styleId="Heading2">
    <w:name w:val="Heading 2"/>
    <w:basedOn w:val="Normal"/>
    <w:next w:val="Normal"/>
    <w:qFormat/>
    <w:pPr>
      <w:spacing w:after="80" w:before="160"/>
      <w:outlineLvl w:val="1"/>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ymoxrupsbeibcsrv4g8i" Type="http://schemas.openxmlformats.org/officeDocument/2006/relationships/hyperlink" Target="https://drive.google.com/drive/folders/1JJwpgpG46uejfJ2LFe5z_YaQT_dJDB_e?usp=sharing" TargetMode="External"/><Relationship Id="rIdsib1ei1oi9i5i8z6a4tlg" Type="http://schemas.openxmlformats.org/officeDocument/2006/relationships/hyperlink" Target="https://www.dynare.org/about/" TargetMode="External"/><Relationship Id="rIdhyi_r0_rd4buviky5klyb" Type="http://schemas.openxmlformats.org/officeDocument/2006/relationships/hyperlink" Target="https://www.imf.org/-/media/files/icd/dsge.pdf" TargetMode="External"/><Relationship Id="rIdlbsziz8tsdsx1ptijxzaz" Type="http://schemas.openxmlformats.org/officeDocument/2006/relationships/hyperlink" Target="https://www.federalreserve.gov/econres/notes/feds-notes/optimal-monetary-policy-in-a-dsge-model-with-attenuated-forward-guidance-effects-20181019.html" TargetMode="External"/><Relationship Id="rIdwyhm2ujmwbs0umvwbphd8" Type="http://schemas.openxmlformats.org/officeDocument/2006/relationships/hyperlink" Target="https://www.pnas.org/doi/10.1073/pnas.1319030111" TargetMode="External"/><Relationship Id="rIdaefrlcuvztjzjasknnu1s" Type="http://schemas.openxmlformats.org/officeDocument/2006/relationships/hyperlink" Target="https://www.sciencedirect.com/science/article/pii/S1477388025000027"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2026-06-23T11:34:58.651Z</dcterms:created>
  <dcterms:modified xsi:type="dcterms:W3CDTF">2026-06-23T11:34:58.651Z</dcterms:modified>
</cp:coreProperties>
</file>

<file path=docProps/custom.xml><?xml version="1.0" encoding="utf-8"?>
<Properties xmlns="http://schemas.openxmlformats.org/officeDocument/2006/custom-properties" xmlns:vt="http://schemas.openxmlformats.org/officeDocument/2006/docPropsVTypes"/>
</file>