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Planificación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  <w:t xml:space="preserve"> de octubre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1 Propuesta de arquitectura.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Desarrollo de microservicios en Java para el manejo de las operaciones, con una aplicación web en jsf utilizando PrimeFace para el manejo de peticiones Ajax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La base de datos en PostgreSQL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Para la seguridad en la comunicación entre el aplicativo web y el microservicio manejar mecanismo de autenticación y bloqueo por dirección de IP, según normas de estándares de desarrollo.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Componentes.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1 Micro servicio para la gestión de clientes  y servidores  y medios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2 Aplicación web en JSF y Primer Face.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Comunicación entre microservicio y aplicación utilizando el formato JSON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Modelo DB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4313" cy="38246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824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Planificación.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Micro servicio.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Modelado de db  2h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de Cliente  4h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de Servidor  4h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de Medio  4h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Aplicación web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Gestión de clientes 20h.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Gestión de falla 12h. 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Requisitos por parte del cliente.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1 Entrega de la base de datos de clientes y medios.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Equipo de trabajo 2 desarrolladores y certificación del equipo de QA en caso que la entidad cuente con un departamento de calidad. 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ínea horizontal" id="2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