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120" w:line="276" w:lineRule="auto"/>
        <w:jc w:val="center"/>
        <w:rPr>
          <w:rFonts w:ascii="Arial" w:cs="Arial" w:eastAsia="Arial" w:hAnsi="Arial"/>
          <w:b w:val="1"/>
          <w:sz w:val="28"/>
          <w:szCs w:val="28"/>
        </w:rPr>
      </w:pPr>
      <w:bookmarkStart w:colFirst="0" w:colLast="0" w:name="_rpr4eirri45t" w:id="0"/>
      <w:bookmarkEnd w:id="0"/>
      <w:r w:rsidDel="00000000" w:rsidR="00000000" w:rsidRPr="00000000">
        <w:rPr>
          <w:rFonts w:ascii="Times" w:cs="Times" w:eastAsia="Times" w:hAnsi="Times"/>
          <w:color w:val="000000"/>
          <w:sz w:val="24"/>
          <w:szCs w:val="24"/>
        </w:rPr>
        <w:drawing>
          <wp:inline distB="114300" distT="114300" distL="114300" distR="114300">
            <wp:extent cx="1047750" cy="1304925"/>
            <wp:effectExtent b="0" l="0" r="0" t="0"/>
            <wp:docPr id="1" name="image1.jpg"/>
            <a:graphic>
              <a:graphicData uri="http://schemas.openxmlformats.org/drawingml/2006/picture">
                <pic:pic>
                  <pic:nvPicPr>
                    <pic:cNvPr id="0" name="image1.jpg"/>
                    <pic:cNvPicPr preferRelativeResize="0"/>
                  </pic:nvPicPr>
                  <pic:blipFill>
                    <a:blip r:embed="rId6"/>
                    <a:srcRect b="25088" l="30388" r="30742" t="26501"/>
                    <a:stretch>
                      <a:fillRect/>
                    </a:stretch>
                  </pic:blipFill>
                  <pic:spPr>
                    <a:xfrm>
                      <a:off x="0" y="0"/>
                      <a:ext cx="10477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Fonts w:ascii="Arial" w:cs="Arial" w:eastAsia="Arial" w:hAnsi="Arial"/>
          <w:b w:val="1"/>
          <w:sz w:val="28"/>
          <w:szCs w:val="28"/>
          <w:rtl w:val="0"/>
        </w:rPr>
        <w:t xml:space="preserve">Router and Switch Security Policy</w:t>
      </w:r>
      <w:r w:rsidDel="00000000" w:rsidR="00000000" w:rsidRPr="00000000">
        <w:rPr>
          <w:rtl w:val="0"/>
        </w:rPr>
      </w:r>
    </w:p>
    <w:p w:rsidR="00000000" w:rsidDel="00000000" w:rsidP="00000000" w:rsidRDefault="00000000" w:rsidRPr="00000000" w14:paraId="00000003">
      <w:pPr>
        <w:pStyle w:val="Heading1"/>
        <w:numPr>
          <w:ilvl w:val="0"/>
          <w:numId w:val="4"/>
        </w:numPr>
        <w:spacing w:before="0" w:lineRule="auto"/>
        <w:ind w:left="360" w:hanging="360"/>
        <w:rPr/>
      </w:pPr>
      <w:r w:rsidDel="00000000" w:rsidR="00000000" w:rsidRPr="00000000">
        <w:rPr>
          <w:rtl w:val="0"/>
        </w:rPr>
        <w:t xml:space="preserve">Purpose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describes a required minimal security configuration for all routers and switches connecting to a production network or used in a production capacity at or on behalf of </w:t>
      </w:r>
      <w:r w:rsidDel="00000000" w:rsidR="00000000" w:rsidRPr="00000000">
        <w:rPr>
          <w:rtl w:val="0"/>
        </w:rPr>
        <w:t xml:space="preserve">CBNJ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numPr>
          <w:ilvl w:val="0"/>
          <w:numId w:val="4"/>
        </w:numPr>
        <w:spacing w:before="0" w:lineRule="auto"/>
        <w:ind w:left="360" w:hanging="360"/>
        <w:rPr/>
      </w:pPr>
      <w:r w:rsidDel="00000000" w:rsidR="00000000" w:rsidRPr="00000000">
        <w:rPr>
          <w:rtl w:val="0"/>
        </w:rPr>
        <w:t xml:space="preserve">Scope</w:t>
      </w:r>
    </w:p>
    <w:p w:rsidR="00000000" w:rsidDel="00000000" w:rsidP="00000000" w:rsidRDefault="00000000" w:rsidRPr="00000000" w14:paraId="00000007">
      <w:pPr>
        <w:rPr/>
      </w:pPr>
      <w:r w:rsidDel="00000000" w:rsidR="00000000" w:rsidRPr="00000000">
        <w:rPr>
          <w:rtl w:val="0"/>
        </w:rPr>
        <w:t xml:space="preserve">All employees, contractors, consultants, temporary and other workers at CBNJ and its subsidiaries must adhere to this policy. All routers and switches connected to CBNJ production networks are affected.</w:t>
      </w:r>
    </w:p>
    <w:p w:rsidR="00000000" w:rsidDel="00000000" w:rsidP="00000000" w:rsidRDefault="00000000" w:rsidRPr="00000000" w14:paraId="00000008">
      <w:pPr>
        <w:pStyle w:val="Heading1"/>
        <w:numPr>
          <w:ilvl w:val="0"/>
          <w:numId w:val="4"/>
        </w:numPr>
        <w:spacing w:before="0" w:lineRule="auto"/>
        <w:ind w:left="360" w:hanging="360"/>
        <w:rPr/>
      </w:pPr>
      <w:r w:rsidDel="00000000" w:rsidR="00000000" w:rsidRPr="00000000">
        <w:rPr>
          <w:rtl w:val="0"/>
        </w:rPr>
        <w:t xml:space="preserve">Policy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router must meet the following configuration standards: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local user accounts are configured on the router. Routers and switches must use TACACS+ for all user authentication.</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enable password on the router or switch must be kept in a secure encrypted form. The router or switch must have the enable password set to the current production router/switch password from the device’s support organization.</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services or features must be disabled: </w:t>
      </w:r>
    </w:p>
    <w:p w:rsidR="00000000" w:rsidDel="00000000" w:rsidP="00000000" w:rsidRDefault="00000000" w:rsidRPr="00000000" w14:paraId="000000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directed broadcasts </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Incoming packets at the router/switch sourced with invalid addresses such as RFC1918 addresses</w:t>
      </w:r>
    </w:p>
    <w:p w:rsidR="00000000" w:rsidDel="00000000" w:rsidP="00000000" w:rsidRDefault="00000000" w:rsidRPr="00000000" w14:paraId="0000001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 small services </w:t>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UDP small services </w:t>
      </w:r>
    </w:p>
    <w:p w:rsidR="00000000" w:rsidDel="00000000" w:rsidP="00000000" w:rsidRDefault="00000000" w:rsidRPr="00000000" w14:paraId="0000001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source routing and switching</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web services running on router</w:t>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CBNJ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discovery protocol on Internet connected interfaces</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Telnet, FTP, and HTTP services</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Auto-configuration</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services should be disabled unless a business justification is provided:</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CBNJ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discovery protocol and other discovery protocols</w:t>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trunking</w:t>
      </w:r>
    </w:p>
    <w:p w:rsidR="00000000" w:rsidDel="00000000" w:rsidP="00000000" w:rsidRDefault="00000000" w:rsidRPr="00000000" w14:paraId="0000001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Scripting environments, such as the TCL shell</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services must be configured:</w:t>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Password-encryption</w:t>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NTP configured to a corporate standard source</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routing updates shall be done using secure routing updates.</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corporate standardized SNMP community strings.  Default strings, such as public or private must be removed.  SNMP must be configured to use the most secure version of the protocol allowed for by the combination of the device and management systems.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control lists must be used to limit the source and type of traffic that can terminate on the device itself.</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control lists for transiting the device are to be added as business needs arise. </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router must be included in the corporate enterprise management system with a designated point of contact. </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router must have the following statement presented for all forms of login whether remote or local: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"UNAUTHORIZED ACCESS TO THIS NETWORK DEVICE IS PROHIBITED. You must have explicit permission to access or configure this device. All activities performed on this device may be logged, and violations of this policy may result in disciplinary action, and may be reported to law enforcement. There is no right to privacy on this device. Use of this system shall constitute consent to monitoring."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Telnet may never be used across any network to manage a router, unless there is a secure tunnel protecting the entire communication path. SSH version 2 is the preferred management protocol.</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routing protocols must use authentication in routing updates sent to neighbors.  Password hashing for the authentication string must be enabled when supported.</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corporate router configuration standard will define the category of sensitive routing and switching devices, and require additional services or configuration on sensitive devices including:</w:t>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access list accounting</w:t>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logging</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Incoming packets at the router sourced with invalid addresses, such as RFC1918 addresses, or those that could be used to spoof network traffic shall be dropped</w:t>
      </w:r>
    </w:p>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 console and modem access must be restricted by additional security controls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numPr>
          <w:ilvl w:val="0"/>
          <w:numId w:val="4"/>
        </w:numPr>
        <w:spacing w:before="0" w:lineRule="auto"/>
        <w:ind w:left="360" w:hanging="360"/>
        <w:rPr/>
      </w:pPr>
      <w:r w:rsidDel="00000000" w:rsidR="00000000" w:rsidRPr="00000000">
        <w:rPr>
          <w:rtl w:val="0"/>
        </w:rPr>
        <w:t xml:space="preserve">Policy Compliance</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Compliance Measurement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Infosec team will verify compliance to this policy through various methods, including but not limited to, periodic walk-thrus, video monitoring, business tool reports, internal and external audits, and feedback to the policy owner. </w:t>
      </w:r>
    </w:p>
    <w:p w:rsidR="00000000" w:rsidDel="00000000" w:rsidP="00000000" w:rsidRDefault="00000000" w:rsidRPr="00000000" w14:paraId="00000032">
      <w:pPr>
        <w:pStyle w:val="Heading1"/>
        <w:numPr>
          <w:ilvl w:val="1"/>
          <w:numId w:val="1"/>
        </w:numPr>
        <w:spacing w:before="0" w:line="240" w:lineRule="auto"/>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Exceptions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exception to the policy must be approved by the Infosec team in advance. </w:t>
      </w:r>
    </w:p>
    <w:p w:rsidR="00000000" w:rsidDel="00000000" w:rsidP="00000000" w:rsidRDefault="00000000" w:rsidRPr="00000000" w14:paraId="00000034">
      <w:pPr>
        <w:pStyle w:val="Heading1"/>
        <w:numPr>
          <w:ilvl w:val="1"/>
          <w:numId w:val="1"/>
        </w:numPr>
        <w:spacing w:before="0" w:line="240" w:lineRule="auto"/>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Non-Compliance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employee found to have violated this policy may be subject to disciplinary action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pStyle w:val="Heading1"/>
        <w:numPr>
          <w:ilvl w:val="0"/>
          <w:numId w:val="1"/>
        </w:numPr>
        <w:spacing w:before="0" w:lineRule="auto"/>
        <w:ind w:left="360" w:hanging="360"/>
        <w:rPr/>
      </w:pPr>
      <w:r w:rsidDel="00000000" w:rsidR="00000000" w:rsidRPr="00000000">
        <w:rPr>
          <w:rtl w:val="0"/>
        </w:rPr>
        <w:t xml:space="preserve">Related Standards, Policies and Processes</w:t>
      </w:r>
    </w:p>
    <w:p w:rsidR="00000000" w:rsidDel="00000000" w:rsidP="00000000" w:rsidRDefault="00000000" w:rsidRPr="00000000" w14:paraId="00000037">
      <w:pPr>
        <w:spacing w:after="0" w:lineRule="auto"/>
        <w:rPr/>
      </w:pPr>
      <w:r w:rsidDel="00000000" w:rsidR="00000000" w:rsidRPr="00000000">
        <w:rPr>
          <w:rtl w:val="0"/>
        </w:rPr>
        <w:t xml:space="preserve">None. </w:t>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pStyle w:val="Heading1"/>
        <w:numPr>
          <w:ilvl w:val="0"/>
          <w:numId w:val="1"/>
        </w:numPr>
        <w:spacing w:before="0" w:lineRule="auto"/>
        <w:ind w:left="360" w:hanging="360"/>
        <w:rPr/>
      </w:pPr>
      <w:r w:rsidDel="00000000" w:rsidR="00000000" w:rsidRPr="00000000">
        <w:rPr>
          <w:rtl w:val="0"/>
        </w:rPr>
        <w:t xml:space="preserve">Definitions and Terms</w:t>
      </w:r>
    </w:p>
    <w:p w:rsidR="00000000" w:rsidDel="00000000" w:rsidP="00000000" w:rsidRDefault="00000000" w:rsidRPr="00000000" w14:paraId="0000003A">
      <w:pPr>
        <w:spacing w:after="0" w:line="276.00000208074397" w:lineRule="auto"/>
        <w:rPr/>
      </w:pPr>
      <w:r w:rsidDel="00000000" w:rsidR="00000000" w:rsidRPr="00000000">
        <w:rPr>
          <w:rtl w:val="0"/>
        </w:rPr>
        <w:t xml:space="preserve">The following definition and terms can be found in the SANS Glossary located at:</w:t>
      </w:r>
    </w:p>
    <w:p w:rsidR="00000000" w:rsidDel="00000000" w:rsidP="00000000" w:rsidRDefault="00000000" w:rsidRPr="00000000" w14:paraId="0000003B">
      <w:pPr>
        <w:spacing w:after="0" w:line="276.00000208074397" w:lineRule="auto"/>
        <w:rPr/>
      </w:pPr>
      <w:hyperlink r:id="rId7">
        <w:r w:rsidDel="00000000" w:rsidR="00000000" w:rsidRPr="00000000">
          <w:rPr>
            <w:color w:val="1155cc"/>
            <w:u w:val="single"/>
            <w:rtl w:val="0"/>
          </w:rPr>
          <w:t xml:space="preserve">https://www.sans.org/security-resources/glossary-of-terms/</w:t>
        </w:r>
      </w:hyperlink>
      <w:r w:rsidDel="00000000" w:rsidR="00000000" w:rsidRPr="00000000">
        <w:rPr>
          <w:rtl w:val="0"/>
        </w:rPr>
      </w:r>
    </w:p>
    <w:p w:rsidR="00000000" w:rsidDel="00000000" w:rsidP="00000000" w:rsidRDefault="00000000" w:rsidRPr="00000000" w14:paraId="0000003C">
      <w:pPr>
        <w:spacing w:after="0" w:line="276.00000208074397" w:lineRule="auto"/>
        <w:rPr/>
      </w:pPr>
      <w:hyperlink r:id="rId8">
        <w:r w:rsidDel="00000000" w:rsidR="00000000" w:rsidRPr="00000000">
          <w:rPr>
            <w:color w:val="1155cc"/>
            <w:u w:val="single"/>
            <w:rtl w:val="0"/>
          </w:rPr>
          <w:t xml:space="preserve">https://fraudfighting.org/wp-content/uploads/2017/12/Email-Bombing-and-Spamming.pdf</w:t>
        </w:r>
      </w:hyperlink>
      <w:r w:rsidDel="00000000" w:rsidR="00000000" w:rsidRPr="00000000">
        <w:rPr>
          <w:rtl w:val="0"/>
        </w:rPr>
      </w:r>
    </w:p>
    <w:p w:rsidR="00000000" w:rsidDel="00000000" w:rsidP="00000000" w:rsidRDefault="00000000" w:rsidRPr="00000000" w14:paraId="0000003D">
      <w:pPr>
        <w:spacing w:after="0" w:line="276.00000208074397" w:lineRule="auto"/>
        <w:rPr/>
      </w:pPr>
      <w:hyperlink r:id="rId9">
        <w:r w:rsidDel="00000000" w:rsidR="00000000" w:rsidRPr="00000000">
          <w:rPr>
            <w:color w:val="1155cc"/>
            <w:u w:val="single"/>
            <w:rtl w:val="0"/>
          </w:rPr>
          <w:t xml:space="preserve">https://www.directives.doe.gov/terms_definitions/proprietary-information</w:t>
        </w:r>
      </w:hyperlink>
      <w:r w:rsidDel="00000000" w:rsidR="00000000" w:rsidRPr="00000000">
        <w:rPr>
          <w:rtl w:val="0"/>
        </w:rPr>
      </w:r>
    </w:p>
    <w:p w:rsidR="00000000" w:rsidDel="00000000" w:rsidP="00000000" w:rsidRDefault="00000000" w:rsidRPr="00000000" w14:paraId="0000003E">
      <w:pPr>
        <w:spacing w:after="0" w:line="276.00000208074397" w:lineRule="auto"/>
        <w:rPr/>
      </w:pPr>
      <w:r w:rsidDel="00000000" w:rsidR="00000000" w:rsidRPr="00000000">
        <w:rPr>
          <w:rtl w:val="0"/>
        </w:rPr>
      </w:r>
    </w:p>
    <w:p w:rsidR="00000000" w:rsidDel="00000000" w:rsidP="00000000" w:rsidRDefault="00000000" w:rsidRPr="00000000" w14:paraId="0000003F">
      <w:pPr>
        <w:numPr>
          <w:ilvl w:val="0"/>
          <w:numId w:val="3"/>
        </w:numPr>
        <w:spacing w:after="0" w:lineRule="auto"/>
        <w:ind w:left="720" w:hanging="360"/>
        <w:rPr>
          <w:u w:val="none"/>
        </w:rPr>
      </w:pPr>
      <w:r w:rsidDel="00000000" w:rsidR="00000000" w:rsidRPr="00000000">
        <w:rPr>
          <w:rtl w:val="0"/>
        </w:rPr>
        <w:t xml:space="preserve">TACACS</w:t>
      </w:r>
    </w:p>
    <w:p w:rsidR="00000000" w:rsidDel="00000000" w:rsidP="00000000" w:rsidRDefault="00000000" w:rsidRPr="00000000" w14:paraId="00000040">
      <w:pPr>
        <w:numPr>
          <w:ilvl w:val="0"/>
          <w:numId w:val="3"/>
        </w:numPr>
        <w:spacing w:after="0" w:lineRule="auto"/>
        <w:ind w:left="720" w:hanging="360"/>
        <w:rPr>
          <w:u w:val="none"/>
        </w:rPr>
      </w:pPr>
      <w:r w:rsidDel="00000000" w:rsidR="00000000" w:rsidRPr="00000000">
        <w:rPr>
          <w:rtl w:val="0"/>
        </w:rPr>
        <w:t xml:space="preserve">Telnet</w:t>
      </w:r>
    </w:p>
    <w:p w:rsidR="00000000" w:rsidDel="00000000" w:rsidP="00000000" w:rsidRDefault="00000000" w:rsidRPr="00000000" w14:paraId="00000041">
      <w:pPr>
        <w:numPr>
          <w:ilvl w:val="0"/>
          <w:numId w:val="3"/>
        </w:numPr>
        <w:spacing w:after="0" w:lineRule="auto"/>
        <w:ind w:left="720" w:hanging="360"/>
        <w:rPr>
          <w:u w:val="none"/>
        </w:rPr>
      </w:pPr>
      <w:r w:rsidDel="00000000" w:rsidR="00000000" w:rsidRPr="00000000">
        <w:rPr>
          <w:rtl w:val="0"/>
        </w:rPr>
        <w:t xml:space="preserve">FTP</w:t>
      </w:r>
    </w:p>
    <w:p w:rsidR="00000000" w:rsidDel="00000000" w:rsidP="00000000" w:rsidRDefault="00000000" w:rsidRPr="00000000" w14:paraId="00000042">
      <w:pPr>
        <w:numPr>
          <w:ilvl w:val="0"/>
          <w:numId w:val="3"/>
        </w:numPr>
        <w:spacing w:after="0" w:lineRule="auto"/>
        <w:ind w:left="720" w:hanging="360"/>
        <w:rPr>
          <w:u w:val="none"/>
        </w:rPr>
      </w:pPr>
      <w:r w:rsidDel="00000000" w:rsidR="00000000" w:rsidRPr="00000000">
        <w:rPr>
          <w:rtl w:val="0"/>
        </w:rPr>
        <w:t xml:space="preserve">HTTP </w:t>
      </w:r>
    </w:p>
    <w:p w:rsidR="00000000" w:rsidDel="00000000" w:rsidP="00000000" w:rsidRDefault="00000000" w:rsidRPr="00000000" w14:paraId="00000043">
      <w:pPr>
        <w:numPr>
          <w:ilvl w:val="0"/>
          <w:numId w:val="3"/>
        </w:numPr>
        <w:spacing w:after="0" w:lineRule="auto"/>
        <w:ind w:left="720" w:hanging="360"/>
        <w:rPr>
          <w:u w:val="none"/>
        </w:rPr>
      </w:pPr>
      <w:r w:rsidDel="00000000" w:rsidR="00000000" w:rsidRPr="00000000">
        <w:rPr>
          <w:rtl w:val="0"/>
        </w:rPr>
        <w:t xml:space="preserve">TCL </w:t>
      </w:r>
    </w:p>
    <w:p w:rsidR="00000000" w:rsidDel="00000000" w:rsidP="00000000" w:rsidRDefault="00000000" w:rsidRPr="00000000" w14:paraId="00000044">
      <w:pPr>
        <w:numPr>
          <w:ilvl w:val="0"/>
          <w:numId w:val="3"/>
        </w:numPr>
        <w:spacing w:after="0" w:lineRule="auto"/>
        <w:ind w:left="720" w:hanging="360"/>
        <w:rPr>
          <w:u w:val="none"/>
        </w:rPr>
      </w:pPr>
      <w:r w:rsidDel="00000000" w:rsidR="00000000" w:rsidRPr="00000000">
        <w:rPr>
          <w:rtl w:val="0"/>
        </w:rPr>
        <w:t xml:space="preserve">RFC1918 addresses</w:t>
      </w:r>
    </w:p>
    <w:p w:rsidR="00000000" w:rsidDel="00000000" w:rsidP="00000000" w:rsidRDefault="00000000" w:rsidRPr="00000000" w14:paraId="00000045">
      <w:pPr>
        <w:numPr>
          <w:ilvl w:val="0"/>
          <w:numId w:val="3"/>
        </w:numPr>
        <w:spacing w:after="0" w:lineRule="auto"/>
        <w:ind w:left="720" w:hanging="360"/>
        <w:rPr>
          <w:u w:val="none"/>
        </w:rPr>
      </w:pPr>
      <w:r w:rsidDel="00000000" w:rsidR="00000000" w:rsidRPr="00000000">
        <w:rPr>
          <w:rtl w:val="0"/>
        </w:rPr>
        <w:t xml:space="preserve">TCP small services</w:t>
      </w:r>
    </w:p>
    <w:p w:rsidR="00000000" w:rsidDel="00000000" w:rsidP="00000000" w:rsidRDefault="00000000" w:rsidRPr="00000000" w14:paraId="00000046">
      <w:pPr>
        <w:numPr>
          <w:ilvl w:val="0"/>
          <w:numId w:val="3"/>
        </w:numPr>
        <w:spacing w:after="0" w:lineRule="auto"/>
        <w:ind w:left="720" w:hanging="360"/>
        <w:rPr>
          <w:u w:val="none"/>
        </w:rPr>
      </w:pPr>
      <w:r w:rsidDel="00000000" w:rsidR="00000000" w:rsidRPr="00000000">
        <w:rPr>
          <w:rtl w:val="0"/>
        </w:rPr>
        <w:t xml:space="preserve">UDP small services </w:t>
      </w:r>
    </w:p>
    <w:p w:rsidR="00000000" w:rsidDel="00000000" w:rsidP="00000000" w:rsidRDefault="00000000" w:rsidRPr="00000000" w14:paraId="00000047">
      <w:pPr>
        <w:numPr>
          <w:ilvl w:val="0"/>
          <w:numId w:val="3"/>
        </w:numPr>
        <w:spacing w:after="0" w:lineRule="auto"/>
        <w:ind w:left="720" w:hanging="360"/>
        <w:rPr>
          <w:u w:val="none"/>
        </w:rPr>
      </w:pPr>
      <w:r w:rsidDel="00000000" w:rsidR="00000000" w:rsidRPr="00000000">
        <w:rPr>
          <w:rtl w:val="0"/>
        </w:rPr>
        <w:t xml:space="preserve">SNMP community strings</w:t>
      </w:r>
    </w:p>
    <w:p w:rsidR="00000000" w:rsidDel="00000000" w:rsidP="00000000" w:rsidRDefault="00000000" w:rsidRPr="00000000" w14:paraId="00000048">
      <w:pPr>
        <w:numPr>
          <w:ilvl w:val="0"/>
          <w:numId w:val="3"/>
        </w:numPr>
        <w:spacing w:after="0" w:lineRule="auto"/>
        <w:ind w:left="720" w:hanging="360"/>
        <w:rPr>
          <w:u w:val="none"/>
        </w:rPr>
      </w:pPr>
      <w:r w:rsidDel="00000000" w:rsidR="00000000" w:rsidRPr="00000000">
        <w:rPr>
          <w:rtl w:val="0"/>
        </w:rPr>
        <w:t xml:space="preserve">NTP</w:t>
      </w:r>
    </w:p>
    <w:p w:rsidR="00000000" w:rsidDel="00000000" w:rsidP="00000000" w:rsidRDefault="00000000" w:rsidRPr="00000000" w14:paraId="00000049">
      <w:pPr>
        <w:numPr>
          <w:ilvl w:val="0"/>
          <w:numId w:val="3"/>
        </w:numPr>
        <w:spacing w:after="0" w:lineRule="auto"/>
        <w:ind w:left="720" w:hanging="360"/>
        <w:rPr>
          <w:u w:val="none"/>
        </w:rPr>
      </w:pPr>
      <w:r w:rsidDel="00000000" w:rsidR="00000000" w:rsidRPr="00000000">
        <w:rPr>
          <w:rtl w:val="0"/>
        </w:rPr>
        <w:t xml:space="preserve">SSH version 2 </w:t>
      </w:r>
    </w:p>
    <w:p w:rsidR="00000000" w:rsidDel="00000000" w:rsidP="00000000" w:rsidRDefault="00000000" w:rsidRPr="00000000" w14:paraId="0000004A">
      <w:pPr>
        <w:pStyle w:val="Heading1"/>
        <w:numPr>
          <w:ilvl w:val="0"/>
          <w:numId w:val="1"/>
        </w:numPr>
        <w:spacing w:before="0" w:lineRule="auto"/>
        <w:ind w:left="360" w:hanging="360"/>
        <w:rPr/>
      </w:pPr>
      <w:r w:rsidDel="00000000" w:rsidR="00000000" w:rsidRPr="00000000">
        <w:rPr>
          <w:rtl w:val="0"/>
        </w:rPr>
        <w:t xml:space="preserve">Revision History</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873"/>
        <w:gridCol w:w="2309"/>
        <w:gridCol w:w="5168"/>
        <w:tblGridChange w:id="0">
          <w:tblGrid>
            <w:gridCol w:w="1873"/>
            <w:gridCol w:w="2309"/>
            <w:gridCol w:w="5168"/>
          </w:tblGrid>
        </w:tblGridChange>
      </w:tblGrid>
      <w:tr>
        <w:trPr>
          <w:trHeight w:val="448"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B">
            <w:pPr>
              <w:pStyle w:val="Heading1"/>
              <w:rPr>
                <w:b w:val="1"/>
                <w:color w:val="000000"/>
                <w:sz w:val="24"/>
                <w:szCs w:val="24"/>
              </w:rPr>
            </w:pPr>
            <w:r w:rsidDel="00000000" w:rsidR="00000000" w:rsidRPr="00000000">
              <w:rPr>
                <w:b w:val="1"/>
                <w:color w:val="000000"/>
                <w:sz w:val="24"/>
                <w:szCs w:val="24"/>
                <w:rtl w:val="0"/>
              </w:rPr>
              <w:t xml:space="preserve">Date of Change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C">
            <w:pPr>
              <w:pStyle w:val="Heading1"/>
              <w:rPr>
                <w:b w:val="1"/>
                <w:color w:val="000000"/>
                <w:sz w:val="24"/>
                <w:szCs w:val="24"/>
              </w:rPr>
            </w:pPr>
            <w:r w:rsidDel="00000000" w:rsidR="00000000" w:rsidRPr="00000000">
              <w:rPr>
                <w:b w:val="1"/>
                <w:color w:val="000000"/>
                <w:sz w:val="24"/>
                <w:szCs w:val="24"/>
                <w:rtl w:val="0"/>
              </w:rPr>
              <w:t xml:space="preserve">Responsible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D">
            <w:pPr>
              <w:pStyle w:val="Heading1"/>
              <w:rPr>
                <w:b w:val="1"/>
                <w:color w:val="000000"/>
                <w:sz w:val="24"/>
                <w:szCs w:val="24"/>
              </w:rPr>
            </w:pPr>
            <w:r w:rsidDel="00000000" w:rsidR="00000000" w:rsidRPr="00000000">
              <w:rPr>
                <w:b w:val="1"/>
                <w:color w:val="000000"/>
                <w:sz w:val="24"/>
                <w:szCs w:val="24"/>
                <w:rtl w:val="0"/>
              </w:rPr>
              <w:t xml:space="preserve">Summary of Change</w:t>
            </w:r>
          </w:p>
        </w:tc>
      </w:tr>
      <w:tr>
        <w:trPr>
          <w:trHeight w:val="665" w:hRule="atLeast"/>
        </w:trPr>
        <w:tc>
          <w:tcPr>
            <w:tcBorders>
              <w:bottom w:color="000000" w:space="0" w:sz="4" w:val="single"/>
              <w:right w:color="000000" w:space="0" w:sz="0" w:val="nil"/>
            </w:tcBorders>
            <w:shd w:fill="auto" w:val="clear"/>
          </w:tcPr>
          <w:p w:rsidR="00000000" w:rsidDel="00000000" w:rsidP="00000000" w:rsidRDefault="00000000" w:rsidRPr="00000000" w14:paraId="0000004E">
            <w:pPr>
              <w:pStyle w:val="Heading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November 2020</w:t>
            </w:r>
          </w:p>
        </w:tc>
        <w:tc>
          <w:tcPr>
            <w:tcBorders>
              <w:left w:color="000000" w:space="0" w:sz="0" w:val="nil"/>
              <w:bottom w:color="000000" w:space="0" w:sz="4" w:val="single"/>
              <w:right w:color="000000" w:space="0" w:sz="0" w:val="nil"/>
            </w:tcBorders>
            <w:shd w:fill="auto" w:val="clear"/>
          </w:tcPr>
          <w:p w:rsidR="00000000" w:rsidDel="00000000" w:rsidP="00000000" w:rsidRDefault="00000000" w:rsidRPr="00000000" w14:paraId="0000004F">
            <w:pPr>
              <w:pStyle w:val="Heading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InfoSec Team</w:t>
            </w:r>
          </w:p>
        </w:tc>
        <w:tc>
          <w:tcPr>
            <w:tcBorders>
              <w:left w:color="000000" w:space="0" w:sz="0" w:val="nil"/>
              <w:bottom w:color="000000" w:space="0" w:sz="4" w:val="single"/>
            </w:tcBorders>
            <w:shd w:fill="auto" w:val="clear"/>
          </w:tcPr>
          <w:p w:rsidR="00000000" w:rsidDel="00000000" w:rsidP="00000000" w:rsidRDefault="00000000" w:rsidRPr="00000000" w14:paraId="00000050">
            <w:pPr>
              <w:pStyle w:val="Heading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New policy implementation </w:t>
            </w:r>
          </w:p>
        </w:tc>
      </w:tr>
      <w:tr>
        <w:trPr>
          <w:trHeight w:val="485" w:hRule="atLeast"/>
        </w:trPr>
        <w:tc>
          <w:tcPr>
            <w:tcBorders>
              <w:right w:color="000000" w:space="0" w:sz="4" w:val="single"/>
            </w:tcBorders>
            <w:shd w:fill="auto" w:val="clear"/>
          </w:tcPr>
          <w:p w:rsidR="00000000" w:rsidDel="00000000" w:rsidP="00000000" w:rsidRDefault="00000000" w:rsidRPr="00000000" w14:paraId="00000051">
            <w:pPr>
              <w:pStyle w:val="Heading1"/>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2">
            <w:pPr>
              <w:pStyle w:val="Heading1"/>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053">
            <w:pPr>
              <w:pStyle w:val="Heading1"/>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Verdan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tabs>
        <w:tab w:val="center" w:pos="4680"/>
        <w:tab w:val="right" w:pos="9360"/>
      </w:tabs>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1"/>
      <w:numFmt w:val="decimal"/>
      <w:lvlText w:val="%1.%2"/>
      <w:lvlJc w:val="left"/>
      <w:pPr>
        <w:ind w:left="780" w:hanging="360"/>
      </w:pPr>
      <w:rPr/>
    </w:lvl>
    <w:lvl w:ilvl="2">
      <w:start w:val="1"/>
      <w:numFmt w:val="decimal"/>
      <w:lvlText w:val="%1.%2.%3"/>
      <w:lvlJc w:val="left"/>
      <w:pPr>
        <w:ind w:left="1560" w:hanging="720"/>
      </w:pPr>
      <w:rPr/>
    </w:lvl>
    <w:lvl w:ilvl="3">
      <w:start w:val="1"/>
      <w:numFmt w:val="decimal"/>
      <w:lvlText w:val="%1.%2.%3.%4"/>
      <w:lvlJc w:val="left"/>
      <w:pPr>
        <w:ind w:left="1980" w:hanging="720"/>
      </w:pPr>
      <w:rPr/>
    </w:lvl>
    <w:lvl w:ilvl="4">
      <w:start w:val="1"/>
      <w:numFmt w:val="decimal"/>
      <w:lvlText w:val="%1.%2.%3.%4.%5"/>
      <w:lvlJc w:val="left"/>
      <w:pPr>
        <w:ind w:left="2760" w:hanging="1080"/>
      </w:pPr>
      <w:rPr/>
    </w:lvl>
    <w:lvl w:ilvl="5">
      <w:start w:val="1"/>
      <w:numFmt w:val="decimal"/>
      <w:lvlText w:val="%1.%2.%3.%4.%5.%6"/>
      <w:lvlJc w:val="left"/>
      <w:pPr>
        <w:ind w:left="3180" w:hanging="1080"/>
      </w:pPr>
      <w:rPr/>
    </w:lvl>
    <w:lvl w:ilvl="6">
      <w:start w:val="1"/>
      <w:numFmt w:val="decimal"/>
      <w:lvlText w:val="%1.%2.%3.%4.%5.%6.%7"/>
      <w:lvlJc w:val="left"/>
      <w:pPr>
        <w:ind w:left="3960" w:hanging="1440"/>
      </w:pPr>
      <w:rPr/>
    </w:lvl>
    <w:lvl w:ilvl="7">
      <w:start w:val="1"/>
      <w:numFmt w:val="decimal"/>
      <w:lvlText w:val="%1.%2.%3.%4.%5.%6.%7.%8"/>
      <w:lvlJc w:val="left"/>
      <w:pPr>
        <w:ind w:left="4380" w:hanging="1440"/>
      </w:pPr>
      <w:rPr/>
    </w:lvl>
    <w:lvl w:ilvl="8">
      <w:start w:val="1"/>
      <w:numFmt w:val="decimal"/>
      <w:lvlText w:val="%1.%2.%3.%4.%5.%6.%7.%8.%9"/>
      <w:lvlJc w:val="left"/>
      <w:pPr>
        <w:ind w:left="5160" w:hanging="180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directives.doe.gov/terms_definitions/proprietary-information"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sans.org/security-resources/glossary-of-terms/" TargetMode="External"/><Relationship Id="rId8" Type="http://schemas.openxmlformats.org/officeDocument/2006/relationships/hyperlink" Target="https://fraudfighting.org/wp-content/uploads/2017/12/Email-Bombing-and-Spamm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