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Fundación Universitaria Compensar</w:t>
      </w:r>
    </w:p>
    <w:p>
      <w:r>
        <w:t>Facultad de Ingeniería</w:t>
        <w:br/>
        <w:t>Ingeniería de Sistemas</w:t>
        <w:br/>
        <w:t>Business Intelligence</w:t>
      </w:r>
    </w:p>
    <w:p>
      <w:pPr>
        <w:pStyle w:val="Title"/>
      </w:pPr>
      <w:r>
        <w:t>Deserción escolar en Colombia</w:t>
      </w:r>
    </w:p>
    <w:p>
      <w:pPr>
        <w:pStyle w:val="Subtitle"/>
      </w:pPr>
      <w:r>
        <w:t>Proyecto integrador de Business Intelligence</w:t>
        <w:br/>
        <w:t>Educación preescolar básica y media</w:t>
        <w:br/>
        <w:t>Datos departamentales de 2011 a 2024</w:t>
      </w:r>
    </w:p>
    <w:p>
      <w:r>
        <w:t>Miguel Angel Cuadros Perez</w:t>
        <w:br/>
        <w:t>Daniel Alejandro Jaime Díaz</w:t>
      </w:r>
    </w:p>
    <w:p>
      <w:r>
        <w:t>Periodo académico 2026 2</w:t>
        <w:br/>
        <w:t>12 de octubre de 2026</w:t>
      </w:r>
    </w:p>
    <w:p>
      <w:pPr>
        <w:pStyle w:val="Heading2"/>
      </w:pPr>
      <w:r>
        <w:t>Presentación del proyecto</w:t>
      </w:r>
    </w:p>
    <w:p>
      <w:r>
        <w:t>Analizamos las tasas de deserción intraanual del sector oficial publicadas por el Ministerio de Educación Nacional. El propósito es identificar diferencias entre departamentos y Bogotá D.C., reconocer cambios en el tiempo y aportar información para priorizar acciones de permanencia escolar.</w:t>
      </w:r>
    </w:p>
    <w:p>
      <w:r>
        <w:t>El conjunto descargado contiene 462 registros y 37 variables. La tabla preparada conserva 13 variables de la fuente y añade dos variables analíticas. En 2024, Caquetá, Putumayo y Vichada presentan tasas superiores al umbral analítico del 6 %. Secundaria registra el mayor promedio territorial entre los niveles educativos examinados.</w:t>
      </w:r>
    </w:p>
    <w:p>
      <w:r>
        <w:t>La solución se desarrolla en un tablero HTML con dos páginas de narrativa: contexto y panorama general, y análisis y hallazgos. Una tercera página documenta fuentes y metodología. Los filtros de año, territorio y rango actualizan las cifras, las tablas, los gráficos y los mensajes. El informe presenta la preparación ejecutada, el diccionario, la trazabilidad y los resultados del análisis.</w:t>
      </w:r>
    </w:p>
    <w:p>
      <w:r>
        <w:br w:type="page"/>
      </w:r>
    </w:p>
    <w:p>
      <w:pPr>
        <w:pStyle w:val="Heading1"/>
      </w:pPr>
      <w:r>
        <w:t>1 Reto del proyecto</w:t>
      </w:r>
    </w:p>
    <w:p>
      <w:r>
        <w:t>Utilizar datos abiertos del MEN para comprender cómo cambia la deserción escolar oficial por territorio y año, y diseñar una solución de Business Intelligence que permita explorar el fenómeno y orientar prioridades de seguimiento.</w:t>
      </w:r>
    </w:p>
    <w:p>
      <w:pPr>
        <w:pStyle w:val="Heading1"/>
      </w:pPr>
      <w:r>
        <w:t>2 Definición del problema</w:t>
      </w:r>
    </w:p>
    <w:p>
      <w:r>
        <w:t>El problema de análisis es la variación territorial y temporal de la tasa de deserción intraanual en educación preescolar, básica y media del sector oficial. Una cifra agregada puede ocultar diferencias entre departamentos; por ello se requiere comparar tasas, niveles educativos y cambios anuales con una unidad de análisis consistente.</w:t>
      </w:r>
    </w:p>
    <w:p>
      <w:r>
        <w:t>El contexto es el sistema educativo colombiano y la información que el MEN consolida por departamento. La deserción, aprobación y reprobación corresponden al sector oficial según los metadatos. Los indicadores de cobertura y población complementan el contexto, pero no deben interpretarse automáticamente como si compartieran el mismo universo estadístico.</w:t>
      </w:r>
    </w:p>
    <w:p>
      <w:r>
        <w:t>Este análisis permite identificar territorios que requieren revisión prioritaria y formular preguntas para los equipos de permanencia. Los datos agregados no identifican estudiantes, causas individuales ni el efecto de una intervención específica.</w:t>
      </w:r>
    </w:p>
    <w:p>
      <w:pPr>
        <w:pStyle w:val="Heading1"/>
      </w:pPr>
      <w:r>
        <w:t>3 Objetivo general y objetivos específicos</w:t>
      </w:r>
    </w:p>
    <w:p>
      <w:pPr>
        <w:pStyle w:val="Heading2"/>
      </w:pPr>
      <w:r>
        <w:t>Objetivo general</w:t>
      </w:r>
    </w:p>
    <w:p>
      <w:r>
        <w:t>Analizar el comportamiento de la deserción escolar oficial en Colombia entre 2011 y 2024 mediante una solución de Business Intelligence que comunique patrones territoriales y temporales para apoyar decisiones de seguimiento y priorización de la permanencia escolar.</w:t>
      </w:r>
    </w:p>
    <w:p>
      <w:r>
        <w:t>OE1 Analizar la evolución anual del promedio simple de las tasas territoriales de deserción.</w:t>
      </w:r>
    </w:p>
    <w:p>
      <w:r>
        <w:t>OE2 Comparar la tasa de deserción entre departamentos y Bogotá D.C. para identificar valores altos y bajos.</w:t>
      </w:r>
    </w:p>
    <w:p>
      <w:r>
        <w:t>OE3 Examinar asociaciones descriptivas de la deserción con aprobación, reprobación y cobertura neta y bruta.</w:t>
      </w:r>
    </w:p>
    <w:p>
      <w:r>
        <w:t>OE4 Identificar los territorios con mayores incrementos y reducciones interanuales de la deserción.</w:t>
      </w:r>
    </w:p>
    <w:p>
      <w:r>
        <w:t>OE5 Comparar las tasas de deserción de transición, primaria, secundaria y media para orientar el seguimiento por nivel educativo.</w:t>
      </w:r>
    </w:p>
    <w:p>
      <w:r>
        <w:br w:type="page"/>
      </w:r>
    </w:p>
    <w:p>
      <w:pPr>
        <w:pStyle w:val="Heading1"/>
      </w:pPr>
      <w:r>
        <w:t>4 Identificación del origen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shd w:fill="E8EEF6"/>
            <w:tcMar>
              <w:top w:w="85" w:type="dxa"/>
              <w:left w:w="85" w:type="dxa"/>
              <w:bottom w:w="85" w:type="dxa"/>
              <w:right w:w="85" w:type="dxa"/>
            </w:tcMar>
          </w:tcPr>
          <w:p>
            <w:pPr>
              <w:spacing w:after="40" w:before="40" w:line="252" w:lineRule="auto"/>
            </w:pPr>
            <w:r>
              <w:rPr>
                <w:b/>
                <w:sz w:val="18"/>
              </w:rPr>
              <w:t>Campo</w:t>
            </w:r>
          </w:p>
        </w:tc>
        <w:tc>
          <w:tcPr>
            <w:tcW w:type="dxa" w:w="7560"/>
            <w:vAlign w:val="center"/>
            <w:shd w:fill="E8EEF6"/>
            <w:tcMar>
              <w:top w:w="85" w:type="dxa"/>
              <w:left w:w="85" w:type="dxa"/>
              <w:bottom w:w="85" w:type="dxa"/>
              <w:right w:w="85" w:type="dxa"/>
            </w:tcMar>
          </w:tcPr>
          <w:p>
            <w:pPr>
              <w:spacing w:after="40" w:before="40" w:line="252" w:lineRule="auto"/>
            </w:pPr>
            <w:r>
              <w:rPr>
                <w:b/>
                <w:sz w:val="18"/>
              </w:rPr>
              <w:t>Información verificada</w:t>
            </w:r>
          </w:p>
        </w:tc>
      </w:tr>
      <w:tr>
        <w:trPr>
          <w:cantSplit/>
        </w:trPr>
        <w:tc>
          <w:tcPr>
            <w:tcW w:type="dxa" w:w="2520"/>
            <w:vAlign w:val="center"/>
            <w:shd w:fill="FFFFFF"/>
            <w:tcMar>
              <w:top w:w="85" w:type="dxa"/>
              <w:left w:w="85" w:type="dxa"/>
              <w:bottom w:w="85" w:type="dxa"/>
              <w:right w:w="85" w:type="dxa"/>
            </w:tcMar>
          </w:tcPr>
          <w:p>
            <w:pPr>
              <w:spacing w:after="40" w:before="40" w:line="252" w:lineRule="auto"/>
            </w:pPr>
            <w:r>
              <w:rPr>
                <w:b w:val="0"/>
                <w:sz w:val="18"/>
              </w:rPr>
              <w:t>Fuente</w:t>
            </w:r>
          </w:p>
        </w:tc>
        <w:tc>
          <w:tcPr>
            <w:tcW w:type="dxa" w:w="7560"/>
            <w:vAlign w:val="center"/>
            <w:shd w:fill="FFFFFF"/>
            <w:tcMar>
              <w:top w:w="85" w:type="dxa"/>
              <w:left w:w="85" w:type="dxa"/>
              <w:bottom w:w="85" w:type="dxa"/>
              <w:right w:w="85" w:type="dxa"/>
            </w:tcMar>
          </w:tcPr>
          <w:p>
            <w:pPr>
              <w:spacing w:after="40" w:before="40" w:line="252" w:lineRule="auto"/>
            </w:pPr>
            <w:r>
              <w:rPr>
                <w:b w:val="0"/>
                <w:sz w:val="18"/>
              </w:rPr>
              <w:t>MEN ESTADISTICAS EN EDUCACION EN PREESCOLAR BÁSICA Y MEDIA POR DEPARTAMENTO</w:t>
            </w:r>
          </w:p>
        </w:tc>
      </w:tr>
      <w:tr>
        <w:trPr>
          <w:cantSplit/>
        </w:trPr>
        <w:tc>
          <w:tcPr>
            <w:tcW w:type="dxa" w:w="2520"/>
            <w:vAlign w:val="center"/>
            <w:shd w:fill="F7F9FC"/>
            <w:tcMar>
              <w:top w:w="85" w:type="dxa"/>
              <w:left w:w="85" w:type="dxa"/>
              <w:bottom w:w="85" w:type="dxa"/>
              <w:right w:w="85" w:type="dxa"/>
            </w:tcMar>
          </w:tcPr>
          <w:p>
            <w:pPr>
              <w:spacing w:after="40" w:before="40" w:line="252" w:lineRule="auto"/>
            </w:pPr>
            <w:r>
              <w:rPr>
                <w:b w:val="0"/>
                <w:sz w:val="18"/>
              </w:rPr>
              <w:t>Responsable</w:t>
            </w:r>
          </w:p>
        </w:tc>
        <w:tc>
          <w:tcPr>
            <w:tcW w:type="dxa" w:w="7560"/>
            <w:vAlign w:val="center"/>
            <w:shd w:fill="F7F9FC"/>
            <w:tcMar>
              <w:top w:w="85" w:type="dxa"/>
              <w:left w:w="85" w:type="dxa"/>
              <w:bottom w:w="85" w:type="dxa"/>
              <w:right w:w="85" w:type="dxa"/>
            </w:tcMar>
          </w:tcPr>
          <w:p>
            <w:pPr>
              <w:spacing w:after="40" w:before="40" w:line="252" w:lineRule="auto"/>
            </w:pPr>
            <w:r>
              <w:rPr>
                <w:b w:val="0"/>
                <w:sz w:val="18"/>
              </w:rPr>
              <w:t>Ministerio de Educación Nacional de Colombia</w:t>
            </w:r>
          </w:p>
        </w:tc>
      </w:tr>
      <w:tr>
        <w:trPr>
          <w:cantSplit/>
        </w:trPr>
        <w:tc>
          <w:tcPr>
            <w:tcW w:type="dxa" w:w="2520"/>
            <w:vAlign w:val="center"/>
            <w:shd w:fill="FFFFFF"/>
            <w:tcMar>
              <w:top w:w="85" w:type="dxa"/>
              <w:left w:w="85" w:type="dxa"/>
              <w:bottom w:w="85" w:type="dxa"/>
              <w:right w:w="85" w:type="dxa"/>
            </w:tcMar>
          </w:tcPr>
          <w:p>
            <w:pPr>
              <w:spacing w:after="40" w:before="40" w:line="252" w:lineRule="auto"/>
            </w:pPr>
            <w:r>
              <w:rPr>
                <w:b w:val="0"/>
                <w:sz w:val="18"/>
              </w:rPr>
              <w:t>Identificador y referencia</w:t>
            </w:r>
          </w:p>
        </w:tc>
        <w:tc>
          <w:tcPr>
            <w:tcW w:type="dxa" w:w="7560"/>
            <w:vAlign w:val="center"/>
            <w:shd w:fill="FFFFFF"/>
            <w:tcMar>
              <w:top w:w="85" w:type="dxa"/>
              <w:left w:w="85" w:type="dxa"/>
              <w:bottom w:w="85" w:type="dxa"/>
              <w:right w:w="85" w:type="dxa"/>
            </w:tcMar>
          </w:tcPr>
          <w:p>
            <w:pPr>
              <w:spacing w:after="40" w:before="40" w:line="252" w:lineRule="auto"/>
            </w:pPr>
            <w:r>
              <w:rPr>
                <w:b w:val="0"/>
                <w:sz w:val="18"/>
              </w:rPr>
              <w:t>ji8i-4anb en Datos Abiertos Colombia. URL completa en referencias.</w:t>
            </w:r>
          </w:p>
        </w:tc>
      </w:tr>
      <w:tr>
        <w:trPr>
          <w:cantSplit/>
        </w:trPr>
        <w:tc>
          <w:tcPr>
            <w:tcW w:type="dxa" w:w="2520"/>
            <w:vAlign w:val="center"/>
            <w:shd w:fill="F7F9FC"/>
            <w:tcMar>
              <w:top w:w="85" w:type="dxa"/>
              <w:left w:w="85" w:type="dxa"/>
              <w:bottom w:w="85" w:type="dxa"/>
              <w:right w:w="85" w:type="dxa"/>
            </w:tcMar>
          </w:tcPr>
          <w:p>
            <w:pPr>
              <w:spacing w:after="40" w:before="40" w:line="252" w:lineRule="auto"/>
            </w:pPr>
            <w:r>
              <w:rPr>
                <w:b w:val="0"/>
                <w:sz w:val="18"/>
              </w:rPr>
              <w:t>Formato utilizado</w:t>
            </w:r>
          </w:p>
        </w:tc>
        <w:tc>
          <w:tcPr>
            <w:tcW w:type="dxa" w:w="7560"/>
            <w:vAlign w:val="center"/>
            <w:shd w:fill="F7F9FC"/>
            <w:tcMar>
              <w:top w:w="85" w:type="dxa"/>
              <w:left w:w="85" w:type="dxa"/>
              <w:bottom w:w="85" w:type="dxa"/>
              <w:right w:w="85" w:type="dxa"/>
            </w:tcMar>
          </w:tcPr>
          <w:p>
            <w:pPr>
              <w:spacing w:after="40" w:before="40" w:line="252" w:lineRule="auto"/>
            </w:pPr>
            <w:r>
              <w:rPr>
                <w:b w:val="0"/>
                <w:sz w:val="18"/>
              </w:rPr>
              <w:t>CSV original y JSON de metadatos del portal Socrata</w:t>
            </w:r>
          </w:p>
        </w:tc>
      </w:tr>
      <w:tr>
        <w:trPr>
          <w:cantSplit/>
        </w:trPr>
        <w:tc>
          <w:tcPr>
            <w:tcW w:type="dxa" w:w="2520"/>
            <w:vAlign w:val="center"/>
            <w:shd w:fill="FFFFFF"/>
            <w:tcMar>
              <w:top w:w="85" w:type="dxa"/>
              <w:left w:w="85" w:type="dxa"/>
              <w:bottom w:w="85" w:type="dxa"/>
              <w:right w:w="85" w:type="dxa"/>
            </w:tcMar>
          </w:tcPr>
          <w:p>
            <w:pPr>
              <w:spacing w:after="40" w:before="40" w:line="252" w:lineRule="auto"/>
            </w:pPr>
            <w:r>
              <w:rPr>
                <w:b w:val="0"/>
                <w:sz w:val="18"/>
              </w:rPr>
              <w:t>Fecha de descarga y consulta</w:t>
            </w:r>
          </w:p>
        </w:tc>
        <w:tc>
          <w:tcPr>
            <w:tcW w:type="dxa" w:w="7560"/>
            <w:vAlign w:val="center"/>
            <w:shd w:fill="FFFFFF"/>
            <w:tcMar>
              <w:top w:w="85" w:type="dxa"/>
              <w:left w:w="85" w:type="dxa"/>
              <w:bottom w:w="85" w:type="dxa"/>
              <w:right w:w="85" w:type="dxa"/>
            </w:tcMar>
          </w:tcPr>
          <w:p>
            <w:pPr>
              <w:spacing w:after="40" w:before="40" w:line="252" w:lineRule="auto"/>
            </w:pPr>
            <w:r>
              <w:rPr>
                <w:b w:val="0"/>
                <w:sz w:val="18"/>
              </w:rPr>
              <w:t>12 de octubre de 2026</w:t>
            </w:r>
          </w:p>
        </w:tc>
      </w:tr>
      <w:tr>
        <w:trPr>
          <w:cantSplit/>
        </w:trPr>
        <w:tc>
          <w:tcPr>
            <w:tcW w:type="dxa" w:w="2520"/>
            <w:vAlign w:val="center"/>
            <w:shd w:fill="F7F9FC"/>
            <w:tcMar>
              <w:top w:w="85" w:type="dxa"/>
              <w:left w:w="85" w:type="dxa"/>
              <w:bottom w:w="85" w:type="dxa"/>
              <w:right w:w="85" w:type="dxa"/>
            </w:tcMar>
          </w:tcPr>
          <w:p>
            <w:pPr>
              <w:spacing w:after="40" w:before="40" w:line="252" w:lineRule="auto"/>
            </w:pPr>
            <w:r>
              <w:rPr>
                <w:b w:val="0"/>
                <w:sz w:val="18"/>
              </w:rPr>
              <w:t>Periodo de los datos</w:t>
            </w:r>
          </w:p>
        </w:tc>
        <w:tc>
          <w:tcPr>
            <w:tcW w:type="dxa" w:w="7560"/>
            <w:vAlign w:val="center"/>
            <w:shd w:fill="F7F9FC"/>
            <w:tcMar>
              <w:top w:w="85" w:type="dxa"/>
              <w:left w:w="85" w:type="dxa"/>
              <w:bottom w:w="85" w:type="dxa"/>
              <w:right w:w="85" w:type="dxa"/>
            </w:tcMar>
          </w:tcPr>
          <w:p>
            <w:pPr>
              <w:spacing w:after="40" w:before="40" w:line="252" w:lineRule="auto"/>
            </w:pPr>
            <w:r>
              <w:rPr>
                <w:b w:val="0"/>
                <w:sz w:val="18"/>
              </w:rPr>
              <w:t>2011 a 2024, ambos incluidos; 14 vigencias</w:t>
            </w:r>
          </w:p>
        </w:tc>
      </w:tr>
      <w:tr>
        <w:trPr>
          <w:cantSplit/>
        </w:trPr>
        <w:tc>
          <w:tcPr>
            <w:tcW w:type="dxa" w:w="2520"/>
            <w:vAlign w:val="center"/>
            <w:shd w:fill="FFFFFF"/>
            <w:tcMar>
              <w:top w:w="85" w:type="dxa"/>
              <w:left w:w="85" w:type="dxa"/>
              <w:bottom w:w="85" w:type="dxa"/>
              <w:right w:w="85" w:type="dxa"/>
            </w:tcMar>
          </w:tcPr>
          <w:p>
            <w:pPr>
              <w:spacing w:after="40" w:before="40" w:line="252" w:lineRule="auto"/>
            </w:pPr>
            <w:r>
              <w:rPr>
                <w:b w:val="0"/>
                <w:sz w:val="18"/>
              </w:rPr>
              <w:t>Número de registros</w:t>
            </w:r>
          </w:p>
        </w:tc>
        <w:tc>
          <w:tcPr>
            <w:tcW w:type="dxa" w:w="7560"/>
            <w:vAlign w:val="center"/>
            <w:shd w:fill="FFFFFF"/>
            <w:tcMar>
              <w:top w:w="85" w:type="dxa"/>
              <w:left w:w="85" w:type="dxa"/>
              <w:bottom w:w="85" w:type="dxa"/>
              <w:right w:w="85" w:type="dxa"/>
            </w:tcMar>
          </w:tcPr>
          <w:p>
            <w:pPr>
              <w:spacing w:after="40" w:before="40" w:line="252" w:lineRule="auto"/>
            </w:pPr>
            <w:r>
              <w:rPr>
                <w:b w:val="0"/>
                <w:sz w:val="18"/>
              </w:rPr>
              <w:t>462; 33 registros por año</w:t>
            </w:r>
          </w:p>
        </w:tc>
      </w:tr>
      <w:tr>
        <w:trPr>
          <w:cantSplit/>
        </w:trPr>
        <w:tc>
          <w:tcPr>
            <w:tcW w:type="dxa" w:w="2520"/>
            <w:vAlign w:val="center"/>
            <w:shd w:fill="F7F9FC"/>
            <w:tcMar>
              <w:top w:w="85" w:type="dxa"/>
              <w:left w:w="85" w:type="dxa"/>
              <w:bottom w:w="85" w:type="dxa"/>
              <w:right w:w="85" w:type="dxa"/>
            </w:tcMar>
          </w:tcPr>
          <w:p>
            <w:pPr>
              <w:spacing w:after="40" w:before="40" w:line="252" w:lineRule="auto"/>
            </w:pPr>
            <w:r>
              <w:rPr>
                <w:b w:val="0"/>
                <w:sz w:val="18"/>
              </w:rPr>
              <w:t>Número de variables</w:t>
            </w:r>
          </w:p>
        </w:tc>
        <w:tc>
          <w:tcPr>
            <w:tcW w:type="dxa" w:w="7560"/>
            <w:vAlign w:val="center"/>
            <w:shd w:fill="F7F9FC"/>
            <w:tcMar>
              <w:top w:w="85" w:type="dxa"/>
              <w:left w:w="85" w:type="dxa"/>
              <w:bottom w:w="85" w:type="dxa"/>
              <w:right w:w="85" w:type="dxa"/>
            </w:tcMar>
          </w:tcPr>
          <w:p>
            <w:pPr>
              <w:spacing w:after="40" w:before="40" w:line="252" w:lineRule="auto"/>
            </w:pPr>
            <w:r>
              <w:rPr>
                <w:b w:val="0"/>
                <w:sz w:val="18"/>
              </w:rPr>
              <w:t>37 columnas en el CSV original; 15 en la tabla preparada</w:t>
            </w:r>
          </w:p>
        </w:tc>
      </w:tr>
      <w:tr>
        <w:trPr>
          <w:cantSplit/>
        </w:trPr>
        <w:tc>
          <w:tcPr>
            <w:tcW w:type="dxa" w:w="2520"/>
            <w:vAlign w:val="center"/>
            <w:shd w:fill="FFFFFF"/>
            <w:tcMar>
              <w:top w:w="85" w:type="dxa"/>
              <w:left w:w="85" w:type="dxa"/>
              <w:bottom w:w="85" w:type="dxa"/>
              <w:right w:w="85" w:type="dxa"/>
            </w:tcMar>
          </w:tcPr>
          <w:p>
            <w:pPr>
              <w:spacing w:after="40" w:before="40" w:line="252" w:lineRule="auto"/>
            </w:pPr>
            <w:r>
              <w:rPr>
                <w:b w:val="0"/>
                <w:sz w:val="18"/>
              </w:rPr>
              <w:t>Frecuencia de actualización</w:t>
            </w:r>
          </w:p>
        </w:tc>
        <w:tc>
          <w:tcPr>
            <w:tcW w:type="dxa" w:w="7560"/>
            <w:vAlign w:val="center"/>
            <w:shd w:fill="FFFFFF"/>
            <w:tcMar>
              <w:top w:w="85" w:type="dxa"/>
              <w:left w:w="85" w:type="dxa"/>
              <w:bottom w:w="85" w:type="dxa"/>
              <w:right w:w="85" w:type="dxa"/>
            </w:tcMar>
          </w:tcPr>
          <w:p>
            <w:pPr>
              <w:spacing w:after="40" w:before="40" w:line="252" w:lineRule="auto"/>
            </w:pPr>
            <w:r>
              <w:rPr>
                <w:b w:val="0"/>
                <w:sz w:val="18"/>
              </w:rPr>
              <w:t>Anual, según metadatos de la fuente</w:t>
            </w:r>
          </w:p>
        </w:tc>
      </w:tr>
      <w:tr>
        <w:trPr>
          <w:cantSplit/>
        </w:trPr>
        <w:tc>
          <w:tcPr>
            <w:tcW w:type="dxa" w:w="2520"/>
            <w:vAlign w:val="center"/>
            <w:shd w:fill="F7F9FC"/>
            <w:tcMar>
              <w:top w:w="85" w:type="dxa"/>
              <w:left w:w="85" w:type="dxa"/>
              <w:bottom w:w="85" w:type="dxa"/>
              <w:right w:w="85" w:type="dxa"/>
            </w:tcMar>
          </w:tcPr>
          <w:p>
            <w:pPr>
              <w:spacing w:after="40" w:before="40" w:line="252" w:lineRule="auto"/>
            </w:pPr>
            <w:r>
              <w:rPr>
                <w:b w:val="0"/>
                <w:sz w:val="18"/>
              </w:rPr>
              <w:t>Última actualización del conjunto</w:t>
            </w:r>
          </w:p>
        </w:tc>
        <w:tc>
          <w:tcPr>
            <w:tcW w:type="dxa" w:w="7560"/>
            <w:vAlign w:val="center"/>
            <w:shd w:fill="F7F9FC"/>
            <w:tcMar>
              <w:top w:w="85" w:type="dxa"/>
              <w:left w:w="85" w:type="dxa"/>
              <w:bottom w:w="85" w:type="dxa"/>
              <w:right w:w="85" w:type="dxa"/>
            </w:tcMar>
          </w:tcPr>
          <w:p>
            <w:pPr>
              <w:spacing w:after="40" w:before="40" w:line="252" w:lineRule="auto"/>
            </w:pPr>
            <w:r>
              <w:rPr>
                <w:b w:val="0"/>
                <w:sz w:val="18"/>
              </w:rPr>
              <w:t>13 de noviembre de 2025, según rowsUpdatedAt del portal</w:t>
            </w:r>
          </w:p>
        </w:tc>
      </w:tr>
    </w:tbl>
    <w:p>
      <w:pPr>
        <w:spacing w:after="60" w:before="0" w:line="240" w:lineRule="auto"/>
      </w:pPr>
      <w:r>
        <w:rPr>
          <w:sz w:val="4"/>
        </w:rPr>
        <w:t xml:space="preserve"> </w:t>
      </w:r>
    </w:p>
    <w:p>
      <w:pPr>
        <w:pStyle w:val="Heading2"/>
      </w:pPr>
      <w:r>
        <w:t>Unidad y cobertura del análisis</w:t>
      </w:r>
    </w:p>
    <w:p>
      <w:r>
        <w:t>Cada fila representa un territorio en una vigencia. Se identifican 32 departamentos y Bogotá D.C. mediante 33 códigos DANE distintos. El archivo original presenta 34 etiquetas de nombre porque Bogotá aparece con dos grafías; esto no representa un territorio adicional.</w:t>
      </w:r>
    </w:p>
    <w:p>
      <w:r>
        <w:t>La variable principal es la tasa de deserción intraanual del sector oficial. Se analizan sus cuatro niveles educativos, las tasas generales de aprobación y reprobación y las coberturas neta y bruta. La población de 5 a 16 años se conserva como contexto; no se utiliza para ponderar la deserción, porque no es su denominador de matrícula oficial.</w:t>
      </w:r>
    </w:p>
    <w:p>
      <w:r>
        <w:t>El promedio territorial asigna el mismo peso a cada territorio. Una tasa nacional ponderada requeriría los denominadores compatibles de matrícula oficial de cada vigencia, que no forman parte de las variables utilizadas en este proyecto.</w:t>
      </w:r>
    </w:p>
    <w:p>
      <w:r>
        <w:br w:type="page"/>
      </w:r>
    </w:p>
    <w:p>
      <w:pPr>
        <w:pStyle w:val="Heading1"/>
      </w:pPr>
      <w:r>
        <w:t>5 Recolección limpieza y transformación</w:t>
      </w:r>
    </w:p>
    <w:p>
      <w:r>
        <w:t>La preparación se ejecutó con el notebook Desercion-Escolar-Colombia.ipynb sobre el CSV descargado. El archivo original se conservó intacto y su huella SHA256 quedó registrada en reporte_calidad.json. El proceso produjo una tabla de 462 filas y 15 columnas sin imputaciones.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shd w:fill="E8EEF6"/>
            <w:tcMar>
              <w:top w:w="85" w:type="dxa"/>
              <w:left w:w="85" w:type="dxa"/>
              <w:bottom w:w="85" w:type="dxa"/>
              <w:right w:w="85" w:type="dxa"/>
            </w:tcMar>
          </w:tcPr>
          <w:p>
            <w:pPr>
              <w:spacing w:after="40" w:before="40" w:line="252" w:lineRule="auto"/>
            </w:pPr>
            <w:r>
              <w:rPr>
                <w:b/>
                <w:sz w:val="18"/>
              </w:rPr>
              <w:t>Operación</w:t>
            </w:r>
          </w:p>
        </w:tc>
        <w:tc>
          <w:tcPr>
            <w:tcW w:type="dxa" w:w="7992"/>
            <w:vAlign w:val="center"/>
            <w:shd w:fill="E8EEF6"/>
            <w:tcMar>
              <w:top w:w="85" w:type="dxa"/>
              <w:left w:w="85" w:type="dxa"/>
              <w:bottom w:w="85" w:type="dxa"/>
              <w:right w:w="85" w:type="dxa"/>
            </w:tcMar>
          </w:tcPr>
          <w:p>
            <w:pPr>
              <w:spacing w:after="40" w:before="40" w:line="252" w:lineRule="auto"/>
            </w:pPr>
            <w:r>
              <w:rPr>
                <w:b/>
                <w:sz w:val="18"/>
              </w:rPr>
              <w:t>Resultado del proceso</w:t>
            </w:r>
          </w:p>
        </w:tc>
      </w:tr>
      <w:tr>
        <w:trPr>
          <w:cantSplit/>
        </w:trPr>
        <w:tc>
          <w:tcPr>
            <w:tcW w:type="dxa" w:w="2088"/>
            <w:vAlign w:val="center"/>
            <w:shd w:fill="FFFFFF"/>
            <w:tcMar>
              <w:top w:w="85" w:type="dxa"/>
              <w:left w:w="85" w:type="dxa"/>
              <w:bottom w:w="85" w:type="dxa"/>
              <w:right w:w="85" w:type="dxa"/>
            </w:tcMar>
          </w:tcPr>
          <w:p>
            <w:pPr>
              <w:spacing w:after="40" w:before="40" w:line="252" w:lineRule="auto"/>
            </w:pPr>
            <w:r>
              <w:rPr>
                <w:b w:val="0"/>
                <w:sz w:val="18"/>
              </w:rPr>
              <w:t>Duplicados y claves</w:t>
            </w:r>
          </w:p>
        </w:tc>
        <w:tc>
          <w:tcPr>
            <w:tcW w:type="dxa" w:w="7992"/>
            <w:vAlign w:val="center"/>
            <w:shd w:fill="FFFFFF"/>
            <w:tcMar>
              <w:top w:w="85" w:type="dxa"/>
              <w:left w:w="85" w:type="dxa"/>
              <w:bottom w:w="85" w:type="dxa"/>
              <w:right w:w="85" w:type="dxa"/>
            </w:tcMar>
          </w:tcPr>
          <w:p>
            <w:pPr>
              <w:spacing w:after="40" w:before="40" w:line="252" w:lineRule="auto"/>
            </w:pPr>
            <w:r>
              <w:rPr>
                <w:b w:val="0"/>
                <w:sz w:val="18"/>
              </w:rPr>
              <w:t>0 duplicados exactos y 0 claves departamento año repetidas. No se eliminaron filas.</w:t>
            </w:r>
          </w:p>
        </w:tc>
      </w:tr>
      <w:tr>
        <w:trPr>
          <w:cantSplit/>
        </w:trPr>
        <w:tc>
          <w:tcPr>
            <w:tcW w:type="dxa" w:w="2088"/>
            <w:vAlign w:val="center"/>
            <w:shd w:fill="F7F9FC"/>
            <w:tcMar>
              <w:top w:w="85" w:type="dxa"/>
              <w:left w:w="85" w:type="dxa"/>
              <w:bottom w:w="85" w:type="dxa"/>
              <w:right w:w="85" w:type="dxa"/>
            </w:tcMar>
          </w:tcPr>
          <w:p>
            <w:pPr>
              <w:spacing w:after="40" w:before="40" w:line="252" w:lineRule="auto"/>
            </w:pPr>
            <w:r>
              <w:rPr>
                <w:b w:val="0"/>
                <w:sz w:val="18"/>
              </w:rPr>
              <w:t>Nombres y códigos</w:t>
            </w:r>
          </w:p>
        </w:tc>
        <w:tc>
          <w:tcPr>
            <w:tcW w:type="dxa" w:w="7992"/>
            <w:vAlign w:val="center"/>
            <w:shd w:fill="F7F9FC"/>
            <w:tcMar>
              <w:top w:w="85" w:type="dxa"/>
              <w:left w:w="85" w:type="dxa"/>
              <w:bottom w:w="85" w:type="dxa"/>
              <w:right w:w="85" w:type="dxa"/>
            </w:tcMar>
          </w:tcPr>
          <w:p>
            <w:pPr>
              <w:spacing w:after="40" w:before="40" w:line="252" w:lineRule="auto"/>
            </w:pPr>
            <w:r>
              <w:rPr>
                <w:b w:val="0"/>
                <w:sz w:val="18"/>
              </w:rPr>
              <w:t>Código DANE como texto de dos dígitos. Bogotá se homologó a Bogotá D.C. y Quindio a Quindío. Se estandarizaron 28 etiquetas de fila.</w:t>
            </w:r>
          </w:p>
        </w:tc>
      </w:tr>
      <w:tr>
        <w:trPr>
          <w:cantSplit/>
        </w:trPr>
        <w:tc>
          <w:tcPr>
            <w:tcW w:type="dxa" w:w="2088"/>
            <w:vAlign w:val="center"/>
            <w:shd w:fill="FFFFFF"/>
            <w:tcMar>
              <w:top w:w="85" w:type="dxa"/>
              <w:left w:w="85" w:type="dxa"/>
              <w:bottom w:w="85" w:type="dxa"/>
              <w:right w:w="85" w:type="dxa"/>
            </w:tcMar>
          </w:tcPr>
          <w:p>
            <w:pPr>
              <w:spacing w:after="40" w:before="40" w:line="252" w:lineRule="auto"/>
            </w:pPr>
            <w:r>
              <w:rPr>
                <w:b w:val="0"/>
                <w:sz w:val="18"/>
              </w:rPr>
              <w:t>Nulos</w:t>
            </w:r>
          </w:p>
        </w:tc>
        <w:tc>
          <w:tcPr>
            <w:tcW w:type="dxa" w:w="7992"/>
            <w:vAlign w:val="center"/>
            <w:shd w:fill="FFFFFF"/>
            <w:tcMar>
              <w:top w:w="85" w:type="dxa"/>
              <w:left w:w="85" w:type="dxa"/>
              <w:bottom w:w="85" w:type="dxa"/>
              <w:right w:w="85" w:type="dxa"/>
            </w:tcMar>
          </w:tcPr>
          <w:p>
            <w:pPr>
              <w:spacing w:after="40" w:before="40" w:line="252" w:lineRule="auto"/>
            </w:pPr>
            <w:r>
              <w:rPr>
                <w:b w:val="0"/>
                <w:sz w:val="18"/>
              </w:rPr>
              <w:t>Se conservó el nulo de deserción en transición de Bogotá en 2012. No se reemplazó por cero ni por un promedio.</w:t>
            </w:r>
          </w:p>
        </w:tc>
      </w:tr>
      <w:tr>
        <w:trPr>
          <w:cantSplit/>
        </w:trPr>
        <w:tc>
          <w:tcPr>
            <w:tcW w:type="dxa" w:w="2088"/>
            <w:vAlign w:val="center"/>
            <w:shd w:fill="F7F9FC"/>
            <w:tcMar>
              <w:top w:w="85" w:type="dxa"/>
              <w:left w:w="85" w:type="dxa"/>
              <w:bottom w:w="85" w:type="dxa"/>
              <w:right w:w="85" w:type="dxa"/>
            </w:tcMar>
          </w:tcPr>
          <w:p>
            <w:pPr>
              <w:spacing w:after="40" w:before="40" w:line="252" w:lineRule="auto"/>
            </w:pPr>
            <w:r>
              <w:rPr>
                <w:b w:val="0"/>
                <w:sz w:val="18"/>
              </w:rPr>
              <w:t>Tipos y unidades</w:t>
            </w:r>
          </w:p>
        </w:tc>
        <w:tc>
          <w:tcPr>
            <w:tcW w:type="dxa" w:w="7992"/>
            <w:vAlign w:val="center"/>
            <w:shd w:fill="F7F9FC"/>
            <w:tcMar>
              <w:top w:w="85" w:type="dxa"/>
              <w:left w:w="85" w:type="dxa"/>
              <w:bottom w:w="85" w:type="dxa"/>
              <w:right w:w="85" w:type="dxa"/>
            </w:tcMar>
          </w:tcPr>
          <w:p>
            <w:pPr>
              <w:spacing w:after="40" w:before="40" w:line="252" w:lineRule="auto"/>
            </w:pPr>
            <w:r>
              <w:rPr>
                <w:b w:val="0"/>
                <w:sz w:val="18"/>
              </w:rPr>
              <w:t>Año y población como enteros. Nueve tasas divididas por 100 para almacenarse como proporciones; 6.65 se convierte en 0.0665.</w:t>
            </w:r>
          </w:p>
        </w:tc>
      </w:tr>
      <w:tr>
        <w:trPr>
          <w:cantSplit/>
        </w:trPr>
        <w:tc>
          <w:tcPr>
            <w:tcW w:type="dxa" w:w="2088"/>
            <w:vAlign w:val="center"/>
            <w:shd w:fill="FFFFFF"/>
            <w:tcMar>
              <w:top w:w="85" w:type="dxa"/>
              <w:left w:w="85" w:type="dxa"/>
              <w:bottom w:w="85" w:type="dxa"/>
              <w:right w:w="85" w:type="dxa"/>
            </w:tcMar>
          </w:tcPr>
          <w:p>
            <w:pPr>
              <w:spacing w:after="40" w:before="40" w:line="252" w:lineRule="auto"/>
            </w:pPr>
            <w:r>
              <w:rPr>
                <w:b w:val="0"/>
                <w:sz w:val="18"/>
              </w:rPr>
              <w:t>Selección de variables</w:t>
            </w:r>
          </w:p>
        </w:tc>
        <w:tc>
          <w:tcPr>
            <w:tcW w:type="dxa" w:w="7992"/>
            <w:vAlign w:val="center"/>
            <w:shd w:fill="FFFFFF"/>
            <w:tcMar>
              <w:top w:w="85" w:type="dxa"/>
              <w:left w:w="85" w:type="dxa"/>
              <w:bottom w:w="85" w:type="dxa"/>
              <w:right w:w="85" w:type="dxa"/>
            </w:tcMar>
          </w:tcPr>
          <w:p>
            <w:pPr>
              <w:spacing w:after="40" w:before="40" w:line="252" w:lineRule="auto"/>
            </w:pPr>
            <w:r>
              <w:rPr>
                <w:b w:val="0"/>
                <w:sz w:val="18"/>
              </w:rPr>
              <w:t>Se conservaron 13 columnas originales y se excluyeron 24 por alcance. Tamaño de grupo e internet tienen 231 nulos cada una; no se usaron.</w:t>
            </w:r>
          </w:p>
        </w:tc>
      </w:tr>
      <w:tr>
        <w:trPr>
          <w:cantSplit/>
        </w:trPr>
        <w:tc>
          <w:tcPr>
            <w:tcW w:type="dxa" w:w="2088"/>
            <w:vAlign w:val="center"/>
            <w:shd w:fill="F7F9FC"/>
            <w:tcMar>
              <w:top w:w="85" w:type="dxa"/>
              <w:left w:w="85" w:type="dxa"/>
              <w:bottom w:w="85" w:type="dxa"/>
              <w:right w:w="85" w:type="dxa"/>
            </w:tcMar>
          </w:tcPr>
          <w:p>
            <w:pPr>
              <w:spacing w:after="40" w:before="40" w:line="252" w:lineRule="auto"/>
            </w:pPr>
            <w:r>
              <w:rPr>
                <w:b w:val="0"/>
                <w:sz w:val="18"/>
              </w:rPr>
              <w:t>Clasificación</w:t>
            </w:r>
          </w:p>
        </w:tc>
        <w:tc>
          <w:tcPr>
            <w:tcW w:type="dxa" w:w="7992"/>
            <w:vAlign w:val="center"/>
            <w:shd w:fill="F7F9FC"/>
            <w:tcMar>
              <w:top w:w="85" w:type="dxa"/>
              <w:left w:w="85" w:type="dxa"/>
              <w:bottom w:w="85" w:type="dxa"/>
              <w:right w:w="85" w:type="dxa"/>
            </w:tcMar>
          </w:tcPr>
          <w:p>
            <w:pPr>
              <w:spacing w:after="40" w:before="40" w:line="252" w:lineRule="auto"/>
            </w:pPr>
            <w:r>
              <w:rPr>
                <w:b w:val="0"/>
                <w:sz w:val="18"/>
              </w:rPr>
              <w:t>Baja menor a 3 %; Media desde 3 % hasta 6 % inclusive; Alta mayor a 6 %. Son umbrales del proyecto, no una clasificación oficial del MEN.</w:t>
            </w:r>
          </w:p>
        </w:tc>
      </w:tr>
      <w:tr>
        <w:trPr>
          <w:cantSplit/>
        </w:trPr>
        <w:tc>
          <w:tcPr>
            <w:tcW w:type="dxa" w:w="2088"/>
            <w:vAlign w:val="center"/>
            <w:shd w:fill="FFFFFF"/>
            <w:tcMar>
              <w:top w:w="85" w:type="dxa"/>
              <w:left w:w="85" w:type="dxa"/>
              <w:bottom w:w="85" w:type="dxa"/>
              <w:right w:w="85" w:type="dxa"/>
            </w:tcMar>
          </w:tcPr>
          <w:p>
            <w:pPr>
              <w:spacing w:after="40" w:before="40" w:line="252" w:lineRule="auto"/>
            </w:pPr>
            <w:r>
              <w:rPr>
                <w:b w:val="0"/>
                <w:sz w:val="18"/>
              </w:rPr>
              <w:t>Variación interanual</w:t>
            </w:r>
          </w:p>
        </w:tc>
        <w:tc>
          <w:tcPr>
            <w:tcW w:type="dxa" w:w="7992"/>
            <w:vAlign w:val="center"/>
            <w:shd w:fill="FFFFFF"/>
            <w:tcMar>
              <w:top w:w="85" w:type="dxa"/>
              <w:left w:w="85" w:type="dxa"/>
              <w:bottom w:w="85" w:type="dxa"/>
              <w:right w:w="85" w:type="dxa"/>
            </w:tcMar>
          </w:tcPr>
          <w:p>
            <w:pPr>
              <w:spacing w:after="40" w:before="40" w:line="252" w:lineRule="auto"/>
            </w:pPr>
            <w:r>
              <w:rPr>
                <w:b w:val="0"/>
                <w:sz w:val="18"/>
              </w:rPr>
              <w:t>Tasa actual menos tasa del año inmediatamente anterior, expresada en pp. Los 33 registros de 2011 quedan sin variación porque no existe 2010.</w:t>
            </w:r>
          </w:p>
        </w:tc>
      </w:tr>
      <w:tr>
        <w:trPr>
          <w:cantSplit/>
        </w:trPr>
        <w:tc>
          <w:tcPr>
            <w:tcW w:type="dxa" w:w="2088"/>
            <w:vAlign w:val="center"/>
            <w:shd w:fill="F7F9FC"/>
            <w:tcMar>
              <w:top w:w="85" w:type="dxa"/>
              <w:left w:w="85" w:type="dxa"/>
              <w:bottom w:w="85" w:type="dxa"/>
              <w:right w:w="85" w:type="dxa"/>
            </w:tcMar>
          </w:tcPr>
          <w:p>
            <w:pPr>
              <w:spacing w:after="40" w:before="40" w:line="252" w:lineRule="auto"/>
            </w:pPr>
            <w:r>
              <w:rPr>
                <w:b w:val="0"/>
                <w:sz w:val="18"/>
              </w:rPr>
              <w:t>Validación y alertas</w:t>
            </w:r>
          </w:p>
        </w:tc>
        <w:tc>
          <w:tcPr>
            <w:tcW w:type="dxa" w:w="7992"/>
            <w:vAlign w:val="center"/>
            <w:shd w:fill="F7F9FC"/>
            <w:tcMar>
              <w:top w:w="85" w:type="dxa"/>
              <w:left w:w="85" w:type="dxa"/>
              <w:bottom w:w="85" w:type="dxa"/>
              <w:right w:w="85" w:type="dxa"/>
            </w:tcMar>
          </w:tcPr>
          <w:p>
            <w:pPr>
              <w:spacing w:after="40" w:before="40" w:line="252" w:lineRule="auto"/>
            </w:pPr>
            <w:r>
              <w:rPr>
                <w:b w:val="0"/>
                <w:sz w:val="18"/>
              </w:rPr>
              <w:t>Se conservaron 11 coberturas netas y 238 brutas superiores a 100 %, admitidas por la metodología. Se documentaron 6 alertas de balance en 2011 sin alterar la fuente.</w:t>
            </w:r>
          </w:p>
        </w:tc>
      </w:tr>
    </w:tbl>
    <w:p>
      <w:pPr>
        <w:spacing w:after="60" w:before="0" w:line="240" w:lineRule="auto"/>
      </w:pPr>
      <w:r>
        <w:rPr>
          <w:sz w:val="4"/>
        </w:rPr>
        <w:t xml:space="preserve"> </w:t>
      </w:r>
    </w:p>
    <w:p>
      <w:pPr>
        <w:pStyle w:val="Heading2"/>
      </w:pPr>
      <w:r>
        <w:t>Uso de inteligencia artificial</w:t>
      </w:r>
    </w:p>
    <w:p>
      <w:r>
        <w:t>La inteligencia artificial se utilizó como apoyo para la construcción del tablero en HTML y para revisar y pulir errores de redacción, estructura y presentación del documento elaborado por el equipo.</w:t>
      </w:r>
    </w:p>
    <w:p>
      <w:r>
        <w:t>El equipo revisa la coherencia entre los objetivos, los filtros, las visualizaciones y las conclusiones, así como las cifras y el funcionamiento del tablero antes de la entrega. La asistencia de IA complementa la revisión del equipo; los datos provienen del conjunto publicado por el MEN.</w:t>
      </w:r>
    </w:p>
    <w:p>
      <w:r>
        <w:br w:type="page"/>
      </w:r>
    </w:p>
    <w:p>
      <w:pPr>
        <w:pStyle w:val="Heading1"/>
      </w:pPr>
      <w:r>
        <w:t>6 Descripción y diccionario de datos</w:t>
      </w:r>
    </w:p>
    <w:p>
      <w:r>
        <w:t>El diccionario describe todas las variables de la tabla preparada. En esta tabla las tasas se almacenan como proporciones y se presentan como porcentajes. Los cambios interanuales se almacenan directamente en puntos porcentuales. MEN identifica las columnas originales; Cálculo identifica variables derivadas por 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922"/>
        <w:gridCol w:w="3672"/>
        <w:gridCol w:w="936"/>
        <w:gridCol w:w="2390"/>
      </w:tblGrid>
      <w:tr>
        <w:trPr>
          <w:cantSplit/>
          <w:tblHeader/>
        </w:trPr>
        <w:tc>
          <w:tcPr>
            <w:tcW w:type="dxa" w:w="2160"/>
            <w:vAlign w:val="center"/>
            <w:shd w:fill="E8EEF6"/>
            <w:tcMar>
              <w:top w:w="85" w:type="dxa"/>
              <w:left w:w="85" w:type="dxa"/>
              <w:bottom w:w="85" w:type="dxa"/>
              <w:right w:w="85" w:type="dxa"/>
            </w:tcMar>
          </w:tcPr>
          <w:p>
            <w:pPr>
              <w:spacing w:after="40" w:before="40" w:line="252" w:lineRule="auto"/>
            </w:pPr>
            <w:r>
              <w:rPr>
                <w:b/>
                <w:sz w:val="17"/>
              </w:rPr>
              <w:t>Variable</w:t>
            </w:r>
          </w:p>
        </w:tc>
        <w:tc>
          <w:tcPr>
            <w:tcW w:type="dxa" w:w="922"/>
            <w:vAlign w:val="center"/>
            <w:shd w:fill="E8EEF6"/>
            <w:tcMar>
              <w:top w:w="85" w:type="dxa"/>
              <w:left w:w="85" w:type="dxa"/>
              <w:bottom w:w="85" w:type="dxa"/>
              <w:right w:w="85" w:type="dxa"/>
            </w:tcMar>
          </w:tcPr>
          <w:p>
            <w:pPr>
              <w:spacing w:after="40" w:before="40" w:line="252" w:lineRule="auto"/>
              <w:jc w:val="center"/>
            </w:pPr>
            <w:r>
              <w:rPr>
                <w:b/>
                <w:sz w:val="17"/>
              </w:rPr>
              <w:t>Tipo</w:t>
            </w:r>
          </w:p>
        </w:tc>
        <w:tc>
          <w:tcPr>
            <w:tcW w:type="dxa" w:w="3672"/>
            <w:vAlign w:val="center"/>
            <w:shd w:fill="E8EEF6"/>
            <w:tcMar>
              <w:top w:w="85" w:type="dxa"/>
              <w:left w:w="85" w:type="dxa"/>
              <w:bottom w:w="85" w:type="dxa"/>
              <w:right w:w="85" w:type="dxa"/>
            </w:tcMar>
          </w:tcPr>
          <w:p>
            <w:pPr>
              <w:spacing w:after="40" w:before="40" w:line="252" w:lineRule="auto"/>
            </w:pPr>
            <w:r>
              <w:rPr>
                <w:b/>
                <w:sz w:val="17"/>
              </w:rPr>
              <w:t>Descripción</w:t>
            </w:r>
          </w:p>
        </w:tc>
        <w:tc>
          <w:tcPr>
            <w:tcW w:type="dxa" w:w="936"/>
            <w:vAlign w:val="center"/>
            <w:shd w:fill="E8EEF6"/>
            <w:tcMar>
              <w:top w:w="85" w:type="dxa"/>
              <w:left w:w="85" w:type="dxa"/>
              <w:bottom w:w="85" w:type="dxa"/>
              <w:right w:w="85" w:type="dxa"/>
            </w:tcMar>
          </w:tcPr>
          <w:p>
            <w:pPr>
              <w:spacing w:after="40" w:before="40" w:line="252" w:lineRule="auto"/>
            </w:pPr>
            <w:r>
              <w:rPr>
                <w:b/>
                <w:sz w:val="17"/>
              </w:rPr>
              <w:t>Fuente</w:t>
            </w:r>
          </w:p>
        </w:tc>
        <w:tc>
          <w:tcPr>
            <w:tcW w:type="dxa" w:w="2390"/>
            <w:vAlign w:val="center"/>
            <w:shd w:fill="E8EEF6"/>
            <w:tcMar>
              <w:top w:w="85" w:type="dxa"/>
              <w:left w:w="85" w:type="dxa"/>
              <w:bottom w:w="85" w:type="dxa"/>
              <w:right w:w="85" w:type="dxa"/>
            </w:tcMar>
          </w:tcPr>
          <w:p>
            <w:pPr>
              <w:spacing w:after="40" w:before="40" w:line="252" w:lineRule="auto"/>
            </w:pPr>
            <w:r>
              <w:rPr>
                <w:b/>
                <w:sz w:val="17"/>
              </w:rPr>
              <w:t>Valores y unidad</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ano</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Entero</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Vigencia del indicador</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2011 a 2024</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c_digo_</w:t>
              <w:br/>
              <w:t>departamento</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Texto</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Código DANE territorial con dos dígitos</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05, 08, 11, etc.</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departamento</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Texto</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Nombre homologado del territorio</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33 territorios</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poblacion_5_16</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Entero</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Población proyectada de 5 a 16 años</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Personas</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desercion</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Deserción intraanual del sector oficial</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Proporción; % en visual</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desercion_</w:t>
              <w:br/>
              <w:t>transicion</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Deserción oficial en transición</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Proporción; admite nulo</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desercion_</w:t>
              <w:br/>
              <w:t>primaria</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Deserción oficial en primaria</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Proporción</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desercion_</w:t>
              <w:br/>
              <w:t>secundaria</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Deserción oficial en secundaria</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Proporción</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desercion_</w:t>
              <w:br/>
              <w:t>media</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Deserción oficial en media</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Proporción</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aprobacion</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Estudiantes que aprueban en el sector oficial</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Proporción</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reprobacion</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Estudiantes que reprueban en el sector oficial</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Proporción</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cobertura_</w:t>
              <w:br/>
              <w:t>neta</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Matrícula en edad teórica respecto a población de esa edad</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MEN</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Proporción; puede &gt;1</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cobertura_</w:t>
              <w:br/>
              <w:t>bruta</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Matrícula total respecto a población en edad teórica</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MEN</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Proporción; puede &gt;1</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7"/>
              </w:rPr>
              <w:t>rango_</w:t>
              <w:br/>
              <w:t>desercion</w:t>
            </w:r>
          </w:p>
        </w:tc>
        <w:tc>
          <w:tcPr>
            <w:tcW w:type="dxa" w:w="922"/>
            <w:vAlign w:val="center"/>
            <w:shd w:fill="F7F9FC"/>
            <w:tcMar>
              <w:top w:w="85" w:type="dxa"/>
              <w:left w:w="85" w:type="dxa"/>
              <w:bottom w:w="85" w:type="dxa"/>
              <w:right w:w="85" w:type="dxa"/>
            </w:tcMar>
          </w:tcPr>
          <w:p>
            <w:pPr>
              <w:spacing w:after="40" w:before="40" w:line="252" w:lineRule="auto"/>
              <w:jc w:val="center"/>
            </w:pPr>
            <w:r>
              <w:rPr>
                <w:b w:val="0"/>
                <w:sz w:val="17"/>
              </w:rPr>
              <w:t>Texto</w:t>
            </w:r>
          </w:p>
        </w:tc>
        <w:tc>
          <w:tcPr>
            <w:tcW w:type="dxa" w:w="3672"/>
            <w:vAlign w:val="center"/>
            <w:shd w:fill="F7F9FC"/>
            <w:tcMar>
              <w:top w:w="85" w:type="dxa"/>
              <w:left w:w="85" w:type="dxa"/>
              <w:bottom w:w="85" w:type="dxa"/>
              <w:right w:w="85" w:type="dxa"/>
            </w:tcMar>
          </w:tcPr>
          <w:p>
            <w:pPr>
              <w:spacing w:after="40" w:before="40" w:line="252" w:lineRule="auto"/>
            </w:pPr>
            <w:r>
              <w:rPr>
                <w:b w:val="0"/>
                <w:sz w:val="17"/>
              </w:rPr>
              <w:t>Categoría analítica según la tasa de la fila</w:t>
            </w:r>
          </w:p>
        </w:tc>
        <w:tc>
          <w:tcPr>
            <w:tcW w:type="dxa" w:w="936"/>
            <w:vAlign w:val="center"/>
            <w:shd w:fill="F7F9FC"/>
            <w:tcMar>
              <w:top w:w="85" w:type="dxa"/>
              <w:left w:w="85" w:type="dxa"/>
              <w:bottom w:w="85" w:type="dxa"/>
              <w:right w:w="85" w:type="dxa"/>
            </w:tcMar>
          </w:tcPr>
          <w:p>
            <w:pPr>
              <w:spacing w:after="40" w:before="40" w:line="252" w:lineRule="auto"/>
            </w:pPr>
            <w:r>
              <w:rPr>
                <w:b w:val="0"/>
                <w:sz w:val="17"/>
              </w:rPr>
              <w:t>Cálculo</w:t>
            </w:r>
          </w:p>
        </w:tc>
        <w:tc>
          <w:tcPr>
            <w:tcW w:type="dxa" w:w="2390"/>
            <w:vAlign w:val="center"/>
            <w:shd w:fill="F7F9FC"/>
            <w:tcMar>
              <w:top w:w="85" w:type="dxa"/>
              <w:left w:w="85" w:type="dxa"/>
              <w:bottom w:w="85" w:type="dxa"/>
              <w:right w:w="85" w:type="dxa"/>
            </w:tcMar>
          </w:tcPr>
          <w:p>
            <w:pPr>
              <w:spacing w:after="40" w:before="40" w:line="252" w:lineRule="auto"/>
            </w:pPr>
            <w:r>
              <w:rPr>
                <w:b w:val="0"/>
                <w:sz w:val="17"/>
              </w:rPr>
              <w:t>Baja, Media, Alta o Sin dato</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7"/>
              </w:rPr>
              <w:t>variacion_</w:t>
              <w:br/>
              <w:t>interanual_pp</w:t>
            </w:r>
          </w:p>
        </w:tc>
        <w:tc>
          <w:tcPr>
            <w:tcW w:type="dxa" w:w="922"/>
            <w:vAlign w:val="center"/>
            <w:shd w:fill="FFFFFF"/>
            <w:tcMar>
              <w:top w:w="85" w:type="dxa"/>
              <w:left w:w="85" w:type="dxa"/>
              <w:bottom w:w="85" w:type="dxa"/>
              <w:right w:w="85" w:type="dxa"/>
            </w:tcMar>
          </w:tcPr>
          <w:p>
            <w:pPr>
              <w:spacing w:after="40" w:before="40" w:line="252" w:lineRule="auto"/>
              <w:jc w:val="center"/>
            </w:pPr>
            <w:r>
              <w:rPr>
                <w:b w:val="0"/>
                <w:sz w:val="17"/>
              </w:rPr>
              <w:t>Decimal</w:t>
            </w:r>
          </w:p>
        </w:tc>
        <w:tc>
          <w:tcPr>
            <w:tcW w:type="dxa" w:w="3672"/>
            <w:vAlign w:val="center"/>
            <w:shd w:fill="FFFFFF"/>
            <w:tcMar>
              <w:top w:w="85" w:type="dxa"/>
              <w:left w:w="85" w:type="dxa"/>
              <w:bottom w:w="85" w:type="dxa"/>
              <w:right w:w="85" w:type="dxa"/>
            </w:tcMar>
          </w:tcPr>
          <w:p>
            <w:pPr>
              <w:spacing w:after="40" w:before="40" w:line="252" w:lineRule="auto"/>
            </w:pPr>
            <w:r>
              <w:rPr>
                <w:b w:val="0"/>
                <w:sz w:val="17"/>
              </w:rPr>
              <w:t>Cambio frente al año inmediatamente anterior del mismo territorio</w:t>
            </w:r>
          </w:p>
        </w:tc>
        <w:tc>
          <w:tcPr>
            <w:tcW w:type="dxa" w:w="936"/>
            <w:vAlign w:val="center"/>
            <w:shd w:fill="FFFFFF"/>
            <w:tcMar>
              <w:top w:w="85" w:type="dxa"/>
              <w:left w:w="85" w:type="dxa"/>
              <w:bottom w:w="85" w:type="dxa"/>
              <w:right w:w="85" w:type="dxa"/>
            </w:tcMar>
          </w:tcPr>
          <w:p>
            <w:pPr>
              <w:spacing w:after="40" w:before="40" w:line="252" w:lineRule="auto"/>
            </w:pPr>
            <w:r>
              <w:rPr>
                <w:b w:val="0"/>
                <w:sz w:val="17"/>
              </w:rPr>
              <w:t>Cálculo</w:t>
            </w:r>
          </w:p>
        </w:tc>
        <w:tc>
          <w:tcPr>
            <w:tcW w:type="dxa" w:w="2390"/>
            <w:vAlign w:val="center"/>
            <w:shd w:fill="FFFFFF"/>
            <w:tcMar>
              <w:top w:w="85" w:type="dxa"/>
              <w:left w:w="85" w:type="dxa"/>
              <w:bottom w:w="85" w:type="dxa"/>
              <w:right w:w="85" w:type="dxa"/>
            </w:tcMar>
          </w:tcPr>
          <w:p>
            <w:pPr>
              <w:spacing w:after="40" w:before="40" w:line="252" w:lineRule="auto"/>
            </w:pPr>
            <w:r>
              <w:rPr>
                <w:b w:val="0"/>
                <w:sz w:val="17"/>
              </w:rPr>
              <w:t>Puntos porcentuales; nulo inicial</w:t>
            </w:r>
          </w:p>
        </w:tc>
      </w:tr>
    </w:tbl>
    <w:p>
      <w:pPr>
        <w:spacing w:after="60" w:before="0" w:line="240" w:lineRule="auto"/>
      </w:pPr>
      <w:r>
        <w:rPr>
          <w:sz w:val="4"/>
        </w:rPr>
        <w:t xml:space="preserve"> </w:t>
      </w:r>
    </w:p>
    <w:p>
      <w:r>
        <w:t>Ejemplo de lectura: para Caquetá en 2024, desercion = 0.0665 se presenta como 6.65 %; variacion_interanual_pp = -0.24 significa una reducción de 0.24 pp respecto a 2023. Los saltos de línea en los nombres del diccionario solo facilitan la lectura; los encabezados del CSV son continuos.</w:t>
      </w:r>
    </w:p>
    <w:p>
      <w:r>
        <w:br w:type="page"/>
      </w:r>
    </w:p>
    <w:p>
      <w:pPr>
        <w:pStyle w:val="Heading1"/>
      </w:pPr>
      <w:r>
        <w:t>7 Público objetivo y decisiones</w:t>
      </w:r>
    </w:p>
    <w:p>
      <w:r>
        <w:t>El público principal es el secretario departamental de Educación y su equipo técnico de permanencia escolar. El equipo necesita identificar territorios y niveles con tasas altas o aumentos recientes, comparar su desempeño histórico y preparar prioridades de seguimiento.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shd w:fill="E8EEF6"/>
            <w:tcMar>
              <w:top w:w="85" w:type="dxa"/>
              <w:left w:w="85" w:type="dxa"/>
              <w:bottom w:w="85" w:type="dxa"/>
              <w:right w:w="85" w:type="dxa"/>
            </w:tcMar>
          </w:tcPr>
          <w:p>
            <w:pPr>
              <w:spacing w:after="40" w:before="40" w:line="252" w:lineRule="auto"/>
            </w:pPr>
            <w:r>
              <w:rPr>
                <w:b/>
                <w:sz w:val="18"/>
              </w:rPr>
              <w:t>Necesidad o pregunta</w:t>
            </w:r>
          </w:p>
        </w:tc>
        <w:tc>
          <w:tcPr>
            <w:tcW w:type="dxa" w:w="5040"/>
            <w:vAlign w:val="center"/>
            <w:shd w:fill="E8EEF6"/>
            <w:tcMar>
              <w:top w:w="85" w:type="dxa"/>
              <w:left w:w="85" w:type="dxa"/>
              <w:bottom w:w="85" w:type="dxa"/>
              <w:right w:w="85" w:type="dxa"/>
            </w:tcMar>
          </w:tcPr>
          <w:p>
            <w:pPr>
              <w:spacing w:after="40" w:before="40" w:line="252" w:lineRule="auto"/>
            </w:pPr>
            <w:r>
              <w:rPr>
                <w:b/>
                <w:sz w:val="18"/>
              </w:rPr>
              <w:t>Decisión que puede apoyar</w:t>
            </w:r>
          </w:p>
        </w:tc>
      </w:tr>
      <w:tr>
        <w:trPr>
          <w:cantSplit/>
        </w:trPr>
        <w:tc>
          <w:tcPr>
            <w:tcW w:type="dxa" w:w="5040"/>
            <w:vAlign w:val="center"/>
            <w:shd w:fill="FFFFFF"/>
            <w:tcMar>
              <w:top w:w="85" w:type="dxa"/>
              <w:left w:w="85" w:type="dxa"/>
              <w:bottom w:w="85" w:type="dxa"/>
              <w:right w:w="85" w:type="dxa"/>
            </w:tcMar>
          </w:tcPr>
          <w:p>
            <w:pPr>
              <w:spacing w:after="40" w:before="40" w:line="252" w:lineRule="auto"/>
            </w:pPr>
            <w:r>
              <w:rPr>
                <w:b w:val="0"/>
                <w:sz w:val="18"/>
              </w:rPr>
              <w:t>¿Dónde son mayores las tasas y sus cambios recientes?</w:t>
            </w:r>
          </w:p>
        </w:tc>
        <w:tc>
          <w:tcPr>
            <w:tcW w:type="dxa" w:w="5040"/>
            <w:vAlign w:val="center"/>
            <w:shd w:fill="FFFFFF"/>
            <w:tcMar>
              <w:top w:w="85" w:type="dxa"/>
              <w:left w:w="85" w:type="dxa"/>
              <w:bottom w:w="85" w:type="dxa"/>
              <w:right w:w="85" w:type="dxa"/>
            </w:tcMar>
          </w:tcPr>
          <w:p>
            <w:pPr>
              <w:spacing w:after="40" w:before="40" w:line="252" w:lineRule="auto"/>
            </w:pPr>
            <w:r>
              <w:rPr>
                <w:b w:val="0"/>
                <w:sz w:val="18"/>
              </w:rPr>
              <w:t>Priorizar territorios para revisión y seguimiento institucional.</w:t>
            </w:r>
          </w:p>
        </w:tc>
      </w:tr>
      <w:tr>
        <w:trPr>
          <w:cantSplit/>
        </w:trPr>
        <w:tc>
          <w:tcPr>
            <w:tcW w:type="dxa" w:w="5040"/>
            <w:vAlign w:val="center"/>
            <w:shd w:fill="F7F9FC"/>
            <w:tcMar>
              <w:top w:w="85" w:type="dxa"/>
              <w:left w:w="85" w:type="dxa"/>
              <w:bottom w:w="85" w:type="dxa"/>
              <w:right w:w="85" w:type="dxa"/>
            </w:tcMar>
          </w:tcPr>
          <w:p>
            <w:pPr>
              <w:spacing w:after="40" w:before="40" w:line="252" w:lineRule="auto"/>
            </w:pPr>
            <w:r>
              <w:rPr>
                <w:b w:val="0"/>
                <w:sz w:val="18"/>
              </w:rPr>
              <w:t>¿Qué niveles presentan mayor deserción?</w:t>
            </w:r>
          </w:p>
        </w:tc>
        <w:tc>
          <w:tcPr>
            <w:tcW w:type="dxa" w:w="5040"/>
            <w:vAlign w:val="center"/>
            <w:shd w:fill="F7F9FC"/>
            <w:tcMar>
              <w:top w:w="85" w:type="dxa"/>
              <w:left w:w="85" w:type="dxa"/>
              <w:bottom w:w="85" w:type="dxa"/>
              <w:right w:w="85" w:type="dxa"/>
            </w:tcMar>
          </w:tcPr>
          <w:p>
            <w:pPr>
              <w:spacing w:after="40" w:before="40" w:line="252" w:lineRule="auto"/>
            </w:pPr>
            <w:r>
              <w:rPr>
                <w:b w:val="0"/>
                <w:sz w:val="18"/>
              </w:rPr>
              <w:t>Orientar el diagnóstico de permanencia por nivel educativo.</w:t>
            </w:r>
          </w:p>
        </w:tc>
      </w:tr>
      <w:tr>
        <w:trPr>
          <w:cantSplit/>
        </w:trPr>
        <w:tc>
          <w:tcPr>
            <w:tcW w:type="dxa" w:w="5040"/>
            <w:vAlign w:val="center"/>
            <w:shd w:fill="FFFFFF"/>
            <w:tcMar>
              <w:top w:w="85" w:type="dxa"/>
              <w:left w:w="85" w:type="dxa"/>
              <w:bottom w:w="85" w:type="dxa"/>
              <w:right w:w="85" w:type="dxa"/>
            </w:tcMar>
          </w:tcPr>
          <w:p>
            <w:pPr>
              <w:spacing w:after="40" w:before="40" w:line="252" w:lineRule="auto"/>
            </w:pPr>
            <w:r>
              <w:rPr>
                <w:b w:val="0"/>
                <w:sz w:val="18"/>
              </w:rPr>
              <w:t>¿Cómo se comporta el territorio frente a otros?</w:t>
            </w:r>
          </w:p>
        </w:tc>
        <w:tc>
          <w:tcPr>
            <w:tcW w:type="dxa" w:w="5040"/>
            <w:vAlign w:val="center"/>
            <w:shd w:fill="FFFFFF"/>
            <w:tcMar>
              <w:top w:w="85" w:type="dxa"/>
              <w:left w:w="85" w:type="dxa"/>
              <w:bottom w:w="85" w:type="dxa"/>
              <w:right w:w="85" w:type="dxa"/>
            </w:tcMar>
          </w:tcPr>
          <w:p>
            <w:pPr>
              <w:spacing w:after="40" w:before="40" w:line="252" w:lineRule="auto"/>
            </w:pPr>
            <w:r>
              <w:rPr>
                <w:b w:val="0"/>
                <w:sz w:val="18"/>
              </w:rPr>
              <w:t>Definir referentes comparables y revisar prácticas para investigar.</w:t>
            </w:r>
          </w:p>
        </w:tc>
      </w:tr>
      <w:tr>
        <w:trPr>
          <w:cantSplit/>
        </w:trPr>
        <w:tc>
          <w:tcPr>
            <w:tcW w:type="dxa" w:w="5040"/>
            <w:vAlign w:val="center"/>
            <w:shd w:fill="F7F9FC"/>
            <w:tcMar>
              <w:top w:w="85" w:type="dxa"/>
              <w:left w:w="85" w:type="dxa"/>
              <w:bottom w:w="85" w:type="dxa"/>
              <w:right w:w="85" w:type="dxa"/>
            </w:tcMar>
          </w:tcPr>
          <w:p>
            <w:pPr>
              <w:spacing w:after="40" w:before="40" w:line="252" w:lineRule="auto"/>
            </w:pPr>
            <w:r>
              <w:rPr>
                <w:b w:val="0"/>
                <w:sz w:val="18"/>
              </w:rPr>
              <w:t>¿Cómo se relacionan cobertura y resultados escolares?</w:t>
            </w:r>
          </w:p>
        </w:tc>
        <w:tc>
          <w:tcPr>
            <w:tcW w:type="dxa" w:w="5040"/>
            <w:vAlign w:val="center"/>
            <w:shd w:fill="F7F9FC"/>
            <w:tcMar>
              <w:top w:w="85" w:type="dxa"/>
              <w:left w:w="85" w:type="dxa"/>
              <w:bottom w:w="85" w:type="dxa"/>
              <w:right w:w="85" w:type="dxa"/>
            </w:tcMar>
          </w:tcPr>
          <w:p>
            <w:pPr>
              <w:spacing w:after="40" w:before="40" w:line="252" w:lineRule="auto"/>
            </w:pPr>
            <w:r>
              <w:rPr>
                <w:b w:val="0"/>
                <w:sz w:val="18"/>
              </w:rPr>
              <w:t>Solicitar información adicional sobre matrícula, contexto y programas.</w:t>
            </w:r>
          </w:p>
        </w:tc>
      </w:tr>
    </w:tbl>
    <w:p>
      <w:pPr>
        <w:spacing w:after="60" w:before="0" w:line="240" w:lineRule="auto"/>
      </w:pPr>
      <w:r>
        <w:rPr>
          <w:sz w:val="4"/>
        </w:rPr>
        <w:t xml:space="preserve"> </w:t>
      </w:r>
    </w:p>
    <w:p>
      <w:r>
        <w:t>Una tasa alta permite seleccionar casos para investigar, pero no basta para distribuir presupuesto: también se necesita matrícula oficial, costos, condiciones locales y evidencia de necesidades. El tablero no permite identificar estudiantes ni atribuir causas individuales.</w:t>
      </w:r>
    </w:p>
    <w:p>
      <w:pPr>
        <w:pStyle w:val="Heading1"/>
      </w:pPr>
      <w:r>
        <w:t>8 Herramienta tecnológica seleccionada</w:t>
      </w:r>
    </w:p>
    <w:p>
      <w:r>
        <w:t>Se seleccionó HTML, CSS y JavaScript con Chart.js, de acuerdo con la autorización docente de uso de HTML comunicada por el equipo. El archivo integra los datos preparados y la biblioteca gráfica, por lo que puede abrirse sin conexión. Los filtros actualizan indicadores, gráficos y frases dinámicas. El notebook de Jupyter reproduce la preparación; app.py integra el HTML y las descargas en Streamlit. El repositorio de GitHub reúne los archivos para su publicación.</w:t>
      </w:r>
    </w:p>
    <w:p>
      <w:pPr>
        <w:pStyle w:val="Heading1"/>
      </w:pPr>
      <w:r>
        <w:t>9 Matriz de trazabilidad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2592"/>
        <w:gridCol w:w="3744"/>
      </w:tblGrid>
      <w:tr>
        <w:trPr>
          <w:cantSplit/>
          <w:tblHeader/>
        </w:trPr>
        <w:tc>
          <w:tcPr>
            <w:tcW w:type="dxa" w:w="864"/>
            <w:vAlign w:val="center"/>
            <w:shd w:fill="E8EEF6"/>
            <w:tcMar>
              <w:top w:w="85" w:type="dxa"/>
              <w:left w:w="85" w:type="dxa"/>
              <w:bottom w:w="85" w:type="dxa"/>
              <w:right w:w="85" w:type="dxa"/>
            </w:tcMar>
          </w:tcPr>
          <w:p>
            <w:pPr>
              <w:spacing w:after="40" w:before="40" w:line="252" w:lineRule="auto"/>
            </w:pPr>
            <w:r>
              <w:rPr>
                <w:b/>
                <w:sz w:val="17"/>
              </w:rPr>
              <w:t>Objetivo</w:t>
            </w:r>
          </w:p>
        </w:tc>
        <w:tc>
          <w:tcPr>
            <w:tcW w:type="dxa" w:w="2880"/>
            <w:vAlign w:val="center"/>
            <w:shd w:fill="E8EEF6"/>
            <w:tcMar>
              <w:top w:w="85" w:type="dxa"/>
              <w:left w:w="85" w:type="dxa"/>
              <w:bottom w:w="85" w:type="dxa"/>
              <w:right w:w="85" w:type="dxa"/>
            </w:tcMar>
          </w:tcPr>
          <w:p>
            <w:pPr>
              <w:spacing w:after="40" w:before="40" w:line="252" w:lineRule="auto"/>
              <w:jc w:val="center"/>
            </w:pPr>
            <w:r>
              <w:rPr>
                <w:b/>
                <w:sz w:val="17"/>
              </w:rPr>
              <w:t>Pregunta</w:t>
            </w:r>
          </w:p>
        </w:tc>
        <w:tc>
          <w:tcPr>
            <w:tcW w:type="dxa" w:w="2592"/>
            <w:vAlign w:val="center"/>
            <w:shd w:fill="E8EEF6"/>
            <w:tcMar>
              <w:top w:w="85" w:type="dxa"/>
              <w:left w:w="85" w:type="dxa"/>
              <w:bottom w:w="85" w:type="dxa"/>
              <w:right w:w="85" w:type="dxa"/>
            </w:tcMar>
          </w:tcPr>
          <w:p>
            <w:pPr>
              <w:spacing w:after="40" w:before="40" w:line="252" w:lineRule="auto"/>
            </w:pPr>
            <w:r>
              <w:rPr>
                <w:b/>
                <w:sz w:val="17"/>
              </w:rPr>
              <w:t>Visualización</w:t>
            </w:r>
          </w:p>
        </w:tc>
        <w:tc>
          <w:tcPr>
            <w:tcW w:type="dxa" w:w="3744"/>
            <w:vAlign w:val="center"/>
            <w:shd w:fill="E8EEF6"/>
            <w:tcMar>
              <w:top w:w="85" w:type="dxa"/>
              <w:left w:w="85" w:type="dxa"/>
              <w:bottom w:w="85" w:type="dxa"/>
              <w:right w:w="85" w:type="dxa"/>
            </w:tcMar>
          </w:tcPr>
          <w:p>
            <w:pPr>
              <w:spacing w:after="40" w:before="40" w:line="252" w:lineRule="auto"/>
            </w:pPr>
            <w:r>
              <w:rPr>
                <w:b/>
                <w:sz w:val="17"/>
              </w:rPr>
              <w:t>Justificación</w:t>
            </w:r>
          </w:p>
        </w:tc>
      </w:tr>
      <w:tr>
        <w:trPr>
          <w:cantSplit/>
        </w:trPr>
        <w:tc>
          <w:tcPr>
            <w:tcW w:type="dxa" w:w="864"/>
            <w:vAlign w:val="center"/>
            <w:shd w:fill="FFFFFF"/>
            <w:tcMar>
              <w:top w:w="85" w:type="dxa"/>
              <w:left w:w="85" w:type="dxa"/>
              <w:bottom w:w="85" w:type="dxa"/>
              <w:right w:w="85" w:type="dxa"/>
            </w:tcMar>
          </w:tcPr>
          <w:p>
            <w:pPr>
              <w:spacing w:after="40" w:before="40" w:line="252" w:lineRule="auto"/>
            </w:pPr>
            <w:r>
              <w:rPr>
                <w:b w:val="0"/>
                <w:sz w:val="17"/>
              </w:rPr>
              <w:t>OE1</w:t>
            </w:r>
          </w:p>
        </w:tc>
        <w:tc>
          <w:tcPr>
            <w:tcW w:type="dxa" w:w="2880"/>
            <w:vAlign w:val="center"/>
            <w:shd w:fill="FFFFFF"/>
            <w:tcMar>
              <w:top w:w="85" w:type="dxa"/>
              <w:left w:w="85" w:type="dxa"/>
              <w:bottom w:w="85" w:type="dxa"/>
              <w:right w:w="85" w:type="dxa"/>
            </w:tcMar>
          </w:tcPr>
          <w:p>
            <w:pPr>
              <w:spacing w:after="40" w:before="40" w:line="252" w:lineRule="auto"/>
              <w:jc w:val="center"/>
            </w:pPr>
            <w:r>
              <w:rPr>
                <w:b w:val="0"/>
                <w:sz w:val="17"/>
              </w:rPr>
              <w:t>¿Cómo evoluciona la deserción?</w:t>
            </w:r>
          </w:p>
        </w:tc>
        <w:tc>
          <w:tcPr>
            <w:tcW w:type="dxa" w:w="2592"/>
            <w:vAlign w:val="center"/>
            <w:shd w:fill="FFFFFF"/>
            <w:tcMar>
              <w:top w:w="85" w:type="dxa"/>
              <w:left w:w="85" w:type="dxa"/>
              <w:bottom w:w="85" w:type="dxa"/>
              <w:right w:w="85" w:type="dxa"/>
            </w:tcMar>
          </w:tcPr>
          <w:p>
            <w:pPr>
              <w:spacing w:after="40" w:before="40" w:line="252" w:lineRule="auto"/>
            </w:pPr>
            <w:r>
              <w:rPr>
                <w:b w:val="0"/>
                <w:sz w:val="17"/>
              </w:rPr>
              <w:t>Línea por año y KPI</w:t>
            </w:r>
          </w:p>
        </w:tc>
        <w:tc>
          <w:tcPr>
            <w:tcW w:type="dxa" w:w="3744"/>
            <w:vAlign w:val="center"/>
            <w:shd w:fill="FFFFFF"/>
            <w:tcMar>
              <w:top w:w="85" w:type="dxa"/>
              <w:left w:w="85" w:type="dxa"/>
              <w:bottom w:w="85" w:type="dxa"/>
              <w:right w:w="85" w:type="dxa"/>
            </w:tcMar>
          </w:tcPr>
          <w:p>
            <w:pPr>
              <w:spacing w:after="40" w:before="40" w:line="252" w:lineRule="auto"/>
            </w:pPr>
            <w:r>
              <w:rPr>
                <w:b w:val="0"/>
                <w:sz w:val="17"/>
              </w:rPr>
              <w:t>Comunica tendencia y valor del año de corte.</w:t>
            </w:r>
          </w:p>
        </w:tc>
      </w:tr>
      <w:tr>
        <w:trPr>
          <w:cantSplit/>
        </w:trPr>
        <w:tc>
          <w:tcPr>
            <w:tcW w:type="dxa" w:w="864"/>
            <w:vAlign w:val="center"/>
            <w:shd w:fill="F7F9FC"/>
            <w:tcMar>
              <w:top w:w="85" w:type="dxa"/>
              <w:left w:w="85" w:type="dxa"/>
              <w:bottom w:w="85" w:type="dxa"/>
              <w:right w:w="85" w:type="dxa"/>
            </w:tcMar>
          </w:tcPr>
          <w:p>
            <w:pPr>
              <w:spacing w:after="40" w:before="40" w:line="252" w:lineRule="auto"/>
            </w:pPr>
            <w:r>
              <w:rPr>
                <w:b w:val="0"/>
                <w:sz w:val="17"/>
              </w:rPr>
              <w:t>OE2</w:t>
            </w:r>
          </w:p>
        </w:tc>
        <w:tc>
          <w:tcPr>
            <w:tcW w:type="dxa" w:w="2880"/>
            <w:vAlign w:val="center"/>
            <w:shd w:fill="F7F9FC"/>
            <w:tcMar>
              <w:top w:w="85" w:type="dxa"/>
              <w:left w:w="85" w:type="dxa"/>
              <w:bottom w:w="85" w:type="dxa"/>
              <w:right w:w="85" w:type="dxa"/>
            </w:tcMar>
          </w:tcPr>
          <w:p>
            <w:pPr>
              <w:spacing w:after="40" w:before="40" w:line="252" w:lineRule="auto"/>
              <w:jc w:val="center"/>
            </w:pPr>
            <w:r>
              <w:rPr>
                <w:b w:val="0"/>
                <w:sz w:val="17"/>
              </w:rPr>
              <w:t>¿Qué territorios tienen tasas altas y bajas?</w:t>
            </w:r>
          </w:p>
        </w:tc>
        <w:tc>
          <w:tcPr>
            <w:tcW w:type="dxa" w:w="2592"/>
            <w:vAlign w:val="center"/>
            <w:shd w:fill="F7F9FC"/>
            <w:tcMar>
              <w:top w:w="85" w:type="dxa"/>
              <w:left w:w="85" w:type="dxa"/>
              <w:bottom w:w="85" w:type="dxa"/>
              <w:right w:w="85" w:type="dxa"/>
            </w:tcMar>
          </w:tcPr>
          <w:p>
            <w:pPr>
              <w:spacing w:after="40" w:before="40" w:line="252" w:lineRule="auto"/>
            </w:pPr>
            <w:r>
              <w:rPr>
                <w:b w:val="0"/>
                <w:sz w:val="17"/>
              </w:rPr>
              <w:t>Barras ordenadas y matriz</w:t>
            </w:r>
          </w:p>
        </w:tc>
        <w:tc>
          <w:tcPr>
            <w:tcW w:type="dxa" w:w="3744"/>
            <w:vAlign w:val="center"/>
            <w:shd w:fill="F7F9FC"/>
            <w:tcMar>
              <w:top w:w="85" w:type="dxa"/>
              <w:left w:w="85" w:type="dxa"/>
              <w:bottom w:w="85" w:type="dxa"/>
              <w:right w:w="85" w:type="dxa"/>
            </w:tcMar>
          </w:tcPr>
          <w:p>
            <w:pPr>
              <w:spacing w:after="40" w:before="40" w:line="252" w:lineRule="auto"/>
            </w:pPr>
            <w:r>
              <w:rPr>
                <w:b w:val="0"/>
                <w:sz w:val="17"/>
              </w:rPr>
              <w:t>Compara magnitudes y ubica persistencia temporal.</w:t>
            </w:r>
          </w:p>
        </w:tc>
      </w:tr>
      <w:tr>
        <w:trPr>
          <w:cantSplit/>
        </w:trPr>
        <w:tc>
          <w:tcPr>
            <w:tcW w:type="dxa" w:w="864"/>
            <w:vAlign w:val="center"/>
            <w:shd w:fill="FFFFFF"/>
            <w:tcMar>
              <w:top w:w="85" w:type="dxa"/>
              <w:left w:w="85" w:type="dxa"/>
              <w:bottom w:w="85" w:type="dxa"/>
              <w:right w:w="85" w:type="dxa"/>
            </w:tcMar>
          </w:tcPr>
          <w:p>
            <w:pPr>
              <w:spacing w:after="40" w:before="40" w:line="252" w:lineRule="auto"/>
            </w:pPr>
            <w:r>
              <w:rPr>
                <w:b w:val="0"/>
                <w:sz w:val="17"/>
              </w:rPr>
              <w:t>OE3</w:t>
            </w:r>
          </w:p>
        </w:tc>
        <w:tc>
          <w:tcPr>
            <w:tcW w:type="dxa" w:w="2880"/>
            <w:vAlign w:val="center"/>
            <w:shd w:fill="FFFFFF"/>
            <w:tcMar>
              <w:top w:w="85" w:type="dxa"/>
              <w:left w:w="85" w:type="dxa"/>
              <w:bottom w:w="85" w:type="dxa"/>
              <w:right w:w="85" w:type="dxa"/>
            </w:tcMar>
          </w:tcPr>
          <w:p>
            <w:pPr>
              <w:spacing w:after="40" w:before="40" w:line="252" w:lineRule="auto"/>
              <w:jc w:val="center"/>
            </w:pPr>
            <w:r>
              <w:rPr>
                <w:b w:val="0"/>
                <w:sz w:val="17"/>
              </w:rPr>
              <w:t>¿Qué asociación hay con cobertura y rendimiento?</w:t>
            </w:r>
          </w:p>
        </w:tc>
        <w:tc>
          <w:tcPr>
            <w:tcW w:type="dxa" w:w="2592"/>
            <w:vAlign w:val="center"/>
            <w:shd w:fill="FFFFFF"/>
            <w:tcMar>
              <w:top w:w="85" w:type="dxa"/>
              <w:left w:w="85" w:type="dxa"/>
              <w:bottom w:w="85" w:type="dxa"/>
              <w:right w:w="85" w:type="dxa"/>
            </w:tcMar>
          </w:tcPr>
          <w:p>
            <w:pPr>
              <w:spacing w:after="40" w:before="40" w:line="252" w:lineRule="auto"/>
            </w:pPr>
            <w:r>
              <w:rPr>
                <w:b w:val="0"/>
                <w:sz w:val="17"/>
              </w:rPr>
              <w:t>Dispersión y tooltip</w:t>
            </w:r>
          </w:p>
        </w:tc>
        <w:tc>
          <w:tcPr>
            <w:tcW w:type="dxa" w:w="3744"/>
            <w:vAlign w:val="center"/>
            <w:shd w:fill="FFFFFF"/>
            <w:tcMar>
              <w:top w:w="85" w:type="dxa"/>
              <w:left w:w="85" w:type="dxa"/>
              <w:bottom w:w="85" w:type="dxa"/>
              <w:right w:w="85" w:type="dxa"/>
            </w:tcMar>
          </w:tcPr>
          <w:p>
            <w:pPr>
              <w:spacing w:after="40" w:before="40" w:line="252" w:lineRule="auto"/>
            </w:pPr>
            <w:r>
              <w:rPr>
                <w:b w:val="0"/>
                <w:sz w:val="17"/>
              </w:rPr>
              <w:t>Expone pares de indicadores sin afirmar causalidad.</w:t>
            </w:r>
          </w:p>
        </w:tc>
      </w:tr>
      <w:tr>
        <w:trPr>
          <w:cantSplit/>
        </w:trPr>
        <w:tc>
          <w:tcPr>
            <w:tcW w:type="dxa" w:w="864"/>
            <w:vAlign w:val="center"/>
            <w:shd w:fill="F7F9FC"/>
            <w:tcMar>
              <w:top w:w="85" w:type="dxa"/>
              <w:left w:w="85" w:type="dxa"/>
              <w:bottom w:w="85" w:type="dxa"/>
              <w:right w:w="85" w:type="dxa"/>
            </w:tcMar>
          </w:tcPr>
          <w:p>
            <w:pPr>
              <w:spacing w:after="40" w:before="40" w:line="252" w:lineRule="auto"/>
            </w:pPr>
            <w:r>
              <w:rPr>
                <w:b w:val="0"/>
                <w:sz w:val="17"/>
              </w:rPr>
              <w:t>OE4</w:t>
            </w:r>
          </w:p>
        </w:tc>
        <w:tc>
          <w:tcPr>
            <w:tcW w:type="dxa" w:w="2880"/>
            <w:vAlign w:val="center"/>
            <w:shd w:fill="F7F9FC"/>
            <w:tcMar>
              <w:top w:w="85" w:type="dxa"/>
              <w:left w:w="85" w:type="dxa"/>
              <w:bottom w:w="85" w:type="dxa"/>
              <w:right w:w="85" w:type="dxa"/>
            </w:tcMar>
          </w:tcPr>
          <w:p>
            <w:pPr>
              <w:spacing w:after="40" w:before="40" w:line="252" w:lineRule="auto"/>
              <w:jc w:val="center"/>
            </w:pPr>
            <w:r>
              <w:rPr>
                <w:b w:val="0"/>
                <w:sz w:val="17"/>
              </w:rPr>
              <w:t>¿Dónde aumenta o disminuye más?</w:t>
            </w:r>
          </w:p>
        </w:tc>
        <w:tc>
          <w:tcPr>
            <w:tcW w:type="dxa" w:w="2592"/>
            <w:vAlign w:val="center"/>
            <w:shd w:fill="F7F9FC"/>
            <w:tcMar>
              <w:top w:w="85" w:type="dxa"/>
              <w:left w:w="85" w:type="dxa"/>
              <w:bottom w:w="85" w:type="dxa"/>
              <w:right w:w="85" w:type="dxa"/>
            </w:tcMar>
          </w:tcPr>
          <w:p>
            <w:pPr>
              <w:spacing w:after="40" w:before="40" w:line="252" w:lineRule="auto"/>
            </w:pPr>
            <w:r>
              <w:rPr>
                <w:b w:val="0"/>
                <w:sz w:val="17"/>
              </w:rPr>
              <w:t>Barras de variación en pp</w:t>
            </w:r>
          </w:p>
        </w:tc>
        <w:tc>
          <w:tcPr>
            <w:tcW w:type="dxa" w:w="3744"/>
            <w:vAlign w:val="center"/>
            <w:shd w:fill="F7F9FC"/>
            <w:tcMar>
              <w:top w:w="85" w:type="dxa"/>
              <w:left w:w="85" w:type="dxa"/>
              <w:bottom w:w="85" w:type="dxa"/>
              <w:right w:w="85" w:type="dxa"/>
            </w:tcMar>
          </w:tcPr>
          <w:p>
            <w:pPr>
              <w:spacing w:after="40" w:before="40" w:line="252" w:lineRule="auto"/>
            </w:pPr>
            <w:r>
              <w:rPr>
                <w:b w:val="0"/>
                <w:sz w:val="17"/>
              </w:rPr>
              <w:t>Distingue dirección y tamaño de los cambios.</w:t>
            </w:r>
          </w:p>
        </w:tc>
      </w:tr>
      <w:tr>
        <w:trPr>
          <w:cantSplit/>
        </w:trPr>
        <w:tc>
          <w:tcPr>
            <w:tcW w:type="dxa" w:w="864"/>
            <w:vAlign w:val="center"/>
            <w:shd w:fill="FFFFFF"/>
            <w:tcMar>
              <w:top w:w="85" w:type="dxa"/>
              <w:left w:w="85" w:type="dxa"/>
              <w:bottom w:w="85" w:type="dxa"/>
              <w:right w:w="85" w:type="dxa"/>
            </w:tcMar>
          </w:tcPr>
          <w:p>
            <w:pPr>
              <w:spacing w:after="40" w:before="40" w:line="252" w:lineRule="auto"/>
            </w:pPr>
            <w:r>
              <w:rPr>
                <w:b w:val="0"/>
                <w:sz w:val="17"/>
              </w:rPr>
              <w:t>OE5</w:t>
            </w:r>
          </w:p>
        </w:tc>
        <w:tc>
          <w:tcPr>
            <w:tcW w:type="dxa" w:w="2880"/>
            <w:vAlign w:val="center"/>
            <w:shd w:fill="FFFFFF"/>
            <w:tcMar>
              <w:top w:w="85" w:type="dxa"/>
              <w:left w:w="85" w:type="dxa"/>
              <w:bottom w:w="85" w:type="dxa"/>
              <w:right w:w="85" w:type="dxa"/>
            </w:tcMar>
          </w:tcPr>
          <w:p>
            <w:pPr>
              <w:spacing w:after="40" w:before="40" w:line="252" w:lineRule="auto"/>
              <w:jc w:val="center"/>
            </w:pPr>
            <w:r>
              <w:rPr>
                <w:b w:val="0"/>
                <w:sz w:val="17"/>
              </w:rPr>
              <w:t>¿Qué nivel requiere mayor seguimiento?</w:t>
            </w:r>
          </w:p>
        </w:tc>
        <w:tc>
          <w:tcPr>
            <w:tcW w:type="dxa" w:w="2592"/>
            <w:vAlign w:val="center"/>
            <w:shd w:fill="FFFFFF"/>
            <w:tcMar>
              <w:top w:w="85" w:type="dxa"/>
              <w:left w:w="85" w:type="dxa"/>
              <w:bottom w:w="85" w:type="dxa"/>
              <w:right w:w="85" w:type="dxa"/>
            </w:tcMar>
          </w:tcPr>
          <w:p>
            <w:pPr>
              <w:spacing w:after="40" w:before="40" w:line="252" w:lineRule="auto"/>
            </w:pPr>
            <w:r>
              <w:rPr>
                <w:b w:val="0"/>
                <w:sz w:val="17"/>
              </w:rPr>
              <w:t>Columnas por nivel</w:t>
            </w:r>
          </w:p>
        </w:tc>
        <w:tc>
          <w:tcPr>
            <w:tcW w:type="dxa" w:w="3744"/>
            <w:vAlign w:val="center"/>
            <w:shd w:fill="FFFFFF"/>
            <w:tcMar>
              <w:top w:w="85" w:type="dxa"/>
              <w:left w:w="85" w:type="dxa"/>
              <w:bottom w:w="85" w:type="dxa"/>
              <w:right w:w="85" w:type="dxa"/>
            </w:tcMar>
          </w:tcPr>
          <w:p>
            <w:pPr>
              <w:spacing w:after="40" w:before="40" w:line="252" w:lineRule="auto"/>
            </w:pPr>
            <w:r>
              <w:rPr>
                <w:b w:val="0"/>
                <w:sz w:val="17"/>
              </w:rPr>
              <w:t>Compara tasas de transición, primaria, secundaria y media.</w:t>
            </w:r>
          </w:p>
        </w:tc>
      </w:tr>
    </w:tbl>
    <w:p>
      <w:pPr>
        <w:spacing w:after="60" w:before="0" w:line="240" w:lineRule="auto"/>
      </w:pPr>
      <w:r>
        <w:rPr>
          <w:sz w:val="4"/>
        </w:rPr>
        <w:t xml:space="preserve"> </w:t>
      </w:r>
    </w:p>
    <w:p>
      <w:r>
        <w:br w:type="page"/>
      </w:r>
    </w:p>
    <w:p>
      <w:pPr>
        <w:pStyle w:val="Heading1"/>
      </w:pPr>
      <w:r>
        <w:t>10 Filtros de la solución</w:t>
      </w:r>
    </w:p>
    <w:p>
      <w:r>
        <w:t>El tablero implementa tres filtros globales funcionales: año, departamento o Bogotá D.C. y rango de deserción. Año fija la vigencia del análisis; los otros filtros seleccionan los territorios del corte. El rango es una característica de la fila territorio año, por lo que un territorio puede cambiar de categoría entre vigencias. Las frases se redactan con el nombre territorial cuando se selecciona un solo territorio y con el conjunto seleccionado cuando se analizan varios.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E8EEF6"/>
            <w:tcMar>
              <w:top w:w="85" w:type="dxa"/>
              <w:left w:w="85" w:type="dxa"/>
              <w:bottom w:w="85" w:type="dxa"/>
              <w:right w:w="85" w:type="dxa"/>
            </w:tcMar>
          </w:tcPr>
          <w:p>
            <w:pPr>
              <w:spacing w:after="40" w:before="40" w:line="252" w:lineRule="auto"/>
            </w:pPr>
            <w:r>
              <w:rPr>
                <w:b/>
                <w:sz w:val="18"/>
              </w:rPr>
              <w:t>Filtro</w:t>
            </w:r>
          </w:p>
        </w:tc>
        <w:tc>
          <w:tcPr>
            <w:tcW w:type="dxa" w:w="7848"/>
            <w:vAlign w:val="center"/>
            <w:shd w:fill="E8EEF6"/>
            <w:tcMar>
              <w:top w:w="85" w:type="dxa"/>
              <w:left w:w="85" w:type="dxa"/>
              <w:bottom w:w="85" w:type="dxa"/>
              <w:right w:w="85" w:type="dxa"/>
            </w:tcMar>
          </w:tcPr>
          <w:p>
            <w:pPr>
              <w:spacing w:after="40" w:before="40" w:line="252" w:lineRule="auto"/>
            </w:pPr>
            <w:r>
              <w:rPr>
                <w:b/>
                <w:sz w:val="18"/>
              </w:rPr>
              <w:t>Configuración y efecto esperado</w:t>
            </w:r>
          </w:p>
        </w:tc>
      </w:tr>
      <w:tr>
        <w:trPr>
          <w:cantSplit/>
        </w:trPr>
        <w:tc>
          <w:tcPr>
            <w:tcW w:type="dxa" w:w="2232"/>
            <w:vAlign w:val="center"/>
            <w:shd w:fill="FFFFFF"/>
            <w:tcMar>
              <w:top w:w="85" w:type="dxa"/>
              <w:left w:w="85" w:type="dxa"/>
              <w:bottom w:w="85" w:type="dxa"/>
              <w:right w:w="85" w:type="dxa"/>
            </w:tcMar>
          </w:tcPr>
          <w:p>
            <w:pPr>
              <w:spacing w:after="40" w:before="40" w:line="252" w:lineRule="auto"/>
            </w:pPr>
            <w:r>
              <w:rPr>
                <w:b w:val="0"/>
                <w:sz w:val="18"/>
              </w:rPr>
              <w:t>Año</w:t>
            </w:r>
          </w:p>
        </w:tc>
        <w:tc>
          <w:tcPr>
            <w:tcW w:type="dxa" w:w="7848"/>
            <w:vAlign w:val="center"/>
            <w:shd w:fill="FFFFFF"/>
            <w:tcMar>
              <w:top w:w="85" w:type="dxa"/>
              <w:left w:w="85" w:type="dxa"/>
              <w:bottom w:w="85" w:type="dxa"/>
              <w:right w:w="85" w:type="dxa"/>
            </w:tcMar>
          </w:tcPr>
          <w:p>
            <w:pPr>
              <w:spacing w:after="40" w:before="40" w:line="252" w:lineRule="auto"/>
            </w:pPr>
            <w:r>
              <w:rPr>
                <w:b w:val="0"/>
                <w:sz w:val="18"/>
              </w:rPr>
              <w:t>Selección de una vigencia entre 2011 y 2024, compartida por las dos páginas. Valor inicial 2024.</w:t>
            </w:r>
          </w:p>
        </w:tc>
      </w:tr>
      <w:tr>
        <w:trPr>
          <w:cantSplit/>
        </w:trPr>
        <w:tc>
          <w:tcPr>
            <w:tcW w:type="dxa" w:w="2232"/>
            <w:vAlign w:val="center"/>
            <w:shd w:fill="F7F9FC"/>
            <w:tcMar>
              <w:top w:w="85" w:type="dxa"/>
              <w:left w:w="85" w:type="dxa"/>
              <w:bottom w:w="85" w:type="dxa"/>
              <w:right w:w="85" w:type="dxa"/>
            </w:tcMar>
          </w:tcPr>
          <w:p>
            <w:pPr>
              <w:spacing w:after="40" w:before="40" w:line="252" w:lineRule="auto"/>
            </w:pPr>
            <w:r>
              <w:rPr>
                <w:b w:val="0"/>
                <w:sz w:val="18"/>
              </w:rPr>
              <w:t>Departamento</w:t>
            </w:r>
          </w:p>
        </w:tc>
        <w:tc>
          <w:tcPr>
            <w:tcW w:type="dxa" w:w="7848"/>
            <w:vAlign w:val="center"/>
            <w:shd w:fill="F7F9FC"/>
            <w:tcMar>
              <w:top w:w="85" w:type="dxa"/>
              <w:left w:w="85" w:type="dxa"/>
              <w:bottom w:w="85" w:type="dxa"/>
              <w:right w:w="85" w:type="dxa"/>
            </w:tcMar>
          </w:tcPr>
          <w:p>
            <w:pPr>
              <w:spacing w:after="40" w:before="40" w:line="252" w:lineRule="auto"/>
            </w:pPr>
            <w:r>
              <w:rPr>
                <w:b w:val="0"/>
                <w:sz w:val="18"/>
              </w:rPr>
              <w:t>Lista con todos los territorios o selección de uno. Bogotá D.C. cuenta como territorio; el código DANE es la clave.</w:t>
            </w:r>
          </w:p>
        </w:tc>
      </w:tr>
      <w:tr>
        <w:trPr>
          <w:cantSplit/>
        </w:trPr>
        <w:tc>
          <w:tcPr>
            <w:tcW w:type="dxa" w:w="2232"/>
            <w:vAlign w:val="center"/>
            <w:shd w:fill="FFFFFF"/>
            <w:tcMar>
              <w:top w:w="85" w:type="dxa"/>
              <w:left w:w="85" w:type="dxa"/>
              <w:bottom w:w="85" w:type="dxa"/>
              <w:right w:w="85" w:type="dxa"/>
            </w:tcMar>
          </w:tcPr>
          <w:p>
            <w:pPr>
              <w:spacing w:after="40" w:before="40" w:line="252" w:lineRule="auto"/>
            </w:pPr>
            <w:r>
              <w:rPr>
                <w:b w:val="0"/>
                <w:sz w:val="18"/>
              </w:rPr>
              <w:t>Rango de deserción</w:t>
            </w:r>
          </w:p>
        </w:tc>
        <w:tc>
          <w:tcPr>
            <w:tcW w:type="dxa" w:w="7848"/>
            <w:vAlign w:val="center"/>
            <w:shd w:fill="FFFFFF"/>
            <w:tcMar>
              <w:top w:w="85" w:type="dxa"/>
              <w:left w:w="85" w:type="dxa"/>
              <w:bottom w:w="85" w:type="dxa"/>
              <w:right w:w="85" w:type="dxa"/>
            </w:tcMar>
          </w:tcPr>
          <w:p>
            <w:pPr>
              <w:spacing w:after="40" w:before="40" w:line="252" w:lineRule="auto"/>
            </w:pPr>
            <w:r>
              <w:rPr>
                <w:b w:val="0"/>
                <w:sz w:val="18"/>
              </w:rPr>
              <w:t>Baja, Media, Alta y Sin dato. Seleccionar Alta y 2024 debe dejar Caquetá, Putumayo y Vichada.</w:t>
            </w:r>
          </w:p>
        </w:tc>
      </w:tr>
    </w:tbl>
    <w:p>
      <w:pPr>
        <w:spacing w:after="60" w:before="0" w:line="240" w:lineRule="auto"/>
      </w:pPr>
      <w:r>
        <w:rPr>
          <w:sz w:val="4"/>
        </w:rPr>
        <w:t xml:space="preserve"> </w:t>
      </w:r>
    </w:p>
    <w:p>
      <w:r>
        <w:t>Las tarjetas se calculan para el año seleccionado. La línea y la matriz muestran la historia 2011 a 2024 del mismo conjunto territorial incluido en ese corte; sus títulos explican ese alcance. La comparación interanual consulta los mismos territorios en la vigencia anterior aunque hayan cambiado de rango. Si no hay registros o falta el año anterior, el tablero informa la ausencia de datos y no presenta ceros ni resultados ajenos a la selección.</w:t>
      </w:r>
    </w:p>
    <w:p>
      <w:pPr>
        <w:pStyle w:val="Heading1"/>
      </w:pPr>
      <w:r>
        <w:t>11 Categorías de gráficos y composición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E8EEF6"/>
            <w:tcMar>
              <w:top w:w="85" w:type="dxa"/>
              <w:left w:w="85" w:type="dxa"/>
              <w:bottom w:w="85" w:type="dxa"/>
              <w:right w:w="85" w:type="dxa"/>
            </w:tcMar>
          </w:tcPr>
          <w:p>
            <w:pPr>
              <w:spacing w:after="40" w:before="40" w:line="252" w:lineRule="auto"/>
            </w:pPr>
            <w:r>
              <w:rPr>
                <w:b/>
                <w:sz w:val="18"/>
              </w:rPr>
              <w:t>Categoría</w:t>
            </w:r>
          </w:p>
        </w:tc>
        <w:tc>
          <w:tcPr>
            <w:tcW w:type="dxa" w:w="7848"/>
            <w:vAlign w:val="center"/>
            <w:shd w:fill="E8EEF6"/>
            <w:tcMar>
              <w:top w:w="85" w:type="dxa"/>
              <w:left w:w="85" w:type="dxa"/>
              <w:bottom w:w="85" w:type="dxa"/>
              <w:right w:w="85" w:type="dxa"/>
            </w:tcMar>
          </w:tcPr>
          <w:p>
            <w:pPr>
              <w:spacing w:after="40" w:before="40" w:line="252" w:lineRule="auto"/>
            </w:pPr>
            <w:r>
              <w:rPr>
                <w:b/>
                <w:sz w:val="18"/>
              </w:rPr>
              <w:t>Contenido y lectura</w:t>
            </w:r>
          </w:p>
        </w:tc>
      </w:tr>
      <w:tr>
        <w:trPr>
          <w:cantSplit/>
        </w:trPr>
        <w:tc>
          <w:tcPr>
            <w:tcW w:type="dxa" w:w="2232"/>
            <w:vAlign w:val="center"/>
            <w:shd w:fill="FFFFFF"/>
            <w:tcMar>
              <w:top w:w="85" w:type="dxa"/>
              <w:left w:w="85" w:type="dxa"/>
              <w:bottom w:w="85" w:type="dxa"/>
              <w:right w:w="85" w:type="dxa"/>
            </w:tcMar>
          </w:tcPr>
          <w:p>
            <w:pPr>
              <w:spacing w:after="40" w:before="40" w:line="252" w:lineRule="auto"/>
            </w:pPr>
            <w:r>
              <w:rPr>
                <w:b w:val="0"/>
                <w:sz w:val="18"/>
              </w:rPr>
              <w:t>Tarjetas KPI</w:t>
            </w:r>
          </w:p>
        </w:tc>
        <w:tc>
          <w:tcPr>
            <w:tcW w:type="dxa" w:w="7848"/>
            <w:vAlign w:val="center"/>
            <w:shd w:fill="FFFFFF"/>
            <w:tcMar>
              <w:top w:w="85" w:type="dxa"/>
              <w:left w:w="85" w:type="dxa"/>
              <w:bottom w:w="85" w:type="dxa"/>
              <w:right w:w="85" w:type="dxa"/>
            </w:tcMar>
          </w:tcPr>
          <w:p>
            <w:pPr>
              <w:spacing w:after="40" w:before="40" w:line="252" w:lineRule="auto"/>
            </w:pPr>
            <w:r>
              <w:rPr>
                <w:b w:val="0"/>
                <w:sz w:val="18"/>
              </w:rPr>
              <w:t>Deserción, variación interanual, territorios, rango Alto, aprobación y cobertura neta del corte.</w:t>
            </w:r>
          </w:p>
        </w:tc>
      </w:tr>
      <w:tr>
        <w:trPr>
          <w:cantSplit/>
        </w:trPr>
        <w:tc>
          <w:tcPr>
            <w:tcW w:type="dxa" w:w="2232"/>
            <w:vAlign w:val="center"/>
            <w:shd w:fill="F7F9FC"/>
            <w:tcMar>
              <w:top w:w="85" w:type="dxa"/>
              <w:left w:w="85" w:type="dxa"/>
              <w:bottom w:w="85" w:type="dxa"/>
              <w:right w:w="85" w:type="dxa"/>
            </w:tcMar>
          </w:tcPr>
          <w:p>
            <w:pPr>
              <w:spacing w:after="40" w:before="40" w:line="252" w:lineRule="auto"/>
            </w:pPr>
            <w:r>
              <w:rPr>
                <w:b w:val="0"/>
                <w:sz w:val="18"/>
              </w:rPr>
              <w:t>Líneas</w:t>
            </w:r>
          </w:p>
        </w:tc>
        <w:tc>
          <w:tcPr>
            <w:tcW w:type="dxa" w:w="7848"/>
            <w:vAlign w:val="center"/>
            <w:shd w:fill="F7F9FC"/>
            <w:tcMar>
              <w:top w:w="85" w:type="dxa"/>
              <w:left w:w="85" w:type="dxa"/>
              <w:bottom w:w="85" w:type="dxa"/>
              <w:right w:w="85" w:type="dxa"/>
            </w:tcMar>
          </w:tcPr>
          <w:p>
            <w:pPr>
              <w:spacing w:after="40" w:before="40" w:line="252" w:lineRule="auto"/>
            </w:pPr>
            <w:r>
              <w:rPr>
                <w:b w:val="0"/>
                <w:sz w:val="18"/>
              </w:rPr>
              <w:t>Historia del mismo conjunto territorial del corte; año en el eje horizontal y deserción porcentual en el vertical.</w:t>
            </w:r>
          </w:p>
        </w:tc>
      </w:tr>
      <w:tr>
        <w:trPr>
          <w:cantSplit/>
        </w:trPr>
        <w:tc>
          <w:tcPr>
            <w:tcW w:type="dxa" w:w="2232"/>
            <w:vAlign w:val="center"/>
            <w:shd w:fill="FFFFFF"/>
            <w:tcMar>
              <w:top w:w="85" w:type="dxa"/>
              <w:left w:w="85" w:type="dxa"/>
              <w:bottom w:w="85" w:type="dxa"/>
              <w:right w:w="85" w:type="dxa"/>
            </w:tcMar>
          </w:tcPr>
          <w:p>
            <w:pPr>
              <w:spacing w:after="40" w:before="40" w:line="252" w:lineRule="auto"/>
            </w:pPr>
            <w:r>
              <w:rPr>
                <w:b w:val="0"/>
                <w:sz w:val="18"/>
              </w:rPr>
              <w:t>Barras</w:t>
            </w:r>
          </w:p>
        </w:tc>
        <w:tc>
          <w:tcPr>
            <w:tcW w:type="dxa" w:w="7848"/>
            <w:vAlign w:val="center"/>
            <w:shd w:fill="FFFFFF"/>
            <w:tcMar>
              <w:top w:w="85" w:type="dxa"/>
              <w:left w:w="85" w:type="dxa"/>
              <w:bottom w:w="85" w:type="dxa"/>
              <w:right w:w="85" w:type="dxa"/>
            </w:tcMar>
          </w:tcPr>
          <w:p>
            <w:pPr>
              <w:spacing w:after="40" w:before="40" w:line="252" w:lineRule="auto"/>
            </w:pPr>
            <w:r>
              <w:rPr>
                <w:b w:val="0"/>
                <w:sz w:val="18"/>
              </w:rPr>
              <w:t>Orden territorial y cambios interanuales positivos o negativos en pp.</w:t>
            </w:r>
          </w:p>
        </w:tc>
      </w:tr>
      <w:tr>
        <w:trPr>
          <w:cantSplit/>
        </w:trPr>
        <w:tc>
          <w:tcPr>
            <w:tcW w:type="dxa" w:w="2232"/>
            <w:vAlign w:val="center"/>
            <w:shd w:fill="F7F9FC"/>
            <w:tcMar>
              <w:top w:w="85" w:type="dxa"/>
              <w:left w:w="85" w:type="dxa"/>
              <w:bottom w:w="85" w:type="dxa"/>
              <w:right w:w="85" w:type="dxa"/>
            </w:tcMar>
          </w:tcPr>
          <w:p>
            <w:pPr>
              <w:spacing w:after="40" w:before="40" w:line="252" w:lineRule="auto"/>
            </w:pPr>
            <w:r>
              <w:rPr>
                <w:b w:val="0"/>
                <w:sz w:val="18"/>
              </w:rPr>
              <w:t>Dispersión</w:t>
            </w:r>
          </w:p>
        </w:tc>
        <w:tc>
          <w:tcPr>
            <w:tcW w:type="dxa" w:w="7848"/>
            <w:vAlign w:val="center"/>
            <w:shd w:fill="F7F9FC"/>
            <w:tcMar>
              <w:top w:w="85" w:type="dxa"/>
              <w:left w:w="85" w:type="dxa"/>
              <w:bottom w:w="85" w:type="dxa"/>
              <w:right w:w="85" w:type="dxa"/>
            </w:tcMar>
          </w:tcPr>
          <w:p>
            <w:pPr>
              <w:spacing w:after="40" w:before="40" w:line="252" w:lineRule="auto"/>
            </w:pPr>
            <w:r>
              <w:rPr>
                <w:b w:val="0"/>
                <w:sz w:val="18"/>
              </w:rPr>
              <w:t>Un punto por territorio del corte. Selector de cobertura neta o bruta, aprobación o reprobación para el eje horizontal.</w:t>
            </w:r>
          </w:p>
        </w:tc>
      </w:tr>
      <w:tr>
        <w:trPr>
          <w:cantSplit/>
        </w:trPr>
        <w:tc>
          <w:tcPr>
            <w:tcW w:type="dxa" w:w="2232"/>
            <w:vAlign w:val="center"/>
            <w:shd w:fill="FFFFFF"/>
            <w:tcMar>
              <w:top w:w="85" w:type="dxa"/>
              <w:left w:w="85" w:type="dxa"/>
              <w:bottom w:w="85" w:type="dxa"/>
              <w:right w:w="85" w:type="dxa"/>
            </w:tcMar>
          </w:tcPr>
          <w:p>
            <w:pPr>
              <w:spacing w:after="40" w:before="40" w:line="252" w:lineRule="auto"/>
            </w:pPr>
            <w:r>
              <w:rPr>
                <w:b w:val="0"/>
                <w:sz w:val="18"/>
              </w:rPr>
              <w:t>Matriz</w:t>
            </w:r>
          </w:p>
        </w:tc>
        <w:tc>
          <w:tcPr>
            <w:tcW w:type="dxa" w:w="7848"/>
            <w:vAlign w:val="center"/>
            <w:shd w:fill="FFFFFF"/>
            <w:tcMar>
              <w:top w:w="85" w:type="dxa"/>
              <w:left w:w="85" w:type="dxa"/>
              <w:bottom w:w="85" w:type="dxa"/>
              <w:right w:w="85" w:type="dxa"/>
            </w:tcMar>
          </w:tcPr>
          <w:p>
            <w:pPr>
              <w:spacing w:after="40" w:before="40" w:line="252" w:lineRule="auto"/>
            </w:pPr>
            <w:r>
              <w:rPr>
                <w:b w:val="0"/>
                <w:sz w:val="18"/>
              </w:rPr>
              <w:t>Territorio por vigencia histórica; tasas porcentuales con color secuencial y año del corte destacado.</w:t>
            </w:r>
          </w:p>
        </w:tc>
      </w:tr>
      <w:tr>
        <w:trPr>
          <w:cantSplit/>
        </w:trPr>
        <w:tc>
          <w:tcPr>
            <w:tcW w:type="dxa" w:w="2232"/>
            <w:vAlign w:val="center"/>
            <w:shd w:fill="F7F9FC"/>
            <w:tcMar>
              <w:top w:w="85" w:type="dxa"/>
              <w:left w:w="85" w:type="dxa"/>
              <w:bottom w:w="85" w:type="dxa"/>
              <w:right w:w="85" w:type="dxa"/>
            </w:tcMar>
          </w:tcPr>
          <w:p>
            <w:pPr>
              <w:spacing w:after="40" w:before="40" w:line="252" w:lineRule="auto"/>
            </w:pPr>
            <w:r>
              <w:rPr>
                <w:b w:val="0"/>
                <w:sz w:val="18"/>
              </w:rPr>
              <w:t>Columnas</w:t>
            </w:r>
          </w:p>
        </w:tc>
        <w:tc>
          <w:tcPr>
            <w:tcW w:type="dxa" w:w="7848"/>
            <w:vAlign w:val="center"/>
            <w:shd w:fill="F7F9FC"/>
            <w:tcMar>
              <w:top w:w="85" w:type="dxa"/>
              <w:left w:w="85" w:type="dxa"/>
              <w:bottom w:w="85" w:type="dxa"/>
              <w:right w:w="85" w:type="dxa"/>
            </w:tcMar>
          </w:tcPr>
          <w:p>
            <w:pPr>
              <w:spacing w:after="40" w:before="40" w:line="252" w:lineRule="auto"/>
            </w:pPr>
            <w:r>
              <w:rPr>
                <w:b w:val="0"/>
                <w:sz w:val="18"/>
              </w:rPr>
              <w:t>Promedios de deserción por nivel educativo del año seleccionado.</w:t>
            </w:r>
          </w:p>
        </w:tc>
      </w:tr>
    </w:tbl>
    <w:p>
      <w:pPr>
        <w:spacing w:after="60" w:before="0" w:line="240" w:lineRule="auto"/>
      </w:pPr>
      <w:r>
        <w:rPr>
          <w:sz w:val="4"/>
        </w:rPr>
        <w:t xml:space="preserve"> </w:t>
      </w:r>
    </w:p>
    <w:p>
      <w:pPr>
        <w:keepNext/>
        <w:spacing w:after="40"/>
        <w:jc w:val="center"/>
      </w:pPr>
      <w:r>
        <w:drawing>
          <wp:inline xmlns:a="http://schemas.openxmlformats.org/drawingml/2006/main" xmlns:pic="http://schemas.openxmlformats.org/drawingml/2006/picture">
            <wp:extent cx="6035040" cy="1525916"/>
            <wp:docPr id="1" name="Picture 1"/>
            <wp:cNvGraphicFramePr>
              <a:graphicFrameLocks noChangeAspect="1"/>
            </wp:cNvGraphicFramePr>
            <a:graphic>
              <a:graphicData uri="http://schemas.openxmlformats.org/drawingml/2006/picture">
                <pic:pic>
                  <pic:nvPicPr>
                    <pic:cNvPr id="0" name="matriz.png"/>
                    <pic:cNvPicPr/>
                  </pic:nvPicPr>
                  <pic:blipFill>
                    <a:blip r:embed="rId10"/>
                    <a:stretch>
                      <a:fillRect/>
                    </a:stretch>
                  </pic:blipFill>
                  <pic:spPr>
                    <a:xfrm>
                      <a:off x="0" y="0"/>
                      <a:ext cx="6035040" cy="1525916"/>
                    </a:xfrm>
                    <a:prstGeom prst="rect"/>
                  </pic:spPr>
                </pic:pic>
              </a:graphicData>
            </a:graphic>
          </wp:inline>
        </w:drawing>
      </w:r>
    </w:p>
    <w:p>
      <w:pPr>
        <w:spacing w:after="120"/>
      </w:pPr>
      <w:r>
        <w:rPr>
          <w:i/>
          <w:sz w:val="17"/>
        </w:rPr>
        <w:t>Figura 1. Ejemplo de matriz histórica con seis territorios. Cálculos propios sobre datos del MEN; la selección ilustra la lectura y no representa todos los territorios.</w:t>
      </w:r>
    </w:p>
    <w:p>
      <w:r>
        <w:br w:type="page"/>
      </w:r>
    </w:p>
    <w:p>
      <w:pPr>
        <w:pStyle w:val="Heading1"/>
      </w:pPr>
      <w:r>
        <w:t>12 Formatos de presentación</w:t>
      </w:r>
    </w:p>
    <w:p>
      <w:r>
        <w:t>Se propone fondo blanco, tipografía clara y títulos que nombren el indicador, el periodo y la unidad. Azul representa tasas; verde azulado indica reducciones interanuales; rojo identifica aumentos o el rango Alto; naranja destaca el nivel educativo con mayor promedio. Los colores se acompañan de etiquetas y valores para no depender solo de la percepción del color.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shd w:fill="E8EEF6"/>
            <w:tcMar>
              <w:top w:w="85" w:type="dxa"/>
              <w:left w:w="85" w:type="dxa"/>
              <w:bottom w:w="85" w:type="dxa"/>
              <w:right w:w="85" w:type="dxa"/>
            </w:tcMar>
          </w:tcPr>
          <w:p>
            <w:pPr>
              <w:spacing w:after="40" w:before="40" w:line="252" w:lineRule="auto"/>
            </w:pPr>
            <w:r>
              <w:rPr>
                <w:b/>
                <w:sz w:val="18"/>
              </w:rPr>
              <w:t>Elemento</w:t>
            </w:r>
          </w:p>
        </w:tc>
        <w:tc>
          <w:tcPr>
            <w:tcW w:type="dxa" w:w="7920"/>
            <w:vAlign w:val="center"/>
            <w:shd w:fill="E8EEF6"/>
            <w:tcMar>
              <w:top w:w="85" w:type="dxa"/>
              <w:left w:w="85" w:type="dxa"/>
              <w:bottom w:w="85" w:type="dxa"/>
              <w:right w:w="85" w:type="dxa"/>
            </w:tcMar>
          </w:tcPr>
          <w:p>
            <w:pPr>
              <w:spacing w:after="40" w:before="40" w:line="252" w:lineRule="auto"/>
            </w:pPr>
            <w:r>
              <w:rPr>
                <w:b/>
                <w:sz w:val="18"/>
              </w:rPr>
              <w:t>Formato o regla</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8"/>
              </w:rPr>
              <w:t>Tasas</w:t>
            </w:r>
          </w:p>
        </w:tc>
        <w:tc>
          <w:tcPr>
            <w:tcW w:type="dxa" w:w="7920"/>
            <w:vAlign w:val="center"/>
            <w:shd w:fill="FFFFFF"/>
            <w:tcMar>
              <w:top w:w="85" w:type="dxa"/>
              <w:left w:w="85" w:type="dxa"/>
              <w:bottom w:w="85" w:type="dxa"/>
              <w:right w:w="85" w:type="dxa"/>
            </w:tcMar>
          </w:tcPr>
          <w:p>
            <w:pPr>
              <w:spacing w:after="40" w:before="40" w:line="252" w:lineRule="auto"/>
            </w:pPr>
            <w:r>
              <w:rPr>
                <w:b w:val="0"/>
                <w:sz w:val="18"/>
              </w:rPr>
              <w:t>Porcentaje con dos decimales. Una proporción de 0.040539 se presenta como 4.05 %.</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8"/>
              </w:rPr>
              <w:t>Variación</w:t>
            </w:r>
          </w:p>
        </w:tc>
        <w:tc>
          <w:tcPr>
            <w:tcW w:type="dxa" w:w="7920"/>
            <w:vAlign w:val="center"/>
            <w:shd w:fill="F7F9FC"/>
            <w:tcMar>
              <w:top w:w="85" w:type="dxa"/>
              <w:left w:w="85" w:type="dxa"/>
              <w:bottom w:w="85" w:type="dxa"/>
              <w:right w:w="85" w:type="dxa"/>
            </w:tcMar>
          </w:tcPr>
          <w:p>
            <w:pPr>
              <w:spacing w:after="40" w:before="40" w:line="252" w:lineRule="auto"/>
            </w:pPr>
            <w:r>
              <w:rPr>
                <w:b w:val="0"/>
                <w:sz w:val="18"/>
              </w:rPr>
              <w:t>Número decimal con dos posiciones y unidad pp; nunca formato porcentaje.</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8"/>
              </w:rPr>
              <w:t>Códigos y años</w:t>
            </w:r>
          </w:p>
        </w:tc>
        <w:tc>
          <w:tcPr>
            <w:tcW w:type="dxa" w:w="7920"/>
            <w:vAlign w:val="center"/>
            <w:shd w:fill="FFFFFF"/>
            <w:tcMar>
              <w:top w:w="85" w:type="dxa"/>
              <w:left w:w="85" w:type="dxa"/>
              <w:bottom w:w="85" w:type="dxa"/>
              <w:right w:w="85" w:type="dxa"/>
            </w:tcMar>
          </w:tcPr>
          <w:p>
            <w:pPr>
              <w:spacing w:after="40" w:before="40" w:line="252" w:lineRule="auto"/>
            </w:pPr>
            <w:r>
              <w:rPr>
                <w:b w:val="0"/>
                <w:sz w:val="18"/>
              </w:rPr>
              <w:t>Código DANE texto de dos dígitos; año entero sin agregación.</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8"/>
              </w:rPr>
              <w:t>Promedios</w:t>
            </w:r>
          </w:p>
        </w:tc>
        <w:tc>
          <w:tcPr>
            <w:tcW w:type="dxa" w:w="7920"/>
            <w:vAlign w:val="center"/>
            <w:shd w:fill="F7F9FC"/>
            <w:tcMar>
              <w:top w:w="85" w:type="dxa"/>
              <w:left w:w="85" w:type="dxa"/>
              <w:bottom w:w="85" w:type="dxa"/>
              <w:right w:w="85" w:type="dxa"/>
            </w:tcMar>
          </w:tcPr>
          <w:p>
            <w:pPr>
              <w:spacing w:after="40" w:before="40" w:line="252" w:lineRule="auto"/>
            </w:pPr>
            <w:r>
              <w:rPr>
                <w:b w:val="0"/>
                <w:sz w:val="18"/>
              </w:rPr>
              <w:t>Etiquetar como promedio simple territorial. No sumar tasas ni usar población como peso de deserción.</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8"/>
              </w:rPr>
              <w:t>Datos faltantes</w:t>
            </w:r>
          </w:p>
        </w:tc>
        <w:tc>
          <w:tcPr>
            <w:tcW w:type="dxa" w:w="7920"/>
            <w:vAlign w:val="center"/>
            <w:shd w:fill="FFFFFF"/>
            <w:tcMar>
              <w:top w:w="85" w:type="dxa"/>
              <w:left w:w="85" w:type="dxa"/>
              <w:bottom w:w="85" w:type="dxa"/>
              <w:right w:w="85" w:type="dxa"/>
            </w:tcMar>
          </w:tcPr>
          <w:p>
            <w:pPr>
              <w:spacing w:after="40" w:before="40" w:line="252" w:lineRule="auto"/>
            </w:pPr>
            <w:r>
              <w:rPr>
                <w:b w:val="0"/>
                <w:sz w:val="18"/>
              </w:rPr>
              <w:t>Mostrar sin dato o vacío. No representar el nulo de transición como cero.</w:t>
            </w:r>
          </w:p>
        </w:tc>
      </w:tr>
      <w:tr>
        <w:trPr>
          <w:cantSplit/>
        </w:trPr>
        <w:tc>
          <w:tcPr>
            <w:tcW w:type="dxa" w:w="2160"/>
            <w:vAlign w:val="center"/>
            <w:shd w:fill="F7F9FC"/>
            <w:tcMar>
              <w:top w:w="85" w:type="dxa"/>
              <w:left w:w="85" w:type="dxa"/>
              <w:bottom w:w="85" w:type="dxa"/>
              <w:right w:w="85" w:type="dxa"/>
            </w:tcMar>
          </w:tcPr>
          <w:p>
            <w:pPr>
              <w:spacing w:after="40" w:before="40" w:line="252" w:lineRule="auto"/>
            </w:pPr>
            <w:r>
              <w:rPr>
                <w:b w:val="0"/>
                <w:sz w:val="18"/>
              </w:rPr>
              <w:t>Valores &gt;100 %</w:t>
            </w:r>
          </w:p>
        </w:tc>
        <w:tc>
          <w:tcPr>
            <w:tcW w:type="dxa" w:w="7920"/>
            <w:vAlign w:val="center"/>
            <w:shd w:fill="F7F9FC"/>
            <w:tcMar>
              <w:top w:w="85" w:type="dxa"/>
              <w:left w:w="85" w:type="dxa"/>
              <w:bottom w:w="85" w:type="dxa"/>
              <w:right w:w="85" w:type="dxa"/>
            </w:tcMar>
          </w:tcPr>
          <w:p>
            <w:pPr>
              <w:spacing w:after="40" w:before="40" w:line="252" w:lineRule="auto"/>
            </w:pPr>
            <w:r>
              <w:rPr>
                <w:b w:val="0"/>
                <w:sz w:val="18"/>
              </w:rPr>
              <w:t>Conservar coberturas compatibles con la metodología; no truncar a 100 %.</w:t>
            </w:r>
          </w:p>
        </w:tc>
      </w:tr>
      <w:tr>
        <w:trPr>
          <w:cantSplit/>
        </w:trPr>
        <w:tc>
          <w:tcPr>
            <w:tcW w:type="dxa" w:w="2160"/>
            <w:vAlign w:val="center"/>
            <w:shd w:fill="FFFFFF"/>
            <w:tcMar>
              <w:top w:w="85" w:type="dxa"/>
              <w:left w:w="85" w:type="dxa"/>
              <w:bottom w:w="85" w:type="dxa"/>
              <w:right w:w="85" w:type="dxa"/>
            </w:tcMar>
          </w:tcPr>
          <w:p>
            <w:pPr>
              <w:spacing w:after="40" w:before="40" w:line="252" w:lineRule="auto"/>
            </w:pPr>
            <w:r>
              <w:rPr>
                <w:b w:val="0"/>
                <w:sz w:val="18"/>
              </w:rPr>
              <w:t>Texto de hallazgos</w:t>
            </w:r>
          </w:p>
        </w:tc>
        <w:tc>
          <w:tcPr>
            <w:tcW w:type="dxa" w:w="7920"/>
            <w:vAlign w:val="center"/>
            <w:shd w:fill="FFFFFF"/>
            <w:tcMar>
              <w:top w:w="85" w:type="dxa"/>
              <w:left w:w="85" w:type="dxa"/>
              <w:bottom w:w="85" w:type="dxa"/>
              <w:right w:w="85" w:type="dxa"/>
            </w:tcMar>
          </w:tcPr>
          <w:p>
            <w:pPr>
              <w:spacing w:after="40" w:before="40" w:line="252" w:lineRule="auto"/>
            </w:pPr>
            <w:r>
              <w:rPr>
                <w:b w:val="0"/>
                <w:sz w:val="18"/>
              </w:rPr>
              <w:t>Mensajes dinámicos con año y selección explícitos. Correlación descriptiva; estados sin datos o sin comparación claramente identificados.</w:t>
            </w:r>
          </w:p>
        </w:tc>
      </w:tr>
    </w:tbl>
    <w:p>
      <w:pPr>
        <w:spacing w:after="60" w:before="0" w:line="240" w:lineRule="auto"/>
      </w:pPr>
      <w:r>
        <w:rPr>
          <w:sz w:val="4"/>
        </w:rPr>
        <w:t xml:space="preserve"> </w:t>
      </w:r>
    </w:p>
    <w:p>
      <w:pPr>
        <w:keepNext/>
        <w:spacing w:after="40"/>
        <w:jc w:val="center"/>
      </w:pPr>
      <w:r>
        <w:drawing>
          <wp:inline xmlns:a="http://schemas.openxmlformats.org/drawingml/2006/main" xmlns:pic="http://schemas.openxmlformats.org/drawingml/2006/picture">
            <wp:extent cx="6217920" cy="1567278"/>
            <wp:docPr id="6" name="Picture 6"/>
            <wp:cNvGraphicFramePr>
              <a:graphicFrameLocks noChangeAspect="1"/>
            </wp:cNvGraphicFramePr>
            <a:graphic>
              <a:graphicData uri="http://schemas.openxmlformats.org/drawingml/2006/picture">
                <pic:pic>
                  <pic:nvPicPr>
                    <pic:cNvPr id="0" name="niveles.png"/>
                    <pic:cNvPicPr/>
                  </pic:nvPicPr>
                  <pic:blipFill>
                    <a:blip r:embed="rId15"/>
                    <a:stretch>
                      <a:fillRect/>
                    </a:stretch>
                  </pic:blipFill>
                  <pic:spPr>
                    <a:xfrm>
                      <a:off x="0" y="0"/>
                      <a:ext cx="6217920" cy="1567278"/>
                    </a:xfrm>
                    <a:prstGeom prst="rect"/>
                  </pic:spPr>
                </pic:pic>
              </a:graphicData>
            </a:graphic>
          </wp:inline>
        </w:drawing>
      </w:r>
    </w:p>
    <w:p>
      <w:pPr>
        <w:spacing w:after="120"/>
      </w:pPr>
      <w:r>
        <w:rPr>
          <w:i/>
          <w:sz w:val="17"/>
        </w:rPr>
        <w:t>Figura 2. Promedios simples territoriales por nivel en 2024. Primaria y media coinciden en 3.37 % al redondear; las tasas no son proporciones del total de deserción.</w:t>
      </w:r>
    </w:p>
    <w:p>
      <w:pPr>
        <w:pStyle w:val="Heading1"/>
      </w:pPr>
      <w:r>
        <w:t>13 Conclusiones a partir de las visualizaciones</w:t>
      </w:r>
    </w:p>
    <w:p>
      <w:r>
        <w:t>1. La tendencia muestra una reducción del promedio territorial de 5.07 % en 2011 a 4.05 % en 2024, equivalente a 1.02 pp. Los aumentos intermedios obligan a revisar la evolución completa y la advertencia metodológica de 2020.</w:t>
      </w:r>
    </w:p>
    <w:p>
      <w:r>
        <w:t>2. Caquetá, Putumayo y Vichada son los únicos tres territorios con tasas superiores al 6 % en 2024. La brecha de 4.71 pp entre Caquetá y San Andrés muestra diferencias que justifican revisar prioridades territoriales.</w:t>
      </w:r>
    </w:p>
    <w:p>
      <w:r>
        <w:t>3. Secundaria tiene el mayor promedio territorial por nivel en 2024, 5.22 %. La comparación sustenta ampliar el diagnóstico de permanencia en este nivel sin estimar cuántos estudiantes desertaron, pues faltan denominadores compatibles.</w:t>
      </w:r>
    </w:p>
    <w:p>
      <w:r>
        <w:t>4. Entre 2023 y 2024, Vaupés presenta el mayor aumento, 0.96 pp, y Guainía la mayor reducción, 1.30 pp. Los cambios y el nivel actual deben analizarse conjuntamente para priorizar seguimiento.</w:t>
      </w:r>
    </w:p>
    <w:p>
      <w:r>
        <w:br w:type="page"/>
      </w:r>
    </w:p>
    <w:p>
      <w:pPr>
        <w:pStyle w:val="Heading1"/>
      </w:pPr>
      <w:r>
        <w:t>Alcance metodológico y referencias</w:t>
      </w:r>
    </w:p>
    <w:p>
      <w:pPr>
        <w:pStyle w:val="Heading2"/>
      </w:pPr>
      <w:r>
        <w:t>Condiciones para interpretar los resultados</w:t>
      </w:r>
    </w:p>
    <w:p>
      <w:r>
        <w:t>Los datos son agregados por territorio y vigencia. El promedio simple territorial no es la tasa nacional oficial, y la población de 5 a 16 años no sustituye la matrícula del sector oficial como denominador. Los gráficos de asociación son descriptivos; no identifican causas ni efectos de programas.</w:t>
      </w:r>
    </w:p>
    <w:p>
      <w:r>
        <w:t>La fuente advierte que las coberturas de 2018 y 2019 usan proyecciones del Censo 2018, y que 2020 tiene cifras preliminares sin incluir auditorías. La cobertura bruta puede superar 100 % por matrícula en extraedad y la neta puede superar 100 % por desajustes en las proyecciones de población y flujos migratorios.</w:t>
      </w:r>
    </w:p>
    <w:p>
      <w:r>
        <w:t>Se conservó el dato faltante de deserción de transición en Bogotá D.C. en 2012. Se reportaron seis observaciones de 2011 cuyo balance general de aprobación, reprobación y deserción difiere de 100 % en más de 0.05 pp. No se corrigieron sin una validación del MEN. Las conclusiones del corte 2024 no dependen de esas seis observaciones.</w:t>
      </w:r>
    </w:p>
    <w:p>
      <w:pPr>
        <w:pStyle w:val="Heading2"/>
      </w:pPr>
      <w:r>
        <w:t>Referencias</w:t>
      </w:r>
    </w:p>
    <w:p>
      <w:r>
        <w:t>Ministerio de Educación Nacional. Estadísticas en educación preescolar, básica y media por departamento. Datos Abiertos Colombia, identificador ji8i-4anb. Consulta y descarga del 12 de octubre de 2026.</w:t>
      </w:r>
    </w:p>
    <w:p>
      <w:r>
        <w:t>https://www.datos.gov.co/Educaci-n/MEN_ESTADISTICAS_EN_EDUCACION_EN_PREESCOLAR-B-SICA/ji8i-4anb</w:t>
      </w:r>
    </w:p>
    <w:p>
      <w:r>
        <w:t>API utilizada para el CSV original</w:t>
        <w:br/>
        <w:t>https://www.datos.gov.co/resource/ji8i-4anb.csv?$limit=50000</w:t>
      </w:r>
    </w:p>
    <w:p>
      <w:r>
        <w:t>Metadatos y definiciones de variables</w:t>
        <w:br/>
        <w:t>https://www.datos.gov.co/api/views/ji8i-4anb.json</w:t>
      </w:r>
    </w:p>
    <w:p>
      <w:r>
        <w:t>Fundación Universitaria Compensar. Marco general para el desarrollo del proyecto integrador de la asignatura Business Intelligence. Guía académica suministrada para el proyecto.</w:t>
      </w:r>
    </w:p>
    <w:p>
      <w:r>
        <w:t>Chart.js. Documentación oficial sobre accesibilidad y actualización de gráficos. El tablero incorpora Chart.js 4.4.1 y tablas de valores como alternativa de lectura. Consulta del 12 de octubre de 2026.</w:t>
      </w:r>
    </w:p>
    <w:p>
      <w:r>
        <w:t>https://www.chartjs.org/docs/latest/general/accessibility.html</w:t>
        <w:br/>
        <w:t>https://www.chartjs.org/docs/latest/developers/updates.html</w:t>
      </w:r>
    </w:p>
    <w:p>
      <w:pPr>
        <w:pStyle w:val="Heading2"/>
      </w:pPr>
      <w:r>
        <w:t>Evidencias de preparación</w:t>
      </w:r>
    </w:p>
    <w:p>
      <w:r>
        <w:t>Se anexan datos_originales_men.csv, Desercion-Escolar-Colombia.ipynb, datos_limpios_powerbi.csv y Desercion-Escolar-Colombia.html. El notebook reproduce la transformación; el HTML incorpora descargas de los datos y del notebook, el diccionario, la trazabilidad y los hallazgos dinámicos. app.py presenta el tablero en Streamlit. Los archivos y el documento se organizan en el repositorio alejo262/Desercion-Escolar-Colombia. La narrativa permanece en el tablero.</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Deserción escolar en Colombia</dc:title>
  <dc:subject>Proyecto integrador de Business Intelligence</dc:subject>
  <dc:creator>Miguel Angel Cuadros Perez y Daniel Alejandro Jaime Díaz</dc:creator>
  <cp:keywords/>
  <dc:description>generated by python-docx</dc:description>
  <cp:lastModifiedBy/>
  <cp:revision>1</cp:revision>
  <dcterms:created xsi:type="dcterms:W3CDTF">2013-12-23T23:15:00Z</dcterms:created>
  <dcterms:modified xsi:type="dcterms:W3CDTF">2013-12-23T23:15:00Z</dcterms:modified>
  <cp:category/>
</cp:coreProperties>
</file>