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631A0" w:rsidRDefault="008D422F" w14:paraId="4C5437F0" w14:textId="20A500F9">
      <w:pPr>
        <w:rPr>
          <w:lang w:val="es-CO"/>
        </w:rPr>
      </w:pPr>
      <w:r w:rsidRPr="7F67B23F" w:rsidR="008D422F">
        <w:rPr>
          <w:lang w:val="es-CO"/>
        </w:rPr>
        <w:t>Resultados (Borrador)</w:t>
      </w:r>
    </w:p>
    <w:tbl>
      <w:tblPr>
        <w:tblStyle w:val="Tablanormal"/>
        <w:tblW w:w="0" w:type="auto"/>
        <w:tblLayout w:type="fixed"/>
        <w:tblLook w:val="04A0" w:firstRow="1" w:lastRow="0" w:firstColumn="1" w:lastColumn="0" w:noHBand="0" w:noVBand="1"/>
      </w:tblPr>
      <w:tblGrid>
        <w:gridCol w:w="1732"/>
        <w:gridCol w:w="1869"/>
        <w:gridCol w:w="4631"/>
      </w:tblGrid>
      <w:tr w:rsidR="7F67B23F" w:rsidTr="7F67B23F" w14:paraId="2BEF6552">
        <w:trPr>
          <w:trHeight w:val="300"/>
        </w:trPr>
        <w:tc>
          <w:tcPr>
            <w:tcW w:w="1732" w:type="dxa"/>
            <w:tcBorders>
              <w:top w:val="single" w:sz="8"/>
              <w:left w:val="nil"/>
              <w:bottom w:val="single" w:sz="8"/>
              <w:right w:val="nil"/>
            </w:tcBorders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0A77D19B" w14:textId="55AD813A">
            <w:pPr>
              <w:spacing w:before="0" w:beforeAutospacing="off" w:after="0" w:afterAutospacing="off" w:line="257" w:lineRule="auto"/>
              <w:ind w:left="-20" w:right="-20"/>
              <w:jc w:val="center"/>
            </w:pPr>
            <w:r w:rsidRPr="7F67B23F" w:rsidR="7F67B23F"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  <w:lang w:val="en-CA"/>
              </w:rPr>
              <w:t>PICOP method element</w:t>
            </w: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 xml:space="preserve"> </w:t>
            </w:r>
          </w:p>
        </w:tc>
        <w:tc>
          <w:tcPr>
            <w:tcW w:w="1869" w:type="dxa"/>
            <w:tcBorders>
              <w:top w:val="single" w:sz="8"/>
              <w:left w:val="nil"/>
              <w:bottom w:val="single" w:sz="8"/>
              <w:right w:val="nil"/>
            </w:tcBorders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1BD2C3B7" w14:textId="4777BE94">
            <w:pPr>
              <w:spacing w:before="0" w:beforeAutospacing="off" w:after="0" w:afterAutospacing="off" w:line="257" w:lineRule="auto"/>
              <w:ind w:left="-20" w:right="-20"/>
              <w:jc w:val="center"/>
            </w:pPr>
            <w:r w:rsidRPr="7F67B23F" w:rsidR="7F67B23F"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  <w:lang w:val="en-CA"/>
              </w:rPr>
              <w:t>Primary terms</w:t>
            </w: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 xml:space="preserve"> </w:t>
            </w:r>
          </w:p>
        </w:tc>
        <w:tc>
          <w:tcPr>
            <w:tcW w:w="4631" w:type="dxa"/>
            <w:tcBorders>
              <w:top w:val="single" w:sz="8"/>
              <w:left w:val="nil"/>
              <w:bottom w:val="single" w:sz="8"/>
              <w:right w:val="nil"/>
            </w:tcBorders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4B8FFEDA" w14:textId="3ADDD2D5">
            <w:pPr>
              <w:spacing w:before="0" w:beforeAutospacing="off" w:after="0" w:afterAutospacing="off" w:line="257" w:lineRule="auto"/>
              <w:ind w:left="-20" w:right="-20"/>
              <w:jc w:val="center"/>
            </w:pPr>
            <w:r w:rsidRPr="7F67B23F" w:rsidR="7F67B23F"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  <w:lang w:val="en-CA"/>
              </w:rPr>
              <w:t>Secondary terms</w:t>
            </w: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 xml:space="preserve"> </w:t>
            </w:r>
          </w:p>
        </w:tc>
      </w:tr>
      <w:tr w:rsidR="7F67B23F" w:rsidTr="7F67B23F" w14:paraId="01FBB2D5">
        <w:trPr>
          <w:trHeight w:val="135"/>
        </w:trPr>
        <w:tc>
          <w:tcPr>
            <w:tcW w:w="1732" w:type="dxa"/>
            <w:tcBorders>
              <w:top w:val="single" w:sz="8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7C6361AF" w14:textId="4CA63FC8">
            <w:pPr>
              <w:spacing w:before="0" w:beforeAutospacing="off" w:after="0" w:afterAutospacing="off" w:line="257" w:lineRule="auto"/>
              <w:ind w:left="-20" w:right="-20"/>
            </w:pP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 xml:space="preserve">Population </w:t>
            </w:r>
          </w:p>
        </w:tc>
        <w:tc>
          <w:tcPr>
            <w:tcW w:w="1869" w:type="dxa"/>
            <w:tcBorders>
              <w:top w:val="single" w:sz="8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606B412A" w14:textId="4F94C0F1">
            <w:pPr>
              <w:spacing w:before="0" w:beforeAutospacing="off" w:after="0" w:afterAutospacing="off" w:line="257" w:lineRule="auto"/>
              <w:ind w:left="-20" w:right="-20"/>
            </w:pP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 xml:space="preserve">Miner </w:t>
            </w:r>
          </w:p>
        </w:tc>
        <w:tc>
          <w:tcPr>
            <w:tcW w:w="4631" w:type="dxa"/>
            <w:tcBorders>
              <w:top w:val="single" w:sz="8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40CAB77A" w14:textId="2C04D48B">
            <w:pPr>
              <w:spacing w:before="0" w:beforeAutospacing="off" w:after="0" w:afterAutospacing="off" w:line="257" w:lineRule="auto"/>
              <w:ind w:left="-20" w:right="-20"/>
            </w:pP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 xml:space="preserve">Mining staff, mining company staff </w:t>
            </w:r>
          </w:p>
        </w:tc>
      </w:tr>
      <w:tr w:rsidR="7F67B23F" w:rsidTr="7F67B23F" w14:paraId="07418F5B">
        <w:trPr>
          <w:trHeight w:val="210"/>
        </w:trPr>
        <w:tc>
          <w:tcPr>
            <w:tcW w:w="1732" w:type="dxa"/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22CEFD35" w14:textId="05883AF3">
            <w:pPr>
              <w:spacing w:before="0" w:beforeAutospacing="off" w:after="0" w:afterAutospacing="off" w:line="257" w:lineRule="auto"/>
              <w:ind w:left="-20" w:right="-20"/>
            </w:pP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 xml:space="preserve">Intervention </w:t>
            </w:r>
          </w:p>
        </w:tc>
        <w:tc>
          <w:tcPr>
            <w:tcW w:w="1869" w:type="dxa"/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492E8DD2" w14:textId="157684CD">
            <w:pPr>
              <w:spacing w:before="0" w:beforeAutospacing="off" w:after="0" w:afterAutospacing="off" w:line="257" w:lineRule="auto"/>
              <w:ind w:left="-20" w:right="-20"/>
            </w:pP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 xml:space="preserve">Serious Game </w:t>
            </w:r>
          </w:p>
        </w:tc>
        <w:tc>
          <w:tcPr>
            <w:tcW w:w="4631" w:type="dxa"/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7835504F" w14:textId="06FD867E">
            <w:pPr>
              <w:spacing w:before="0" w:beforeAutospacing="off" w:after="0" w:afterAutospacing="off" w:line="257" w:lineRule="auto"/>
              <w:ind w:left="-20" w:right="-20"/>
            </w:pP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>Educational game, Gamification</w:t>
            </w:r>
          </w:p>
        </w:tc>
      </w:tr>
      <w:tr w:rsidR="7F67B23F" w:rsidTr="7F67B23F" w14:paraId="1C23FD35">
        <w:trPr>
          <w:trHeight w:val="150"/>
        </w:trPr>
        <w:tc>
          <w:tcPr>
            <w:tcW w:w="1732" w:type="dxa"/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5A164B35" w14:textId="3B1A8275">
            <w:pPr>
              <w:spacing w:before="0" w:beforeAutospacing="off" w:after="0" w:afterAutospacing="off" w:line="257" w:lineRule="auto"/>
              <w:ind w:left="-20" w:right="-20"/>
            </w:pP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 xml:space="preserve">Comparison </w:t>
            </w:r>
          </w:p>
        </w:tc>
        <w:tc>
          <w:tcPr>
            <w:tcW w:w="1869" w:type="dxa"/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3537F0A6" w14:textId="6113ADB6">
            <w:pPr>
              <w:spacing w:before="0" w:beforeAutospacing="off" w:after="0" w:afterAutospacing="off" w:line="257" w:lineRule="auto"/>
              <w:ind w:left="-20" w:right="-20"/>
            </w:pP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 xml:space="preserve">Not Applicable </w:t>
            </w:r>
          </w:p>
        </w:tc>
        <w:tc>
          <w:tcPr>
            <w:tcW w:w="4631" w:type="dxa"/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0BB7D7C4" w14:textId="78B8C209">
            <w:pPr>
              <w:spacing w:before="0" w:beforeAutospacing="off" w:after="0" w:afterAutospacing="off" w:line="257" w:lineRule="auto"/>
              <w:ind w:left="-20" w:right="-20"/>
            </w:pP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 xml:space="preserve">Not Applicable </w:t>
            </w:r>
          </w:p>
        </w:tc>
      </w:tr>
      <w:tr w:rsidR="7F67B23F" w:rsidTr="7F67B23F" w14:paraId="0820F827">
        <w:trPr>
          <w:trHeight w:val="90"/>
        </w:trPr>
        <w:tc>
          <w:tcPr>
            <w:tcW w:w="1732" w:type="dxa"/>
            <w:vMerge w:val="restart"/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1D08C96D" w14:textId="2C0722D4">
            <w:pPr>
              <w:spacing w:before="0" w:beforeAutospacing="off" w:after="0" w:afterAutospacing="off" w:line="257" w:lineRule="auto"/>
              <w:ind w:left="-20" w:right="-20"/>
            </w:pP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Outcome  </w:t>
            </w:r>
          </w:p>
        </w:tc>
        <w:tc>
          <w:tcPr>
            <w:tcW w:w="1869" w:type="dxa"/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27937459" w14:textId="0CAA1C3D">
            <w:pPr>
              <w:spacing w:before="0" w:beforeAutospacing="off" w:after="0" w:afterAutospacing="off" w:line="257" w:lineRule="auto"/>
              <w:ind w:left="-20" w:right="-20"/>
            </w:pP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 xml:space="preserve">Methodology </w:t>
            </w:r>
          </w:p>
        </w:tc>
        <w:tc>
          <w:tcPr>
            <w:tcW w:w="4631" w:type="dxa"/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454BCC8C" w14:textId="2E897FF2">
            <w:pPr>
              <w:spacing w:before="0" w:beforeAutospacing="off" w:after="0" w:afterAutospacing="off" w:line="257" w:lineRule="auto"/>
              <w:ind w:left="-20" w:right="-20"/>
            </w:pP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 xml:space="preserve">Method, models </w:t>
            </w:r>
          </w:p>
        </w:tc>
      </w:tr>
      <w:tr w:rsidR="7F67B23F" w:rsidTr="7F67B23F" w14:paraId="15705003">
        <w:trPr>
          <w:trHeight w:val="135"/>
        </w:trPr>
        <w:tc>
          <w:tcPr>
            <w:tcW w:w="1732" w:type="dxa"/>
            <w:vMerge/>
            <w:tcBorders>
              <w:top w:sz="0"/>
              <w:left w:sz="0"/>
              <w:bottom w:sz="0"/>
              <w:right w:sz="0"/>
            </w:tcBorders>
            <w:tcMar/>
            <w:vAlign w:val="center"/>
          </w:tcPr>
          <w:p w14:paraId="0B3A2F40"/>
        </w:tc>
        <w:tc>
          <w:tcPr>
            <w:tcW w:w="1869" w:type="dxa"/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54490128" w14:textId="5C08B837">
            <w:pPr>
              <w:spacing w:before="0" w:beforeAutospacing="off" w:after="0" w:afterAutospacing="off" w:line="257" w:lineRule="auto"/>
              <w:ind w:left="-20" w:right="-20"/>
            </w:pP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 xml:space="preserve">Automation Artifact </w:t>
            </w:r>
          </w:p>
        </w:tc>
        <w:tc>
          <w:tcPr>
            <w:tcW w:w="4631" w:type="dxa"/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57FF2C18" w14:textId="63007AA5">
            <w:pPr>
              <w:spacing w:before="0" w:beforeAutospacing="off" w:after="0" w:afterAutospacing="off" w:line="257" w:lineRule="auto"/>
              <w:ind w:left="-20" w:right="-20"/>
            </w:pP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 xml:space="preserve">Code generation, development methodology </w:t>
            </w:r>
          </w:p>
        </w:tc>
      </w:tr>
      <w:tr w:rsidR="7F67B23F" w:rsidTr="7F67B23F" w14:paraId="02AED640">
        <w:trPr>
          <w:trHeight w:val="150"/>
        </w:trPr>
        <w:tc>
          <w:tcPr>
            <w:tcW w:w="1732" w:type="dxa"/>
            <w:tcBorders>
              <w:top w:val="nil"/>
              <w:left w:val="nil"/>
              <w:bottom w:val="single" w:sz="8"/>
              <w:right w:val="nil"/>
            </w:tcBorders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058CA7D2" w14:textId="583CB533">
            <w:pPr>
              <w:spacing w:before="0" w:beforeAutospacing="off" w:after="0" w:afterAutospacing="off" w:line="257" w:lineRule="auto"/>
              <w:ind w:left="-20" w:right="-20"/>
            </w:pP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 xml:space="preserve">Context </w:t>
            </w:r>
          </w:p>
        </w:tc>
        <w:tc>
          <w:tcPr>
            <w:tcW w:w="1869" w:type="dxa"/>
            <w:tcBorders>
              <w:left w:val="nil"/>
              <w:bottom w:val="single" w:sz="8"/>
              <w:right w:val="nil"/>
            </w:tcBorders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7D010A3E" w14:textId="17E593BB">
            <w:pPr>
              <w:spacing w:before="0" w:beforeAutospacing="off" w:after="0" w:afterAutospacing="off" w:line="257" w:lineRule="auto"/>
              <w:ind w:left="-20" w:right="-20"/>
            </w:pP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 xml:space="preserve">Mining industry </w:t>
            </w:r>
          </w:p>
        </w:tc>
        <w:tc>
          <w:tcPr>
            <w:tcW w:w="4631" w:type="dxa"/>
            <w:tcBorders>
              <w:left w:val="nil"/>
              <w:bottom w:val="single" w:sz="8"/>
              <w:right w:val="nil"/>
            </w:tcBorders>
            <w:tcMar>
              <w:left w:w="108" w:type="dxa"/>
              <w:right w:w="108" w:type="dxa"/>
            </w:tcMar>
            <w:vAlign w:val="top"/>
          </w:tcPr>
          <w:p w:rsidR="7F67B23F" w:rsidP="7F67B23F" w:rsidRDefault="7F67B23F" w14:paraId="1FF30B6B" w14:textId="4E825158">
            <w:pPr>
              <w:spacing w:before="0" w:beforeAutospacing="off" w:after="0" w:afterAutospacing="off" w:line="257" w:lineRule="auto"/>
              <w:ind w:left="-20" w:right="-20"/>
            </w:pPr>
            <w:r w:rsidRPr="7F67B23F" w:rsidR="7F67B23F">
              <w:rPr>
                <w:rFonts w:ascii="Times New Roman" w:hAnsi="Times New Roman" w:eastAsia="Times New Roman" w:cs="Times New Roman"/>
                <w:sz w:val="20"/>
                <w:szCs w:val="20"/>
                <w:lang w:val="en-CA"/>
              </w:rPr>
              <w:t>Mining company, SME Mining, mining plant, mining sector</w:t>
            </w:r>
          </w:p>
        </w:tc>
      </w:tr>
    </w:tbl>
    <w:p w:rsidR="7F67B23F" w:rsidP="7F67B23F" w:rsidRDefault="7F67B23F" w14:paraId="367FFFC8" w14:textId="337E783C">
      <w:pPr>
        <w:ind w:left="-20" w:right="-20"/>
      </w:pPr>
    </w:p>
    <w:p w:rsidR="008D422F" w:rsidRDefault="008D422F" w14:paraId="60216EF6" w14:textId="7FE3B664">
      <w:pPr>
        <w:rPr>
          <w:lang w:val="es-CO"/>
        </w:rPr>
      </w:pPr>
      <w:r w:rsidRPr="7F67B23F" w:rsidR="008D422F">
        <w:rPr>
          <w:lang w:val="es-CO"/>
        </w:rPr>
        <w:t>Revisión de literatura</w:t>
      </w:r>
    </w:p>
    <w:p w:rsidR="7EADA214" w:rsidP="7F67B23F" w:rsidRDefault="7EADA214" w14:paraId="10535CCA" w14:textId="2686E202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7F67B23F" w:rsidR="7EADA214">
        <w:rPr>
          <w:lang w:val="es-CO"/>
        </w:rPr>
        <w:t>Definir fuentes de datos</w:t>
      </w:r>
    </w:p>
    <w:p w:rsidR="7EADA214" w:rsidP="7F67B23F" w:rsidRDefault="7EADA214" w14:paraId="35CE19CC" w14:textId="61CA8A88">
      <w:pPr>
        <w:pStyle w:val="Normal"/>
        <w:ind w:left="0"/>
        <w:jc w:val="both"/>
        <w:rPr>
          <w:lang w:val="es-CO"/>
        </w:rPr>
      </w:pPr>
      <w:r w:rsidRPr="7F67B23F" w:rsidR="7EADA214">
        <w:rPr>
          <w:lang w:val="es-CO"/>
        </w:rPr>
        <w:t xml:space="preserve">Repo, </w:t>
      </w:r>
      <w:r w:rsidRPr="7F67B23F" w:rsidR="7EADA214">
        <w:rPr>
          <w:lang w:val="es-CO"/>
        </w:rPr>
        <w:t>Scopus</w:t>
      </w:r>
      <w:r w:rsidRPr="7F67B23F" w:rsidR="7EADA214">
        <w:rPr>
          <w:lang w:val="es-CO"/>
        </w:rPr>
        <w:t>, IEEE</w:t>
      </w:r>
    </w:p>
    <w:p w:rsidR="7EADA214" w:rsidP="7F67B23F" w:rsidRDefault="7EADA214" w14:paraId="58F0E7CA" w14:textId="6B23525B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7F67B23F" w:rsidR="7EADA214">
        <w:rPr>
          <w:lang w:val="es-CO"/>
        </w:rPr>
        <w:t xml:space="preserve">Cadena de </w:t>
      </w:r>
      <w:r w:rsidRPr="7F67B23F" w:rsidR="7EADA214">
        <w:rPr>
          <w:lang w:val="es-CO"/>
        </w:rPr>
        <w:t>busqueda</w:t>
      </w:r>
    </w:p>
    <w:p w:rsidR="7F67B23F" w:rsidP="7F67B23F" w:rsidRDefault="7F67B23F" w14:paraId="07F261EB" w14:textId="2FC14092">
      <w:pPr>
        <w:pStyle w:val="Normal"/>
        <w:ind w:left="0"/>
        <w:jc w:val="both"/>
        <w:rPr>
          <w:lang w:val="es-CO"/>
        </w:rPr>
      </w:pPr>
    </w:p>
    <w:p w:rsidR="7EADA214" w:rsidP="7F67B23F" w:rsidRDefault="7EADA214" w14:paraId="48831904" w14:textId="3A30A8C6">
      <w:pPr>
        <w:pStyle w:val="Normal"/>
        <w:jc w:val="both"/>
        <w:rPr>
          <w:lang w:val="es-CO"/>
        </w:rPr>
      </w:pPr>
      <w:r w:rsidRPr="7F67B23F" w:rsidR="7EADA214">
        <w:rPr>
          <w:lang w:val="es-CO"/>
        </w:rPr>
        <w:t>Laza para resultados</w:t>
      </w:r>
    </w:p>
    <w:p w:rsidR="7F67B23F" w:rsidP="7F67B23F" w:rsidRDefault="7F67B23F" w14:paraId="5F7C05D6" w14:textId="6FB90F8D">
      <w:pPr>
        <w:pStyle w:val="Normal"/>
        <w:jc w:val="both"/>
        <w:rPr>
          <w:lang w:val="es-CO"/>
        </w:rPr>
      </w:pPr>
    </w:p>
    <w:p w:rsidR="74AC0D8E" w:rsidP="7F67B23F" w:rsidRDefault="74AC0D8E" w14:paraId="0213A76D" w14:textId="5B446681">
      <w:pPr>
        <w:pStyle w:val="Normal"/>
        <w:jc w:val="both"/>
        <w:rPr>
          <w:lang w:val="es-CO"/>
        </w:rPr>
      </w:pPr>
      <w:r w:rsidRPr="7F67B23F" w:rsidR="74AC0D8E">
        <w:rPr>
          <w:lang w:val="es-CO"/>
        </w:rPr>
        <w:t xml:space="preserve">Definr </w:t>
      </w:r>
      <w:r w:rsidRPr="7F67B23F" w:rsidR="74AC0D8E">
        <w:rPr>
          <w:lang w:val="es-CO"/>
        </w:rPr>
        <w:t>criterios  de</w:t>
      </w:r>
      <w:r w:rsidRPr="7F67B23F" w:rsidR="74AC0D8E">
        <w:rPr>
          <w:lang w:val="es-CO"/>
        </w:rPr>
        <w:t xml:space="preserve"> inclusion y exclusión</w:t>
      </w:r>
    </w:p>
    <w:p w:rsidR="7F67B23F" w:rsidP="7F67B23F" w:rsidRDefault="7F67B23F" w14:paraId="5C5AD463" w14:textId="350E6753">
      <w:pPr>
        <w:pStyle w:val="Normal"/>
        <w:jc w:val="both"/>
        <w:rPr>
          <w:lang w:val="es-CO"/>
        </w:rPr>
      </w:pPr>
    </w:p>
    <w:p w:rsidR="008D422F" w:rsidP="008D422F" w:rsidRDefault="008D422F" w14:paraId="75EF12C6" w14:textId="65CEFA73">
      <w:pPr>
        <w:jc w:val="both"/>
        <w:rPr>
          <w:lang w:val="es-CO"/>
        </w:rPr>
      </w:pPr>
      <w:r>
        <w:rPr>
          <w:lang w:val="es-CO"/>
        </w:rPr>
        <w:t>El problema por tratar en este proyecto es un problema de población automática de ontología. En este caso, el modelo COGAF se define como una ontología utilizando el software Protégé y se busca generar instancias de las clases y relaciones definidas con técnicas de PLN a partir de textos de lecciones aprendidas. En la literatura, se evidencian tres tipos de sistemas de población automática de ontologías. Aquellos basado en reglas léxic</w:t>
      </w:r>
      <w:r w:rsidR="00075DFC">
        <w:rPr>
          <w:lang w:val="es-CO"/>
        </w:rPr>
        <w:t>a</w:t>
      </w:r>
      <w:r>
        <w:rPr>
          <w:lang w:val="es-CO"/>
        </w:rPr>
        <w:t xml:space="preserve">-sintácticas, </w:t>
      </w:r>
      <w:r w:rsidR="00075DFC">
        <w:rPr>
          <w:lang w:val="es-CO"/>
        </w:rPr>
        <w:t>sistemas estocásticos y sistemas que utilizan Machine Learning.</w:t>
      </w:r>
    </w:p>
    <w:p w:rsidR="00075DFC" w:rsidP="008D422F" w:rsidRDefault="00075DFC" w14:paraId="32890FF3" w14:textId="4063B16C">
      <w:pPr>
        <w:jc w:val="both"/>
        <w:rPr>
          <w:lang w:val="es-CO"/>
        </w:rPr>
      </w:pPr>
      <w:r>
        <w:rPr>
          <w:lang w:val="es-CO"/>
        </w:rPr>
        <w:t>En estos sistemas se deben considerar varios aspectos que influyen en el comportamiento y rendimiento del sistema</w:t>
      </w:r>
      <w:r w:rsidR="004975EE">
        <w:rPr>
          <w:lang w:val="es-CO"/>
        </w:rPr>
        <w:t>. Estos son ilustrados en la siguiente imagen</w:t>
      </w:r>
    </w:p>
    <w:p w:rsidR="00075DFC" w:rsidP="00075DFC" w:rsidRDefault="00075DFC" w14:paraId="767AFF7C" w14:textId="77777777">
      <w:pPr>
        <w:keepNext w:val="1"/>
        <w:jc w:val="center"/>
      </w:pPr>
      <w:r w:rsidRPr="00075DFC">
        <w:rPr>
          <w:noProof/>
          <w:lang w:val="es-CO"/>
        </w:rPr>
        <w:drawing>
          <wp:inline distT="0" distB="0" distL="0" distR="0" wp14:anchorId="15F1F1D4" wp14:editId="0298F10A">
            <wp:extent cx="3924147" cy="3919993"/>
            <wp:effectExtent l="0" t="0" r="635" b="4445"/>
            <wp:docPr id="1948776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366" cy="392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DFC" w:rsidP="00075DFC" w:rsidRDefault="00075DFC" w14:paraId="56A87AA5" w14:textId="19E8F947">
      <w:pPr>
        <w:pStyle w:val="Descripcin"/>
        <w:jc w:val="center"/>
        <w:rPr>
          <w:lang w:val="es-CO"/>
        </w:rPr>
      </w:pPr>
      <w:r w:rsidRPr="00075DFC">
        <w:rPr>
          <w:lang w:val="es-CO"/>
        </w:rPr>
        <w:t xml:space="preserve">Ilustración </w:t>
      </w:r>
      <w:r>
        <w:fldChar w:fldCharType="begin"/>
      </w:r>
      <w:r w:rsidRPr="00075DFC">
        <w:rPr>
          <w:lang w:val="es-CO"/>
        </w:rPr>
        <w:instrText xml:space="preserve"> SEQ Ilustración \* ARABIC </w:instrText>
      </w:r>
      <w:r>
        <w:fldChar w:fldCharType="separate"/>
      </w:r>
      <w:r w:rsidRPr="00075DFC">
        <w:rPr>
          <w:noProof/>
          <w:lang w:val="es-CO"/>
        </w:rPr>
        <w:t>1</w:t>
      </w:r>
      <w:r>
        <w:fldChar w:fldCharType="end"/>
      </w:r>
      <w:r w:rsidRPr="00075DFC">
        <w:rPr>
          <w:lang w:val="es-CO"/>
        </w:rPr>
        <w:t xml:space="preserve"> Decisiones de diseño para sistemas de población de ontologías</w:t>
      </w:r>
      <w:r>
        <w:rPr>
          <w:lang w:val="es-CO"/>
        </w:rPr>
        <w:t>. El círculo interior representa los aspectos a considerar. Los círculos exteriores representan las posibles decisiones.</w:t>
      </w:r>
    </w:p>
    <w:p w:rsidRPr="00916BFA" w:rsidR="00916BFA" w:rsidP="00916BFA" w:rsidRDefault="00916BFA" w14:paraId="50FCA964" w14:textId="3BE66B8A">
      <w:pPr>
        <w:rPr>
          <w:lang w:val="es-CO"/>
        </w:rPr>
      </w:pPr>
      <w:r>
        <w:rPr>
          <w:lang w:val="es-CO"/>
        </w:rPr>
        <w:t>Para el actual proyecto, se proponen las siguientes decisiones de diseño para la población de la ontología del modelo COGAF</w:t>
      </w:r>
    </w:p>
    <w:p w:rsidR="004975EE" w:rsidP="004975EE" w:rsidRDefault="004975EE" w14:paraId="7BF6134A" w14:textId="24E244EA">
      <w:pPr>
        <w:pStyle w:val="Prrafodelista"/>
        <w:numPr>
          <w:ilvl w:val="0"/>
          <w:numId w:val="1"/>
        </w:numPr>
        <w:rPr>
          <w:lang w:val="es-CO"/>
        </w:rPr>
      </w:pPr>
      <w:r w:rsidRPr="7F67B23F" w:rsidR="004975EE">
        <w:rPr>
          <w:lang w:val="es-CO"/>
        </w:rPr>
        <w:t xml:space="preserve">Tipo de instancias de conceptos: Entidades exactas y </w:t>
      </w:r>
      <w:r w:rsidRPr="7F67B23F" w:rsidR="38BDB2A7">
        <w:rPr>
          <w:lang w:val="es-CO"/>
        </w:rPr>
        <w:t>sintagmas nominales</w:t>
      </w:r>
    </w:p>
    <w:p w:rsidR="004975EE" w:rsidP="004975EE" w:rsidRDefault="004975EE" w14:paraId="5260EB48" w14:textId="5701DFF6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Tipo de instancias de relaciones: Taxonómicas y no taxonómicas</w:t>
      </w:r>
    </w:p>
    <w:p w:rsidR="004975EE" w:rsidP="004975EE" w:rsidRDefault="004975EE" w14:paraId="288B1A2B" w14:textId="656FE658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Dependencia de dominio: Específico del dominio</w:t>
      </w:r>
    </w:p>
    <w:p w:rsidR="004975EE" w:rsidP="004975EE" w:rsidRDefault="004975EE" w14:paraId="1AAEF20B" w14:textId="7120050C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Comprobación de redundancia y consistencia. A definir</w:t>
      </w:r>
    </w:p>
    <w:p w:rsidR="004975EE" w:rsidP="004975EE" w:rsidRDefault="004975EE" w14:paraId="1224EDE5" w14:textId="79911370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Tipo de documentos de entrada: Textos</w:t>
      </w:r>
    </w:p>
    <w:p w:rsidR="004975EE" w:rsidP="004975EE" w:rsidRDefault="004975EE" w14:paraId="73E3836D" w14:textId="5AB51511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Intervención experta: Requerida para proveer ejemplos de entrenamiento.</w:t>
      </w:r>
    </w:p>
    <w:p w:rsidRPr="004975EE" w:rsidR="004975EE" w:rsidP="004975EE" w:rsidRDefault="004975EE" w14:paraId="7491412B" w14:textId="01A16703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Método utilizado: Machine Learning</w:t>
      </w:r>
    </w:p>
    <w:sectPr w:rsidRPr="004975EE" w:rsidR="004975EE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gLNfV0VdIDn3sQ" int2:id="kPwZOQGf">
      <int2:state int2:type="AugLoop_Text_Critique" int2:value="Rejected"/>
    </int2:textHash>
    <int2:textHash int2:hashCode="6p/7brSl8Wf2op" int2:id="YxACF7G0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">
    <w:nsid w:val="78f2b0f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52553DFF"/>
    <w:multiLevelType w:val="hybridMultilevel"/>
    <w:tmpl w:val="628E77F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1"/>
  </w:num>
  <w:num w:numId="1" w16cid:durableId="1879852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22F"/>
    <w:rsid w:val="000631A0"/>
    <w:rsid w:val="00075DFC"/>
    <w:rsid w:val="004975EE"/>
    <w:rsid w:val="008D422F"/>
    <w:rsid w:val="00916BFA"/>
    <w:rsid w:val="00CB2556"/>
    <w:rsid w:val="0330690C"/>
    <w:rsid w:val="088D6814"/>
    <w:rsid w:val="2C680A38"/>
    <w:rsid w:val="38BDB2A7"/>
    <w:rsid w:val="553E23CE"/>
    <w:rsid w:val="5F1659B4"/>
    <w:rsid w:val="5F1659B4"/>
    <w:rsid w:val="64B37297"/>
    <w:rsid w:val="6B025351"/>
    <w:rsid w:val="6FC35015"/>
    <w:rsid w:val="74AC0D8E"/>
    <w:rsid w:val="7EADA214"/>
    <w:rsid w:val="7F67B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5DB61"/>
  <w15:chartTrackingRefBased/>
  <w15:docId w15:val="{918F506E-6AB4-4D1F-82D2-E251D3169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422F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D422F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D42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42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42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42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42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42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42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8D422F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/>
    <w:rsid w:val="008D422F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/>
    <w:rsid w:val="008D422F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8D422F"/>
    <w:rPr>
      <w:rFonts w:eastAsiaTheme="majorEastAsia" w:cstheme="majorBidi"/>
      <w:i/>
      <w:iCs/>
      <w:color w:val="0F4761" w:themeColor="accent1" w:themeShade="BF"/>
    </w:rPr>
  </w:style>
  <w:style w:type="character" w:styleId="Ttulo5Car" w:customStyle="1">
    <w:name w:val="Título 5 Car"/>
    <w:basedOn w:val="Fuentedeprrafopredeter"/>
    <w:link w:val="Ttulo5"/>
    <w:uiPriority w:val="9"/>
    <w:semiHidden/>
    <w:rsid w:val="008D422F"/>
    <w:rPr>
      <w:rFonts w:eastAsiaTheme="majorEastAsia" w:cstheme="majorBidi"/>
      <w:color w:val="0F4761" w:themeColor="accent1" w:themeShade="BF"/>
    </w:rPr>
  </w:style>
  <w:style w:type="character" w:styleId="Ttulo6Car" w:customStyle="1">
    <w:name w:val="Título 6 Car"/>
    <w:basedOn w:val="Fuentedeprrafopredeter"/>
    <w:link w:val="Ttulo6"/>
    <w:uiPriority w:val="9"/>
    <w:semiHidden/>
    <w:rsid w:val="008D422F"/>
    <w:rPr>
      <w:rFonts w:eastAsiaTheme="majorEastAsia" w:cstheme="majorBidi"/>
      <w:i/>
      <w:iCs/>
      <w:color w:val="595959" w:themeColor="text1" w:themeTint="A6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8D422F"/>
    <w:rPr>
      <w:rFonts w:eastAsiaTheme="majorEastAsia" w:cstheme="majorBidi"/>
      <w:color w:val="595959" w:themeColor="text1" w:themeTint="A6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8D422F"/>
    <w:rPr>
      <w:rFonts w:eastAsiaTheme="majorEastAsia" w:cstheme="majorBidi"/>
      <w:i/>
      <w:iCs/>
      <w:color w:val="272727" w:themeColor="text1" w:themeTint="D8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8D422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D422F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8D422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42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8D42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D422F"/>
    <w:pPr>
      <w:spacing w:before="160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8D422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422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D422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422F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8D422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D422F"/>
    <w:rPr>
      <w:b/>
      <w:bCs/>
      <w:smallCaps/>
      <w:color w:val="0F4761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unhideWhenUsed/>
    <w:qFormat/>
    <w:rsid w:val="00075DFC"/>
    <w:pPr>
      <w:spacing w:after="200" w:line="240" w:lineRule="auto"/>
    </w:pPr>
    <w:rPr>
      <w:i/>
      <w:iCs/>
      <w:color w:val="0E2841" w:themeColor="text2"/>
      <w:sz w:val="18"/>
      <w:szCs w:val="18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image" Target="media/image1.emf" Id="rId5" /><Relationship Type="http://schemas.openxmlformats.org/officeDocument/2006/relationships/webSettings" Target="webSettings.xml" Id="rId4" /><Relationship Type="http://schemas.microsoft.com/office/2020/10/relationships/intelligence" Target="intelligence2.xml" Id="Rd370dd3c793f499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Alejandro Velasquez Arango</dc:creator>
  <keywords/>
  <dc:description/>
  <lastModifiedBy>Claudia Yamile Gómez Llanez</lastModifiedBy>
  <revision>4</revision>
  <dcterms:created xsi:type="dcterms:W3CDTF">2024-02-26T04:40:00.0000000Z</dcterms:created>
  <dcterms:modified xsi:type="dcterms:W3CDTF">2024-02-26T15:13:01.3967191Z</dcterms:modified>
</coreProperties>
</file>