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4B2E83"/>
          <w:sz w:val="22"/>
        </w:rPr>
        <w:t>PLAN EJECUTIVO IT</w:t>
      </w:r>
      <w:r>
        <w:rPr>
          <w:rFonts w:ascii="Calibri" w:hAnsi="Calibri"/>
          <w:b/>
          <w:color w:val="4B2E83"/>
          <w:sz w:val="22"/>
        </w:rPr>
        <w:t>PLAN EJECUTIVO IT</w:t>
      </w:r>
    </w:p>
    <w:p>
      <w:pPr>
        <w:pStyle w:val="Title"/>
        <w:spacing w:after="80"/>
      </w:pPr>
      <w:r>
        <w:t>Construimos el plan IT que Paranice necesita para escalar</w:t>
      </w:r>
    </w:p>
    <w:p>
      <w:pPr>
        <w:spacing w:after="240"/>
      </w:pPr>
      <w:r>
        <w:rPr>
          <w:rFonts w:ascii="Calibri" w:hAnsi="Calibri"/>
          <w:color w:val="7B5EA7"/>
          <w:sz w:val="24"/>
        </w:rPr>
        <w:t>Gobierno, seguridad y continuidad bajo supervisión de RRHH — PMP, agilidad, seguridad, continuidad e IA responsable</w:t>
      </w:r>
    </w:p>
    <w:p>
      <w:pPr>
        <w:spacing w:after="40"/>
      </w:pPr>
      <w:r>
        <w:rPr>
          <w:rFonts w:ascii="Calibri" w:hAnsi="Calibri"/>
          <w:b/>
          <w:color w:val="1E1356"/>
          <w:sz w:val="21"/>
        </w:rPr>
        <w:t xml:space="preserve">Empresa: </w:t>
      </w:r>
      <w:r>
        <w:rPr>
          <w:rFonts w:ascii="Calibri" w:hAnsi="Calibri"/>
          <w:color w:val="7B5EA7"/>
          <w:sz w:val="21"/>
        </w:rPr>
        <w:t>Paranice / Why Not</w:t>
      </w:r>
    </w:p>
    <w:p>
      <w:pPr>
        <w:spacing w:after="40"/>
      </w:pPr>
      <w:r>
        <w:rPr>
          <w:rFonts w:ascii="Calibri" w:hAnsi="Calibri"/>
          <w:b/>
          <w:color w:val="1E1356"/>
          <w:sz w:val="21"/>
        </w:rPr>
        <w:t xml:space="preserve">Preparado por: </w:t>
      </w:r>
      <w:r>
        <w:rPr>
          <w:rFonts w:ascii="Calibri" w:hAnsi="Calibri"/>
          <w:color w:val="7B5EA7"/>
          <w:sz w:val="21"/>
        </w:rPr>
        <w:t>Candidato Analista Sr / Coordinador IT</w:t>
      </w:r>
    </w:p>
    <w:p>
      <w:pPr>
        <w:spacing w:after="40"/>
      </w:pPr>
      <w:r>
        <w:rPr>
          <w:rFonts w:ascii="Calibri" w:hAnsi="Calibri"/>
          <w:b/>
          <w:color w:val="1E1356"/>
          <w:sz w:val="21"/>
        </w:rPr>
        <w:t xml:space="preserve">Fecha: </w:t>
      </w:r>
      <w:r>
        <w:rPr>
          <w:rFonts w:ascii="Calibri" w:hAnsi="Calibri"/>
          <w:color w:val="7B5EA7"/>
          <w:sz w:val="21"/>
        </w:rPr>
        <w:t>Mayo de 2026</w:t>
      </w:r>
    </w:p>
    <w:p>
      <w:pPr>
        <w:spacing w:after="40"/>
      </w:pPr>
      <w:r>
        <w:rPr>
          <w:rFonts w:ascii="Calibri" w:hAnsi="Calibri"/>
          <w:b/>
          <w:color w:val="1E1356"/>
          <w:sz w:val="21"/>
        </w:rPr>
        <w:t xml:space="preserve">Versión: </w:t>
      </w:r>
      <w:r>
        <w:rPr>
          <w:rFonts w:ascii="Calibri" w:hAnsi="Calibri"/>
          <w:color w:val="7B5EA7"/>
          <w:sz w:val="21"/>
        </w:rPr>
        <w:t>Documento ejecutivo formal v2</w:t>
      </w:r>
    </w:p>
    <w:p>
      <w:pPr>
        <w:spacing w:after="40"/>
      </w:pPr>
      <w:r>
        <w:rPr>
          <w:rFonts w:ascii="Calibri" w:hAnsi="Calibri"/>
          <w:b/>
          <w:color w:val="1E1356"/>
          <w:sz w:val="21"/>
        </w:rPr>
        <w:t xml:space="preserve">Estado: </w:t>
      </w:r>
      <w:r>
        <w:rPr>
          <w:rFonts w:ascii="Calibri" w:hAnsi="Calibri"/>
          <w:color w:val="7B5EA7"/>
          <w:sz w:val="21"/>
        </w:rPr>
        <w:t>Plan en ejecución desde mayo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E8F6"/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4B2E83"/>
                <w:sz w:val="22"/>
              </w:rPr>
              <w:t>Tesis ejecutiva</w:t>
            </w:r>
          </w:p>
          <w:p>
            <w:pPr>
              <w:spacing w:after="0" w:line="269" w:lineRule="auto"/>
            </w:pPr>
            <w:r>
              <w:rPr>
                <w:rFonts w:ascii="Calibri" w:hAnsi="Calibri"/>
                <w:color w:val="1E1356"/>
                <w:sz w:val="20"/>
              </w:rPr>
              <w:t>Paranice no necesita solo soporte técnico: necesita construir un plan IT formal, medible y escalable que proteja continuidad, activos, accesos, datos y crecimiento. La transición libera a RRHH de la carga técnica reconociendo que ha sostenido la operación hasta hoy.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DE8F6"/>
            <w:tcMar>
              <w:top w:w="160" w:type="dxa"/>
              <w:start w:w="140" w:type="dxa"/>
              <w:bottom w:w="16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4B2E83"/>
                <w:sz w:val="36"/>
              </w:rPr>
              <w:t>79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color w:val="1E1356"/>
                <w:sz w:val="19"/>
              </w:rPr>
              <w:t>Dispositivos base</w:t>
            </w:r>
          </w:p>
          <w:p>
            <w:pPr>
              <w:jc w:val="center"/>
            </w:pPr>
            <w:r>
              <w:rPr>
                <w:rFonts w:ascii="Calibri" w:hAnsi="Calibri"/>
                <w:color w:val="7B5EA7"/>
                <w:sz w:val="17"/>
              </w:rPr>
              <w:t>parque actual</w:t>
            </w:r>
          </w:p>
        </w:tc>
        <w:tc>
          <w:tcPr>
            <w:tcW w:type="dxa" w:w="1872"/>
            <w:shd w:fill="EDE8F6"/>
            <w:tcMar>
              <w:top w:w="160" w:type="dxa"/>
              <w:start w:w="140" w:type="dxa"/>
              <w:bottom w:w="16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4B2E83"/>
                <w:sz w:val="36"/>
              </w:rPr>
              <w:t>63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color w:val="1E1356"/>
                <w:sz w:val="19"/>
              </w:rPr>
              <w:t>Apple estimados</w:t>
            </w:r>
          </w:p>
          <w:p>
            <w:pPr>
              <w:jc w:val="center"/>
            </w:pPr>
            <w:r>
              <w:rPr>
                <w:rFonts w:ascii="Calibri" w:hAnsi="Calibri"/>
                <w:color w:val="7B5EA7"/>
                <w:sz w:val="17"/>
              </w:rPr>
              <w:t>80% del parque</w:t>
            </w:r>
          </w:p>
        </w:tc>
        <w:tc>
          <w:tcPr>
            <w:tcW w:type="dxa" w:w="1872"/>
            <w:shd w:fill="EDE8F6"/>
            <w:tcMar>
              <w:top w:w="160" w:type="dxa"/>
              <w:start w:w="140" w:type="dxa"/>
              <w:bottom w:w="16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4B2E83"/>
                <w:sz w:val="36"/>
              </w:rPr>
              <w:t>16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color w:val="1E1356"/>
                <w:sz w:val="19"/>
              </w:rPr>
              <w:t>Windows estimados</w:t>
            </w:r>
          </w:p>
          <w:p>
            <w:pPr>
              <w:jc w:val="center"/>
            </w:pPr>
            <w:r>
              <w:rPr>
                <w:rFonts w:ascii="Calibri" w:hAnsi="Calibri"/>
                <w:color w:val="7B5EA7"/>
                <w:sz w:val="17"/>
              </w:rPr>
              <w:t>20% del parque</w:t>
            </w:r>
          </w:p>
        </w:tc>
        <w:tc>
          <w:tcPr>
            <w:tcW w:type="dxa" w:w="1872"/>
            <w:shd w:fill="EDE8F6"/>
            <w:tcMar>
              <w:top w:w="160" w:type="dxa"/>
              <w:start w:w="140" w:type="dxa"/>
              <w:bottom w:w="16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4B2E83"/>
                <w:sz w:val="36"/>
              </w:rPr>
              <w:t>8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color w:val="1E1356"/>
                <w:sz w:val="19"/>
              </w:rPr>
              <w:t>Stock objetivo</w:t>
            </w:r>
          </w:p>
          <w:p>
            <w:pPr>
              <w:jc w:val="center"/>
            </w:pPr>
            <w:r>
              <w:rPr>
                <w:rFonts w:ascii="Calibri" w:hAnsi="Calibri"/>
                <w:color w:val="7B5EA7"/>
                <w:sz w:val="17"/>
              </w:rPr>
              <w:t>10% de seguridad</w:t>
            </w:r>
          </w:p>
        </w:tc>
        <w:tc>
          <w:tcPr>
            <w:tcW w:type="dxa" w:w="1872"/>
            <w:shd w:fill="EDE8F6"/>
            <w:tcMar>
              <w:top w:w="160" w:type="dxa"/>
              <w:start w:w="140" w:type="dxa"/>
              <w:bottom w:w="16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4B2E83"/>
                <w:sz w:val="36"/>
              </w:rPr>
              <w:t>&lt;1h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color w:val="1E1356"/>
                <w:sz w:val="19"/>
              </w:rPr>
              <w:t>SLA salida sensible</w:t>
            </w:r>
          </w:p>
          <w:p>
            <w:pPr>
              <w:jc w:val="center"/>
            </w:pPr>
            <w:r>
              <w:rPr>
                <w:rFonts w:ascii="Calibri" w:hAnsi="Calibri"/>
                <w:color w:val="7B5EA7"/>
                <w:sz w:val="17"/>
              </w:rPr>
              <w:t>excolaborador</w:t>
            </w:r>
          </w:p>
        </w:tc>
      </w:tr>
    </w:tbl>
    <w:p>
      <w:pPr>
        <w:spacing w:after="80"/>
      </w:pPr>
    </w:p>
    <w:p>
      <w:pPr>
        <w:pStyle w:val="Heading1"/>
      </w:pPr>
      <w:r>
        <w:t>1. Resumen ejecutivo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Este documento presenta el plan de creación y madurez inicial de la función IT de Paranice. Parte de un hecho crítico informado durante el proceso de selección: actualmente no existe un área formal de TI y RRHH está asumiendo estas responsabilidades con conocimiento parcial.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La propuesta no impone una estructura pesada. Construimos una capacidad IT proporcional al tamaño y momento de crecimiento de Paranice: gobernada, medible, cercana al negocio y preparada para incorporar IA con responsabilidad.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E8F6"/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4B2E83"/>
                <w:sz w:val="22"/>
              </w:rPr>
              <w:t>Decisión recomendada</w:t>
            </w:r>
          </w:p>
          <w:p>
            <w:pPr>
              <w:spacing w:after="0" w:line="269" w:lineRule="auto"/>
            </w:pPr>
            <w:r>
              <w:rPr>
                <w:rFonts w:ascii="Calibri" w:hAnsi="Calibri"/>
                <w:color w:val="1E1356"/>
                <w:sz w:val="20"/>
              </w:rPr>
              <w:t>Ejecutar un programa de 90 días para transiciónar responsabilidades desde RRHH hacia IT, cerrar riesgos críticos, ordenar activos y accesos, activar controles base y lanzar pilotos de IA responsable.</w:t>
            </w:r>
          </w:p>
        </w:tc>
      </w:tr>
    </w:tbl>
    <w:p>
      <w:pPr>
        <w:spacing w:after="40"/>
      </w:pPr>
    </w:p>
    <w:p>
      <w:pPr>
        <w:pStyle w:val="Heading1"/>
      </w:pPr>
      <w:r>
        <w:t>2. Contexto y lectura de negocio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Paranice es una marca de alimentos y bebidas en crecimiento, con expansión a Panamá, fuerte componente de marca y comunidad, y uso intensivo de SaaS. La vacante de Analista Sr / Coordinador IT señala un rol que debe liderar infraestructura, soporte, seguridad, herramientas digitales y ERP (SAP Business One).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Dato</w:t>
            </w:r>
          </w:p>
        </w:tc>
        <w:tc>
          <w:tcPr>
            <w:tcW w:type="dxa" w:w="35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Lectura gerencial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Implicación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79 dispositivos</w:t>
            </w:r>
          </w:p>
        </w:tc>
        <w:tc>
          <w:tcPr>
            <w:tcW w:type="dxa" w:w="35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Parque con necesidad de control formal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Inventario, MDM, stock y ciclo de vida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80% Apple / 20% Windows</w:t>
            </w:r>
          </w:p>
        </w:tc>
        <w:tc>
          <w:tcPr>
            <w:tcW w:type="dxa" w:w="35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Ecosistema mixto con predominio Apple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MDM Apple prioritario, Windows complementario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Sin área IT formal</w:t>
            </w:r>
          </w:p>
        </w:tc>
        <w:tc>
          <w:tcPr>
            <w:tcW w:type="dxa" w:w="35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Madurez operativa en construcción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Transición RRHH → IT y gobierno mínimo viable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RRHH custodia IT</w:t>
            </w:r>
          </w:p>
        </w:tc>
        <w:tc>
          <w:tcPr>
            <w:tcW w:type="dxa" w:w="35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Solución temporal por necesidad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Separar evento laboral de ejecución técnica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Google, Slack, Adobe, SAP</w:t>
            </w:r>
          </w:p>
        </w:tc>
        <w:tc>
          <w:tcPr>
            <w:tcW w:type="dxa" w:w="35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Operación dependiente de SaaS y ERP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IAM, MFA, SSO/SCIM y recertificación trimestral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Marca y piezas creativas</w:t>
            </w:r>
          </w:p>
        </w:tc>
        <w:tc>
          <w:tcPr>
            <w:tcW w:type="dxa" w:w="35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Propiedad intelectual sensible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Control Drive/Adobe y revisión humana en IA</w:t>
            </w:r>
          </w:p>
        </w:tc>
      </w:tr>
    </w:tbl>
    <w:p>
      <w:pPr>
        <w:spacing w:after="40"/>
      </w:pPr>
    </w:p>
    <w:p>
      <w:pPr>
        <w:pStyle w:val="Heading1"/>
      </w:pPr>
      <w:r>
        <w:t>3. Diagnóstico cuantificado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Línea base de planeación. Se valida con inventario real, rotación mensual y tiempos de compra.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Variable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Cálculo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Resultado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Meta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Dispositivos Apple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79 × 80%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63 equipos aprox.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100% inventariados día 30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Dispositivos Windows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79 × 20%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16 equipos aprox.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100% inventariados día 30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Stock seguridad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79 × 10%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8 equipos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6 Apple + 2 Windows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Punto de reposición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50% del stock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4 equipos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Comprar al caer por debajo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Stock de crecimiento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12–15% del parque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10–12 equipos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Si contratación acelera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Offboarding sensible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SLA recomendado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&lt; 1 hora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100% salidas críticas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MDM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Cobertura progresiva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85% día 60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95% cifrado día 90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IA responsable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Pilotos controlados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2–3 pilotos día 60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Roadmap IA día 90</w:t>
            </w:r>
          </w:p>
        </w:tc>
      </w:tr>
    </w:tbl>
    <w:p>
      <w:pPr>
        <w:spacing w:after="40"/>
      </w:pPr>
    </w:p>
    <w:p>
      <w:pPr>
        <w:pStyle w:val="Heading1"/>
      </w:pPr>
      <w:r>
        <w:t>4. Evidencia externa y relevancia para Paranice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Las cifras externas justifican los controles base como relevantes incluso en empresas medianas.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Fuente</w:t>
            </w:r>
          </w:p>
        </w:tc>
        <w:tc>
          <w:tcPr>
            <w:tcW w:type="dxa" w:w="381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Dato 2025</w:t>
            </w:r>
          </w:p>
        </w:tc>
        <w:tc>
          <w:tcPr>
            <w:tcW w:type="dxa" w:w="33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Lectura para Paranice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IBM Cost of a Data Breach 2025</w:t>
            </w:r>
          </w:p>
        </w:tc>
        <w:tc>
          <w:tcPr>
            <w:tcW w:type="dxa" w:w="381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Costo promedio global: USD 4.44M. Organizaciones con IA/automatización ahorraron USD 1.9M y redujeron 80 días el ciclo de brecha.</w:t>
            </w:r>
          </w:p>
        </w:tc>
        <w:tc>
          <w:tcPr>
            <w:tcW w:type="dxa" w:w="33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MFA, logs, MDM e IA gobernada reducen exposición y tiempo de respuesta.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IBM — Shadow AI 2025</w:t>
            </w:r>
          </w:p>
        </w:tc>
        <w:tc>
          <w:tcPr>
            <w:tcW w:type="dxa" w:w="381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13% de organizaciones reportó brechas de modelos/apps IA; 97% sin controles de acceso; shadow AI elevó costos en USD 670K.</w:t>
            </w:r>
          </w:p>
        </w:tc>
        <w:tc>
          <w:tcPr>
            <w:tcW w:type="dxa" w:w="33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La IA debe entrar con política, datos clasificados y herramientas aprobadas.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Verizon DBIR 2025</w:t>
            </w:r>
          </w:p>
        </w:tc>
        <w:tc>
          <w:tcPr>
            <w:tcW w:type="dxa" w:w="381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22.000+ incidentes analizados; credenciales abusadas en 22% de brechas; vulnerabilidades explotadas en 20%.</w:t>
            </w:r>
          </w:p>
        </w:tc>
        <w:tc>
          <w:tcPr>
            <w:tcW w:type="dxa" w:w="33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MFA, mínimo privilegio, gestión de vulnerabilidades y Zero Trust son respuestas directas.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McKinsey State of AI 2025</w:t>
            </w:r>
          </w:p>
        </w:tc>
        <w:tc>
          <w:tcPr>
            <w:tcW w:type="dxa" w:w="381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88% de organizaciones con uso regular de IA; 23% escala IA agente; 39% experimenta con agentes.</w:t>
            </w:r>
          </w:p>
        </w:tc>
        <w:tc>
          <w:tcPr>
            <w:tcW w:type="dxa" w:w="33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Paranice adopta IA con mesura: pilotos útiles primero, agentes críticos después.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Calibri" w:hAnsi="Calibri"/>
          <w:i/>
          <w:color w:val="9E92B8"/>
          <w:sz w:val="16"/>
        </w:rPr>
        <w:t>Fuentes: IBM Newsroom 2025 · Verizon DBIR 2025 · McKinsey State of AI 2025. Ver sección 15 para enlaces.</w:t>
      </w:r>
    </w:p>
    <w:p>
      <w:pPr>
        <w:pStyle w:val="Heading1"/>
      </w:pPr>
      <w:r>
        <w:t>5. Objetivos SMART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Objetivo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30 días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60 días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90 días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Activos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100% de 79 dispositivos identificados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85% bajo MDM o plan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95% cifrados con políticas base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Accesos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MFA en admins y apps críticas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Matriz por rol aprobada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SSO/SCIM donde aplique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Offboarding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Checklist y SLA operativos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Integrado con RRHH y Finanzas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Auditoría y mejora del proceso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Stock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Política de stock aprobada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8 equipos disponibles o en compra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Punto de reposición activo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RRHH → IT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Responsabilidades técnicas transferidas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RRHH como solicitante/aprobador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IT con KPIs y dashboard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IA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Política e inventario de uso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2–3 pilotos medidos</w:t>
            </w:r>
          </w:p>
        </w:tc>
        <w:tc>
          <w:tcPr>
            <w:tcW w:type="dxa" w:w="24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Roadmap IA 6–12 meses</w:t>
            </w:r>
          </w:p>
        </w:tc>
      </w:tr>
    </w:tbl>
    <w:p>
      <w:pPr>
        <w:spacing w:after="40"/>
      </w:pPr>
    </w:p>
    <w:p>
      <w:pPr>
        <w:pStyle w:val="Heading1"/>
      </w:pPr>
      <w:r>
        <w:t>6. Modelo operativo RRHH / IT / Finanzas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Separamos responsabilidades para reducir riesgo y evitar fricción. RRHH conserva el ownership del evento laboral; IT asume la ejecución técnica; Finanzas controla activos y compras; los líderes aprueban accesos.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Proceso</w:t>
            </w:r>
          </w:p>
        </w:tc>
        <w:tc>
          <w:tcPr>
            <w:tcW w:type="dxa" w:w="180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RRHH</w:t>
            </w:r>
          </w:p>
        </w:tc>
        <w:tc>
          <w:tcPr>
            <w:tcW w:type="dxa" w:w="20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IT</w:t>
            </w:r>
          </w:p>
        </w:tc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Finanzas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Líder/Legal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Alta colaborador</w:t>
            </w:r>
          </w:p>
        </w:tc>
        <w:tc>
          <w:tcPr>
            <w:tcW w:type="dxa" w:w="180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A/R evento laboral</w:t>
            </w:r>
          </w:p>
        </w:tc>
        <w:tc>
          <w:tcPr>
            <w:tcW w:type="dxa" w:w="20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 técnico</w:t>
            </w:r>
          </w:p>
        </w:tc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 activos/licencias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Líder aprueba rol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Baja colaborador</w:t>
            </w:r>
          </w:p>
        </w:tc>
        <w:tc>
          <w:tcPr>
            <w:tcW w:type="dxa" w:w="180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A/R fecha efectiva</w:t>
            </w:r>
          </w:p>
        </w:tc>
        <w:tc>
          <w:tcPr>
            <w:tcW w:type="dxa" w:w="20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A/R accesos y equipos</w:t>
            </w:r>
          </w:p>
        </w:tc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 activos/licencias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Legal si hay riesgo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Accesos</w:t>
            </w:r>
          </w:p>
        </w:tc>
        <w:tc>
          <w:tcPr>
            <w:tcW w:type="dxa" w:w="180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</w:t>
            </w:r>
          </w:p>
        </w:tc>
        <w:tc>
          <w:tcPr>
            <w:tcW w:type="dxa" w:w="20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A/R ejecución</w:t>
            </w:r>
          </w:p>
        </w:tc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Líder A/C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Compra equipo</w:t>
            </w:r>
          </w:p>
        </w:tc>
        <w:tc>
          <w:tcPr>
            <w:tcW w:type="dxa" w:w="180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</w:t>
            </w:r>
          </w:p>
        </w:tc>
        <w:tc>
          <w:tcPr>
            <w:tcW w:type="dxa" w:w="20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 especificación</w:t>
            </w:r>
          </w:p>
        </w:tc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A/R presupuesto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Líder C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IA responsable</w:t>
            </w:r>
          </w:p>
        </w:tc>
        <w:tc>
          <w:tcPr>
            <w:tcW w:type="dxa" w:w="180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 impacto personas</w:t>
            </w:r>
          </w:p>
        </w:tc>
        <w:tc>
          <w:tcPr>
            <w:tcW w:type="dxa" w:w="20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A/R política y controles</w:t>
            </w:r>
          </w:p>
        </w:tc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 costo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Legal C datos/IP</w:t>
            </w:r>
          </w:p>
        </w:tc>
      </w:tr>
    </w:tbl>
    <w:p>
      <w:pPr>
        <w:spacing w:after="40"/>
      </w:pPr>
    </w:p>
    <w:p>
      <w:pPr>
        <w:pStyle w:val="Heading1"/>
      </w:pPr>
      <w:r>
        <w:t>7. Plan de acción 30 / 60 / 90 días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36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Horizonte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Foco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Acciones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Entregables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0–48 h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Contención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Kickoff RRHH/Finanzas; MFA admins; canal único; inventario usuarios activos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Mapa inicial de riesgos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Semana 1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Diagnóstico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Inventario express: activos, apps, licencias, accesos, uso de IA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Inventario v1 y riesgos v1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Semana 2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Gobierno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RACI, SLAs, offboarding, matriz de accesos, política de stock, política de IA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Modelo operativo v1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Semana 3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Controles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Baseline Google/Slack, MDM, objetivo Zero Trust, pilotos IA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Políticas y pilotos definidos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Semana 4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Reporte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Dashboard, simulacro offboarding, business case, roadmap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Reporte ejecutivo día 30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31–60 días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Implementación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MDM oleada 1, SSO/SCIM, piloto Zero Trust (Cloudflare/Tailscale), base conocimiento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Controles repetibles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61–90 días</w:t>
            </w:r>
          </w:p>
        </w:tc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Escalamiento</w:t>
            </w:r>
          </w:p>
        </w:tc>
        <w:tc>
          <w:tcPr>
            <w:tcW w:type="dxa" w:w="388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Auditoría accesos, automatización, continuidad, roadmap anual e IA responsable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Roadmap anual y KPIs</w:t>
            </w:r>
          </w:p>
        </w:tc>
      </w:tr>
    </w:tbl>
    <w:p>
      <w:pPr>
        <w:spacing w:after="40"/>
      </w:pPr>
    </w:p>
    <w:p>
      <w:pPr>
        <w:pStyle w:val="Heading1"/>
      </w:pPr>
      <w:r>
        <w:t>8. Riesgos prioritarios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Priorizados por probabilidad, impacto en continuidad y potencial de fuga de información.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Riesgo</w:t>
            </w:r>
          </w:p>
        </w:tc>
        <w:tc>
          <w:tcPr>
            <w:tcW w:type="dxa" w:w="15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Criticidad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Respuesta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KPI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Excolaborador con acceso activo</w:t>
            </w:r>
          </w:p>
        </w:tc>
        <w:tc>
          <w:tcPr>
            <w:tcW w:type="dxa" w:w="15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Crítico (9/9)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Checklist, SLA &lt; 1h, SCIM, auditoría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0 cuentas fuera de SLA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Activos sin responsable</w:t>
            </w:r>
          </w:p>
        </w:tc>
        <w:tc>
          <w:tcPr>
            <w:tcW w:type="dxa" w:w="15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Crítico (9/9)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Inventario, etiquetas, ciclo de vida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100% activos con responsable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Equipos sin MDM/cifrado</w:t>
            </w:r>
          </w:p>
        </w:tc>
        <w:tc>
          <w:tcPr>
            <w:tcW w:type="dxa" w:w="15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Crítico (9/9)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MDM oleadas, FileVault/BitLocker, bloqueo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95% endpoints día 90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Shadow AI</w:t>
            </w:r>
          </w:p>
        </w:tc>
        <w:tc>
          <w:tcPr>
            <w:tcW w:type="dxa" w:w="15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Crítico (9/9)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Política IA, clasificación datos, aprobadas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0 incidentes por IA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Credenciales compartidas/débiles</w:t>
            </w:r>
          </w:p>
        </w:tc>
        <w:tc>
          <w:tcPr>
            <w:tcW w:type="dxa" w:w="15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Alto (6/9)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MFA, mínimo privilegio, alertas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100% admins con MFA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RRHH sobrecargado con IT</w:t>
            </w:r>
          </w:p>
        </w:tc>
        <w:tc>
          <w:tcPr>
            <w:tcW w:type="dxa" w:w="151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Alto (6/9)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Transición formal RRHH → IT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Táreas IT transferidas día 30</w:t>
            </w:r>
          </w:p>
        </w:tc>
      </w:tr>
    </w:tbl>
    <w:p>
      <w:pPr>
        <w:spacing w:after="40"/>
      </w:pPr>
    </w:p>
    <w:p>
      <w:pPr>
        <w:pStyle w:val="Heading1"/>
      </w:pPr>
      <w:r>
        <w:t>9. Seguridad de accesos y Zero Trust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La arquitectura recomendada parte de identidad, no de red. Cada usuario tiene el acceso justo, desde dispositivos confiables y con trazabilidad completa.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Control</w:t>
            </w:r>
          </w:p>
        </w:tc>
        <w:tc>
          <w:tcPr>
            <w:tcW w:type="dxa" w:w="44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Aplicación inicial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Meta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MFA</w:t>
            </w:r>
          </w:p>
        </w:tc>
        <w:tc>
          <w:tcPr>
            <w:tcW w:type="dxa" w:w="44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Google Workspace, Slack, SAP, Adobe, admins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100% cuentas críticas día 30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Mínimo privilegio</w:t>
            </w:r>
          </w:p>
        </w:tc>
        <w:tc>
          <w:tcPr>
            <w:tcW w:type="dxa" w:w="44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Roles por área y criticidad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Matriz aprobada día 60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SSO / SCIM</w:t>
            </w:r>
          </w:p>
        </w:tc>
        <w:tc>
          <w:tcPr>
            <w:tcW w:type="dxa" w:w="44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Slack, ClickUp, Adobe y apps compatibles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Oleada 1 día 60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MDM</w:t>
            </w:r>
          </w:p>
        </w:tc>
        <w:tc>
          <w:tcPr>
            <w:tcW w:type="dxa" w:w="44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Apple primero, Windows complementario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85% día 60 / 95% día 90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Zero Trust</w:t>
            </w:r>
          </w:p>
        </w:tc>
        <w:tc>
          <w:tcPr>
            <w:tcW w:type="dxa" w:w="44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Piloto con IT, Finanzas y usuarios SAP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Piloto día 60 (Cloudflare/Tailscale)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Recertificación</w:t>
            </w:r>
          </w:p>
        </w:tc>
        <w:tc>
          <w:tcPr>
            <w:tcW w:type="dxa" w:w="44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Accesos críticos trimestrales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Primera auditoría día 90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E8F6"/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4B2E83"/>
                <w:sz w:val="22"/>
              </w:rPr>
              <w:t>VPN vs Zero Trust</w:t>
            </w:r>
          </w:p>
          <w:p>
            <w:pPr>
              <w:spacing w:after="0" w:line="269" w:lineRule="auto"/>
            </w:pPr>
            <w:r>
              <w:rPr>
                <w:rFonts w:ascii="Calibri" w:hAnsi="Calibri"/>
                <w:color w:val="1E1356"/>
                <w:sz w:val="20"/>
              </w:rPr>
              <w:t>La VPN es el puente de transición para recursos on-premise y SAP. Zero Trust es el destino: conecta al recurso exacto, verifica usuario + dispositivo + contexto, y permite revocación granular. Evaluamos Cloudflare Zero Trust o Tailscale según arquitectura real, SAP, presupuesto y experiencia de usuario. No decidimos por marca sin diagnóstico.</w:t>
            </w:r>
          </w:p>
        </w:tc>
      </w:tr>
    </w:tbl>
    <w:p>
      <w:pPr>
        <w:spacing w:after="40"/>
      </w:pPr>
    </w:p>
    <w:p>
      <w:pPr>
        <w:pStyle w:val="Heading1"/>
      </w:pPr>
      <w:r>
        <w:t>10. Onboarding sin stock disponible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Si entra alguien mañana y no hay equipo disponible, ejecutamos este protocolo en 4 pasos. La ausencia de stock no bloquea el negocio ni crea un agujero de seguridad.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Paso</w:t>
            </w:r>
          </w:p>
        </w:tc>
        <w:tc>
          <w:tcPr>
            <w:tcW w:type="dxa" w:w="381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Acción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Dueño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Condición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1 — Evaluar criticidad</w:t>
            </w:r>
          </w:p>
        </w:tc>
        <w:tc>
          <w:tcPr>
            <w:tcW w:type="dxa" w:w="381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¿Impacta ventas, operación o finanzas? Determina urgencia.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IT + RRHH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Siempre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2 — Buscar recuperable</w:t>
            </w:r>
          </w:p>
        </w:tc>
        <w:tc>
          <w:tcPr>
            <w:tcW w:type="dxa" w:w="381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Equipos devueltos, reparaciones activas o préstamo temporal de IT.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IT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Antes de excepción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3 — Excepción controlada</w:t>
            </w:r>
          </w:p>
        </w:tc>
        <w:tc>
          <w:tcPr>
            <w:tcW w:type="dxa" w:w="381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BYOD solo vía web, MFA obligatorio, sin sync local, fecha límite.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IT + Liderazgo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Con aprobación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4 — Compra express</w:t>
            </w:r>
          </w:p>
        </w:tc>
        <w:tc>
          <w:tcPr>
            <w:tcW w:type="dxa" w:w="381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Registro del riesgo, aprobación Finanzas, cierre al llegar el equipo.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IT + Finanzas</w:t>
            </w:r>
          </w:p>
        </w:tc>
        <w:tc>
          <w:tcPr>
            <w:tcW w:type="dxa" w:w="165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Paralelo al paso 3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BE6"/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4B2E83"/>
                <w:sz w:val="22"/>
              </w:rPr>
              <w:t>Principio irrenunciable</w:t>
            </w:r>
          </w:p>
          <w:p>
            <w:pPr>
              <w:spacing w:after="0" w:line="269" w:lineRule="auto"/>
            </w:pPr>
            <w:r>
              <w:rPr>
                <w:rFonts w:ascii="Calibri" w:hAnsi="Calibri"/>
                <w:color w:val="1E1356"/>
                <w:sz w:val="20"/>
              </w:rPr>
              <w:t>Toda excepción tiene: dueño visible · fecha límite · control de datos. Sin estas tres condiciones, no existe la excepción.</w:t>
            </w:r>
          </w:p>
        </w:tc>
      </w:tr>
    </w:tbl>
    <w:p>
      <w:pPr>
        <w:spacing w:after="40"/>
      </w:pPr>
    </w:p>
    <w:p>
      <w:pPr>
        <w:pStyle w:val="Heading1"/>
      </w:pPr>
      <w:r>
        <w:t>11. Protocolo de offboarding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El caso del colaborador comercial que renunció con accesos activos (Gmail, Adobe CC, Slack, Drive, MacBook y celular) expone el riesgo real. El protocolo cierra la ventana en menos de 1 hora.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6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Paso</w:t>
            </w:r>
          </w:p>
        </w:tc>
        <w:tc>
          <w:tcPr>
            <w:tcW w:type="dxa" w:w="619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Acción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Dueño</w:t>
            </w:r>
          </w:p>
        </w:tc>
      </w:tr>
      <w:tr>
        <w:tc>
          <w:tcPr>
            <w:tcW w:type="dxa" w:w="6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1</w:t>
            </w:r>
          </w:p>
        </w:tc>
        <w:tc>
          <w:tcPr>
            <w:tcW w:type="dxa" w:w="619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RRHH notifica salida y criticidad del rol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RRHH</w:t>
            </w:r>
          </w:p>
        </w:tc>
      </w:tr>
      <w:tr>
        <w:tc>
          <w:tcPr>
            <w:tcW w:type="dxa" w:w="6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2</w:t>
            </w:r>
          </w:p>
        </w:tc>
        <w:tc>
          <w:tcPr>
            <w:tcW w:type="dxa" w:w="619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IT suspende Google Workspace y revoca sesiones activas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IT</w:t>
            </w:r>
          </w:p>
        </w:tc>
      </w:tr>
      <w:tr>
        <w:tc>
          <w:tcPr>
            <w:tcW w:type="dxa" w:w="6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3</w:t>
            </w:r>
          </w:p>
        </w:tc>
        <w:tc>
          <w:tcPr>
            <w:tcW w:type="dxa" w:w="619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IT cierra Slack, Adobe Creative Cloud, ClickUp y SAP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IT</w:t>
            </w:r>
          </w:p>
        </w:tc>
      </w:tr>
      <w:tr>
        <w:tc>
          <w:tcPr>
            <w:tcW w:type="dxa" w:w="6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4</w:t>
            </w:r>
          </w:p>
        </w:tc>
        <w:tc>
          <w:tcPr>
            <w:tcW w:type="dxa" w:w="619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IT transfiere Drive y propiedad de archivos de marca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IT + RRHH</w:t>
            </w:r>
          </w:p>
        </w:tc>
      </w:tr>
      <w:tr>
        <w:tc>
          <w:tcPr>
            <w:tcW w:type="dxa" w:w="6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5</w:t>
            </w:r>
          </w:p>
        </w:tc>
        <w:tc>
          <w:tcPr>
            <w:tcW w:type="dxa" w:w="619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MDM bloquea MacBook y celular corporativo de forma remota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IT</w:t>
            </w:r>
          </w:p>
        </w:tc>
      </w:tr>
      <w:tr>
        <w:tc>
          <w:tcPr>
            <w:tcW w:type="dxa" w:w="64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6</w:t>
            </w:r>
          </w:p>
        </w:tc>
        <w:tc>
          <w:tcPr>
            <w:tcW w:type="dxa" w:w="619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Finanzas cierra el activo, IT y Finanzas documentan evidencia</w:t>
            </w:r>
          </w:p>
        </w:tc>
        <w:tc>
          <w:tcPr>
            <w:tcW w:type="dxa" w:w="252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Finanzas + IT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E8F6"/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4B2E83"/>
                <w:sz w:val="22"/>
              </w:rPr>
              <w:t>SLA objetivo para salidas sensibles: &lt; 1 hora</w:t>
            </w:r>
          </w:p>
          <w:p>
            <w:pPr>
              <w:spacing w:after="0" w:line="269" w:lineRule="auto"/>
            </w:pPr>
            <w:r>
              <w:rPr>
                <w:rFonts w:ascii="Calibri" w:hAnsi="Calibri"/>
                <w:color w:val="1E1356"/>
                <w:sz w:val="20"/>
              </w:rPr>
              <w:t>Gmail · Slack · Drive · Adobe · SAP · MacBook · Celular corporativo. Salida programada: revocación en fecha/hora efectiva. Salida normal: mismo día hábil.</w:t>
            </w:r>
          </w:p>
        </w:tc>
      </w:tr>
    </w:tbl>
    <w:p>
      <w:pPr>
        <w:spacing w:after="40"/>
      </w:pPr>
    </w:p>
    <w:p>
      <w:pPr>
        <w:pStyle w:val="Heading2"/>
      </w:pPr>
      <w:r>
        <w:t>Áreas que participan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Área</w:t>
            </w:r>
          </w:p>
        </w:tc>
        <w:tc>
          <w:tcPr>
            <w:tcW w:type="dxa" w:w="76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8"/>
              </w:rPr>
              <w:t>Rol en el proceso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RRHH</w:t>
            </w:r>
          </w:p>
        </w:tc>
        <w:tc>
          <w:tcPr>
            <w:tcW w:type="dxa" w:w="76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Notifica la salida y su criticidad. Aprueba la fecha efectiva.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IT</w:t>
            </w:r>
          </w:p>
        </w:tc>
        <w:tc>
          <w:tcPr>
            <w:tcW w:type="dxa" w:w="76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Ejecuta todos los controles técnicos: accesos, MDM, Drive y documentación.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Finanzas</w:t>
            </w:r>
          </w:p>
        </w:tc>
        <w:tc>
          <w:tcPr>
            <w:tcW w:type="dxa" w:w="76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Cierra el activo en el sistema y valida la devolución de equipos y licencias.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Legal</w:t>
            </w:r>
          </w:p>
        </w:tc>
        <w:tc>
          <w:tcPr>
            <w:tcW w:type="dxa" w:w="76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8"/>
              </w:rPr>
              <w:t>Interviene si hay riesgo legal, contractual o de confidencialidad.</w:t>
            </w:r>
          </w:p>
        </w:tc>
      </w:tr>
    </w:tbl>
    <w:p>
      <w:pPr>
        <w:spacing w:after="40"/>
      </w:pPr>
    </w:p>
    <w:p>
      <w:pPr>
        <w:pStyle w:val="Heading1"/>
      </w:pPr>
      <w:r>
        <w:t>12. Adopción mesurada de Inteligencia Artificial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La IA aumenta productividad sin crear una nueva superficie de fuga de información.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BE6"/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4B2E83"/>
                <w:sz w:val="22"/>
              </w:rPr>
              <w:t>Regla de oro</w:t>
            </w:r>
          </w:p>
          <w:p>
            <w:pPr>
              <w:spacing w:after="0" w:line="269" w:lineRule="auto"/>
            </w:pPr>
            <w:r>
              <w:rPr>
                <w:rFonts w:ascii="Calibri" w:hAnsi="Calibri"/>
                <w:color w:val="1E1356"/>
                <w:sz w:val="20"/>
              </w:rPr>
              <w:t>Nunca: datos de SAP, credenciales, contratos, precios, información comercial sensible, archivos restringidos ni datos personales en herramientas personales o no aprobadas.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7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Piloto IA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Valor esperado</w:t>
            </w:r>
          </w:p>
        </w:tc>
        <w:tc>
          <w:tcPr>
            <w:tcW w:type="dxa" w:w="108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Riesgo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Control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Base de conocimiento IT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Reduce tickets repetitivos y estándariza respuestas</w:t>
            </w:r>
          </w:p>
        </w:tc>
        <w:tc>
          <w:tcPr>
            <w:tcW w:type="dxa" w:w="108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Bajo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Contenido no sensible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Resumen/clasificación tickets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Mejora SLAs y priorización automática</w:t>
            </w:r>
          </w:p>
        </w:tc>
        <w:tc>
          <w:tcPr>
            <w:tcW w:type="dxa" w:w="108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Bajo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Herramienta corporativa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Checklists onboarding/offboarding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Reduce olvidos y reprocesos operativos</w:t>
            </w:r>
          </w:p>
        </w:tc>
        <w:tc>
          <w:tcPr>
            <w:tcW w:type="dxa" w:w="108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Medio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IT aprueba accesos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Análisis de licencias</w:t>
            </w:r>
          </w:p>
        </w:tc>
        <w:tc>
          <w:tcPr>
            <w:tcW w:type="dxa" w:w="32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Detecta cuentas huérfanas y costos evitables</w:t>
            </w:r>
          </w:p>
        </w:tc>
        <w:tc>
          <w:tcPr>
            <w:tcW w:type="dxa" w:w="108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Medio</w:t>
            </w:r>
          </w:p>
        </w:tc>
        <w:tc>
          <w:tcPr>
            <w:tcW w:type="dxa" w:w="266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Minimización de datos</w:t>
            </w:r>
          </w:p>
        </w:tc>
      </w:tr>
    </w:tbl>
    <w:p>
      <w:pPr>
        <w:spacing w:after="40"/>
      </w:pPr>
    </w:p>
    <w:p>
      <w:pPr>
        <w:pStyle w:val="Heading1"/>
      </w:pPr>
      <w:r>
        <w:t>13. Presupuesto por escenarios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El presupuesto se aprueba por fases. Primero cerramos riesgos de alto impacto y bajo costo.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Escenario</w:t>
            </w:r>
          </w:p>
        </w:tc>
        <w:tc>
          <w:tcPr>
            <w:tcW w:type="dxa" w:w="360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Incluye</w:t>
            </w:r>
          </w:p>
        </w:tc>
        <w:tc>
          <w:tcPr>
            <w:tcW w:type="dxa" w:w="280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Costo estimado</w:t>
            </w:r>
          </w:p>
        </w:tc>
        <w:tc>
          <w:tcPr>
            <w:tcW w:type="dxa" w:w="14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6"/>
              </w:rPr>
              <w:t>Riesgo residual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Básico</w:t>
            </w:r>
          </w:p>
        </w:tc>
        <w:tc>
          <w:tcPr>
            <w:tcW w:type="dxa" w:w="360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Gobierno, inventario, MFA, offboarding, canal único, política IA</w:t>
            </w:r>
          </w:p>
        </w:tc>
        <w:tc>
          <w:tcPr>
            <w:tcW w:type="dxa" w:w="280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USD 0–500/mes + hardware</w:t>
            </w:r>
          </w:p>
        </w:tc>
        <w:tc>
          <w:tcPr>
            <w:tcW w:type="dxa" w:w="14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Mayor trabajo manual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Recomendado</w:t>
            </w:r>
          </w:p>
        </w:tc>
        <w:tc>
          <w:tcPr>
            <w:tcW w:type="dxa" w:w="360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Básico + MDM, stock completo, piloto Zero Trust, SSO/SCIM, pilotos IA</w:t>
            </w:r>
          </w:p>
        </w:tc>
        <w:tc>
          <w:tcPr>
            <w:tcW w:type="dxa" w:w="280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MDM USD 4–12.50/disp/mes; Tailscale USD 8/user/mes; impl. USD 2k–8k</w:t>
            </w:r>
          </w:p>
        </w:tc>
        <w:tc>
          <w:tcPr>
            <w:tcW w:type="dxa" w:w="14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Dependencia de licenciamiento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Ideal</w:t>
            </w:r>
          </w:p>
        </w:tc>
        <w:tc>
          <w:tcPr>
            <w:tcW w:type="dxa" w:w="360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Recomendado + SASE, DLP, SIEM, ITSM dedicado, IA corporativa amplia</w:t>
            </w:r>
          </w:p>
        </w:tc>
        <w:tc>
          <w:tcPr>
            <w:tcW w:type="dxa" w:w="2808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Cotización enterprise según alcance</w:t>
            </w:r>
          </w:p>
        </w:tc>
        <w:tc>
          <w:tcPr>
            <w:tcW w:type="dxa" w:w="1440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6"/>
              </w:rPr>
              <w:t>Puede sobredimensionar fase inicial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Calibri" w:hAnsi="Calibri"/>
          <w:i/>
          <w:color w:val="9E92B8"/>
          <w:sz w:val="16"/>
        </w:rPr>
        <w:t>Referencias: Jamf · Microsoft Intune · Tailscale · Cloudflare Zero Trust · Google Workspace. Hardware requiere cotización local.</w:t>
      </w:r>
    </w:p>
    <w:p>
      <w:pPr>
        <w:pStyle w:val="Heading1"/>
      </w:pPr>
      <w:r>
        <w:t>14. Proyección de impacto a 90 días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Línea de impacto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Indicador base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Meta 90 días</w:t>
            </w:r>
          </w:p>
        </w:tc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  <w:shd w:fill="EDE8F6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4B2E83"/>
                <w:sz w:val="17"/>
              </w:rPr>
              <w:t>Beneficio esperado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Continuidad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Sin stock formal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8 equipos y reposición &lt; 4</w:t>
            </w:r>
          </w:p>
        </w:tc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Ingresos nunca bloqueados por equipo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Seguridad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MFA/MDM parcial o desconocido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100% admins MFA / 95% endpoints</w:t>
            </w:r>
          </w:p>
        </w:tc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Menor exposición por robo o phishing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Costos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Licencias huérfanas desconocidas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Reporte mensual activo</w:t>
            </w:r>
          </w:p>
        </w:tc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Ahorro por recuperación de licencias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RRHH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Gestión técnica informal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IT asume carga técnica</w:t>
            </w:r>
          </w:p>
        </w:tc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RRHH enfocado en personas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Soporte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Solicitudes dispersas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90% por canal único</w:t>
            </w:r>
          </w:p>
        </w:tc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Mayor trazabilidad y SLAs medibles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IA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Uso informal no medido</w:t>
            </w:r>
          </w:p>
        </w:tc>
        <w:tc>
          <w:tcPr>
            <w:tcW w:type="dxa" w:w="223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2–3 pilotos medidos</w:t>
            </w:r>
          </w:p>
        </w:tc>
        <w:tc>
          <w:tcPr>
            <w:tcW w:type="dxa" w:w="2952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E1356"/>
                <w:sz w:val="17"/>
              </w:rPr>
              <w:t>Horas ahorradas y menor reproceso</w:t>
            </w:r>
          </w:p>
        </w:tc>
      </w:tr>
    </w:tbl>
    <w:p>
      <w:pPr>
        <w:spacing w:after="40"/>
      </w:pPr>
    </w:p>
    <w:p>
      <w:pPr>
        <w:pStyle w:val="Heading1"/>
      </w:pPr>
      <w:r>
        <w:t>15. Cierre ejecutivo</w:t>
      </w:r>
    </w:p>
    <w:p>
      <w:pPr>
        <w:spacing w:after="100" w:line="269" w:lineRule="auto"/>
      </w:pPr>
      <w:r>
        <w:rPr>
          <w:rFonts w:ascii="Calibri" w:hAnsi="Calibri"/>
          <w:i w:val="0"/>
          <w:color w:val="1E1356"/>
          <w:sz w:val="21"/>
        </w:rPr>
        <w:t>Iniciamos con el escenario recomendado por fases. En los primeros 30 días operamos con controles de bajo costo y alto impacto: inventario, MFA, offboarding, matriz de accesos, canal único y política IA. Entre los días 31 y 60 implementamos MDM, piloto Zero Trust, SSO/SCIM y pilotos IA. En 90 días tenemos una función IT medible con dashboard, auditoría de accesos, roadmap anual y presupuesto ajustado.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D4F0E8"/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E1356"/>
                <w:sz w:val="22"/>
              </w:rPr>
              <w:t>Mensaje de cierre</w:t>
            </w:r>
          </w:p>
          <w:p>
            <w:pPr>
              <w:spacing w:after="0" w:line="269" w:lineRule="auto"/>
            </w:pPr>
            <w:r>
              <w:rPr>
                <w:rFonts w:ascii="Calibri" w:hAnsi="Calibri"/>
                <w:color w:val="1E1356"/>
                <w:sz w:val="20"/>
              </w:rPr>
              <w:t>No buscamos hacer a Paranice burocrática. Buscamos que crezca con trazabilidad, seguridad y velocidad. IT protege el negocio, acelera la operación y habilita crecimiento con datos, controles y criterio.</w:t>
            </w:r>
          </w:p>
        </w:tc>
      </w:tr>
    </w:tbl>
    <w:p>
      <w:pPr>
        <w:spacing w:after="40"/>
      </w:pPr>
    </w:p>
    <w:p>
      <w:pPr>
        <w:pStyle w:val="Heading1"/>
      </w:pPr>
      <w:r>
        <w:t>16. Fuentes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Paranice LinkedIn: https://co.linkedin.com/company/welcometoparanice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Vacante LinkedIn: https://co.linkedin.com/jobs/view/analista-sr-coordinador-de-it-at-paranice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IBM Cost of a Data Breach 2025: https://newsroom.ibm.com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Verizon DBIR 2025: https://www.verizon.com/about/news/2025-data-breach-investigations-report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McKinsey State of AI 2025: https://www.mckinsey.com/capabilities/quantumblack/our-insights/the-state-of-ai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NIST Cybersecurity Framework 2.0: https://www.nist.gov/cyberframework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NIST Zero Trust Architecture SP 800-207: https://csrc.nist.gov/pubs/sp/800/207/final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NIST AI Risk Management Framework: https://www.nist.gov/itl/ai-risk-management-framework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Jamf pricing: https://www.jamf.com/pricing/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Microsoft Intune pricing: https://www.microsoft.com/en-us/security/business/microsoft-intune-pricing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Tailscale pricing: https://tailscale.com/pricing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18"/>
        </w:rPr>
        <w:t>Cloudflare Zero Trust: https://www.cloudflare.com/plans/zero-trust-services/</w:t>
      </w:r>
    </w:p>
    <w:p>
      <w:pPr>
        <w:pStyle w:val="Heading1"/>
      </w:pPr>
      <w:r>
        <w:t>17. Supuestos que validamos en campo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20"/>
        </w:rPr>
        <w:t>Número real de usuarios activos y contrataciones esperadas por mes.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20"/>
        </w:rPr>
        <w:t>Inventario real de equipos: fechas de compra, garantías y estado de MDM/cifrado.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20"/>
        </w:rPr>
        <w:t>Licenciamiento actual de Google Workspace, Slack, Adobe, ClickUp y SAP.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20"/>
        </w:rPr>
        <w:t>Proveedores actuales de soporte, hardware o redes.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20"/>
        </w:rPr>
        <w:t>Criticidad real de SAP y recursos internos que requieran VPN/Zero Trust.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20"/>
        </w:rPr>
        <w:t>Uso actual de herramientas de IA por cuentas personales o corporativas.</w:t>
      </w:r>
    </w:p>
    <w:p>
      <w:pPr>
        <w:pStyle w:val="ListBullet"/>
        <w:spacing w:after="60" w:line="264" w:lineRule="auto"/>
        <w:ind w:left="648" w:hanging="317"/>
      </w:pPr>
      <w:r>
        <w:rPr>
          <w:rFonts w:ascii="Calibri" w:hAnsi="Calibri"/>
          <w:sz w:val="20"/>
        </w:rPr>
        <w:t>Tiempos reales de compra y entrega de equipos Apple/Windows en Colombia.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E92B8"/>
        <w:sz w:val="17"/>
      </w:rPr>
      <w:t>Documento ejecutivo de trabajo · Confidencial · Mayo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7B5EA7"/>
        <w:sz w:val="17"/>
      </w:rPr>
      <w:t>Paranice · Plan Ejecutivo IT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4B2E8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B2E8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E13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E1356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