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2E74B5"/>
          <w:sz w:val="24"/>
        </w:rPr>
        <w:t>PLAN EJECUTIVO</w:t>
      </w:r>
    </w:p>
    <w:p>
      <w:pPr>
        <w:pStyle w:val="Title"/>
        <w:spacing w:after="80"/>
      </w:pPr>
      <w:r>
        <w:t>Creación, gobierno y madurez operativa IT para Paranice</w:t>
      </w:r>
    </w:p>
    <w:p>
      <w:pPr>
        <w:spacing w:after="280"/>
      </w:pPr>
      <w:r>
        <w:rPr>
          <w:rFonts w:ascii="Calibri" w:hAnsi="Calibri"/>
          <w:color w:val="64748B"/>
          <w:sz w:val="25"/>
        </w:rPr>
        <w:t>Respuesta formal al reto técnico de selección IT | Enfoque PMP, agilidad, seguridad, continuidad e IA responsable</w:t>
      </w:r>
    </w:p>
    <w:p>
      <w:pPr>
        <w:spacing w:after="40"/>
      </w:pPr>
      <w:r>
        <w:rPr>
          <w:rFonts w:ascii="Calibri" w:hAnsi="Calibri"/>
          <w:b/>
        </w:rPr>
        <w:t xml:space="preserve">Preparado para: </w:t>
      </w:r>
      <w:r>
        <w:rPr>
          <w:rFonts w:ascii="Calibri" w:hAnsi="Calibri"/>
        </w:rPr>
        <w:t>Paranice / Why Not</w:t>
      </w:r>
    </w:p>
    <w:p>
      <w:pPr>
        <w:spacing w:after="40"/>
      </w:pPr>
      <w:r>
        <w:rPr>
          <w:rFonts w:ascii="Calibri" w:hAnsi="Calibri"/>
          <w:b/>
        </w:rPr>
        <w:t xml:space="preserve">Preparado por: </w:t>
      </w:r>
      <w:r>
        <w:rPr>
          <w:rFonts w:ascii="Calibri" w:hAnsi="Calibri"/>
        </w:rPr>
        <w:t>Candidato a Analista Sr / Coordinador IT</w:t>
      </w:r>
    </w:p>
    <w:p>
      <w:pPr>
        <w:spacing w:after="40"/>
      </w:pPr>
      <w:r>
        <w:rPr>
          <w:rFonts w:ascii="Calibri" w:hAnsi="Calibri"/>
          <w:b/>
        </w:rPr>
        <w:t xml:space="preserve">Fecha: </w:t>
      </w:r>
      <w:r>
        <w:rPr>
          <w:rFonts w:ascii="Calibri" w:hAnsi="Calibri"/>
        </w:rPr>
        <w:t>Mayo de 2026</w:t>
      </w:r>
    </w:p>
    <w:p>
      <w:pPr>
        <w:spacing w:after="40"/>
      </w:pPr>
      <w:r>
        <w:rPr>
          <w:rFonts w:ascii="Calibri" w:hAnsi="Calibri"/>
          <w:b/>
        </w:rPr>
        <w:t xml:space="preserve">Versión: </w:t>
      </w:r>
      <w:r>
        <w:rPr>
          <w:rFonts w:ascii="Calibri" w:hAnsi="Calibri"/>
        </w:rPr>
        <w:t>Documento formal de trabajo - v1</w:t>
      </w:r>
    </w:p>
    <w:p>
      <w:pPr>
        <w:spacing w:after="40"/>
      </w:pPr>
      <w:r>
        <w:rPr>
          <w:rFonts w:ascii="Calibri" w:hAnsi="Calibri"/>
          <w:b/>
        </w:rPr>
        <w:t xml:space="preserve">Enfoque: </w:t>
      </w:r>
      <w:r>
        <w:rPr>
          <w:rFonts w:ascii="Calibri" w:hAnsi="Calibri"/>
        </w:rPr>
        <w:t>Crear función IT desde una operación actualmente custodiada por RRHH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Tesis ejecutiva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Paranice no necesita solo soporte técnico; necesita crear una función IT formal, medible y escalable que proteja continuidad, activos, accesos, datos y crecimiento. La transición debe liberar a RRHH de la carga técnica, sin desconocer que ha sostenido la operación hasta hoy.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32"/>
              </w:rPr>
              <w:t>79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Parque base</w:t>
            </w:r>
          </w:p>
          <w:p>
            <w:pPr>
              <w:jc w:val="center"/>
            </w:pPr>
            <w:r>
              <w:rPr>
                <w:rFonts w:ascii="Calibri" w:hAnsi="Calibri"/>
                <w:color w:val="64748B"/>
                <w:sz w:val="17"/>
              </w:rPr>
              <w:t>dispositivos actuales</w:t>
            </w:r>
          </w:p>
        </w:tc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32"/>
              </w:rPr>
              <w:t>63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Apple estimado</w:t>
            </w:r>
          </w:p>
          <w:p>
            <w:pPr>
              <w:jc w:val="center"/>
            </w:pPr>
            <w:r>
              <w:rPr>
                <w:rFonts w:ascii="Calibri" w:hAnsi="Calibri"/>
                <w:color w:val="64748B"/>
                <w:sz w:val="17"/>
              </w:rPr>
              <w:t>80% del parque</w:t>
            </w:r>
          </w:p>
        </w:tc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32"/>
              </w:rPr>
              <w:t>16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Windows estimado</w:t>
            </w:r>
          </w:p>
          <w:p>
            <w:pPr>
              <w:jc w:val="center"/>
            </w:pPr>
            <w:r>
              <w:rPr>
                <w:rFonts w:ascii="Calibri" w:hAnsi="Calibri"/>
                <w:color w:val="64748B"/>
                <w:sz w:val="17"/>
              </w:rPr>
              <w:t>20% del parque</w:t>
            </w:r>
          </w:p>
        </w:tc>
        <w:tc>
          <w:tcPr>
            <w:tcW w:type="dxa" w:w="2340"/>
            <w:shd w:fill="E8EEF5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32"/>
              </w:rPr>
              <w:t>8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Stock sugerido</w:t>
            </w:r>
          </w:p>
          <w:p>
            <w:pPr>
              <w:jc w:val="center"/>
            </w:pPr>
            <w:r>
              <w:rPr>
                <w:rFonts w:ascii="Calibri" w:hAnsi="Calibri"/>
                <w:color w:val="64748B"/>
                <w:sz w:val="17"/>
              </w:rPr>
              <w:t>10% de seguridad</w:t>
            </w:r>
          </w:p>
        </w:tc>
      </w:tr>
    </w:tbl>
    <w:p>
      <w:pPr>
        <w:spacing w:after="80"/>
      </w:pPr>
    </w:p>
    <w:p>
      <w:pPr>
        <w:pStyle w:val="Heading1"/>
      </w:pPr>
      <w:r>
        <w:t>1. Resumen ejecutivo</w:t>
      </w:r>
    </w:p>
    <w:p>
      <w:pPr>
        <w:spacing w:after="120" w:line="264" w:lineRule="auto"/>
      </w:pPr>
      <w:r>
        <w:rPr>
          <w:rFonts w:ascii="Calibri" w:hAnsi="Calibri"/>
        </w:rPr>
        <w:t>Este documento propone la creación y madurez inicial de la función IT de Paranice con enfoque gerencial, técnico y operativo. La propuesta parte de un hecho crítico informado durante la llamada de selección: actualmente no existe un área formal de TI y RRHH está asumiendo estas responsabilidades con conocimiento parcial.</w:t>
      </w:r>
    </w:p>
    <w:p>
      <w:pPr>
        <w:spacing w:after="120" w:line="264" w:lineRule="auto"/>
      </w:pPr>
      <w:r>
        <w:rPr>
          <w:rFonts w:ascii="Calibri" w:hAnsi="Calibri"/>
        </w:rPr>
        <w:t>La recomendación no es imponer una estructura pesada. El objetivo es construir una capacidad IT proporcional al tamano y momento de crecimiento de Paranice: gobernada, medible, cercana al negocio y preparada para incorporar tecnologia moderna, incluyendo Inteligencia Artificial, con responsabilidad.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Decisión recomendada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Aprobar un programa de 90 días para transiciónar responsabilidades desde RRHH hacia IT, cerrar riesgos críticos, ordenar activos y accesos, activar controles base, definir stock de seguridad e iniciar pilotos de IA responsable.</w:t>
            </w:r>
          </w:p>
        </w:tc>
      </w:tr>
    </w:tbl>
    <w:p>
      <w:pPr>
        <w:spacing w:after="40"/>
      </w:pPr>
    </w:p>
    <w:p>
      <w:pPr>
        <w:pStyle w:val="Heading1"/>
      </w:pPr>
      <w:r>
        <w:t>2. Contexto y lectura de negocio</w:t>
      </w:r>
    </w:p>
    <w:p>
      <w:pPr>
        <w:spacing w:after="120" w:line="264" w:lineRule="auto"/>
      </w:pPr>
      <w:r>
        <w:rPr>
          <w:rFonts w:ascii="Calibri" w:hAnsi="Calibri"/>
        </w:rPr>
        <w:t>Paranice es una marca de alimentos y bebidas en crecimiento, con fuerte componente de marca, creatividad, comunidad, operación comercial y uso de herramientas SaaS. La vacante de Analista Sr / Coordinador IT sugiere un rol que debe liderar infraestructura, soporte, seguridad, herramientas digitales y ERP, idealmente SAP Business One.</w:t>
      </w:r>
    </w:p>
    <w:p>
      <w:pPr>
        <w:spacing w:after="120" w:line="264" w:lineRule="auto"/>
      </w:pPr>
      <w:r>
        <w:rPr>
          <w:rFonts w:ascii="Calibri" w:hAnsi="Calibri"/>
        </w:rPr>
        <w:t>El reto técnico plantea problemás que normalmente aparecen cuando una empresa crece más rápido que su estructura IT: stock insuficiente, accesos no gobernados, offboarding tardio, falta de inventario confiable y dudas sobre VPN/Zero Trust.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Dato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Lectura gerencial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Implicacion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79 dispositivos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Parque suficiente para requerir control formal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Inventario, MDM, stock y ciclo de vida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80% Apple / 20% Windows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Ecosistema mixto con predominio Apple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MDM Apple prioritario y control Windows complementario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Sin área IT formal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Madurez operativa en construccion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Transición RRHH -&gt; IT y gobierno mínimo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RRHH custodia IT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Solucion temporal por necesidad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Separar evento laboral de ejecucion técnica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Uso de Google, Slack, Adobe, ClickUp, SAP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Operación dependiente de SaaS y ERP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IAM, MFA, SSO/SCIM y recertificacion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Marca y piezas creativas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Propiedad intelectual sensible</w:t>
            </w:r>
          </w:p>
        </w:tc>
        <w:tc>
          <w:tcPr>
            <w:tcW w:type="dxa" w:w="38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Control Drive/Adobe y revision humana en IA</w:t>
            </w:r>
          </w:p>
        </w:tc>
      </w:tr>
    </w:tbl>
    <w:p>
      <w:pPr>
        <w:spacing w:after="40"/>
      </w:pPr>
    </w:p>
    <w:p>
      <w:pPr>
        <w:pStyle w:val="Heading1"/>
      </w:pPr>
      <w:r>
        <w:t>3. Diagnóstico cuantificado</w:t>
      </w:r>
    </w:p>
    <w:p>
      <w:pPr>
        <w:spacing w:after="120" w:line="264" w:lineRule="auto"/>
      </w:pPr>
      <w:r>
        <w:rPr>
          <w:rFonts w:ascii="Calibri" w:hAnsi="Calibri"/>
        </w:rPr>
        <w:t>Los calculos siguientes son una línea base de planeacion. Deben validarse con inventario real, rotacion mensual, tiempos de compra y criticidad por área.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Variable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Calculo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Resultado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Dispositivos Apple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 x 80%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63 equipos aprox.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100% inventariados día 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Dispositivos Windows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 x 20%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16 equipos aprox.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100% inventariados día 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Stock seguridad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79 x 10%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8 equipos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6 Apple + 2 Windows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Punto reposicion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50% del stock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4 equipos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Comprar/reponer al caer por debajo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Stock objetivo crecimiento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12%-15% del parque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10-12 equipos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Aplicar si contratacion acelera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Offboarding sensible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SLA recomendado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&lt; 1 hora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100% de salidas críticas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MDM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Cobertura progresiva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85% día 60 / 95% día 90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Cifrado y políticas base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IA responsable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Pilotos controlados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2-3 pilotos día 60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Roadmap IA día 90</w:t>
            </w:r>
          </w:p>
        </w:tc>
      </w:tr>
    </w:tbl>
    <w:p>
      <w:pPr>
        <w:spacing w:after="40"/>
      </w:pPr>
    </w:p>
    <w:p>
      <w:pPr>
        <w:pStyle w:val="Heading1"/>
      </w:pPr>
      <w:r>
        <w:t>4. Evidencia externa y relevancia para Paranice</w:t>
      </w:r>
    </w:p>
    <w:p>
      <w:pPr>
        <w:spacing w:after="120" w:line="264" w:lineRule="auto"/>
      </w:pPr>
      <w:r>
        <w:rPr>
          <w:rFonts w:ascii="Calibri" w:hAnsi="Calibri"/>
        </w:rPr>
        <w:t>Las cifras externas no se usan para sobredimensionar la solucion, sino para justificar por que los controles base son relevantes incluso en empresas medianas o en crecimiento.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Fuente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Dato 2025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Lectura para Paranice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IBM Cost of a Data Breach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Costo promedio global de brecha: USD 4.44 millones; organizaciones con IA/automatizacion en seguridad ahorraron USD 1.9 millones y redujeron 80 días el ciclo de brecha.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MFA, logs, MDM, deteccion interna e IA gobernada reducen exposicion y tiempos de respuesta.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IBM - IA y shadow AI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13% reporto brechas de modelos/apps IA; 97% de las afectadas no tenia controles de acceso de IA; shadow AI elevo costos promedio en USD 670,000.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La IA debe entrar con política, datos clasificados y herramientas aprobadas.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Verizon DBIR 2025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Más de 22,000 incidentes analizados y 12,195 brechas confirmadas; abuso de credenciales 22% y explotacion de vulnerabilidades 20% como vectores iniciales.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MFA, mínimo privilegio, gestión de vulnerabilidades y Zero Trust atacan riesgos reales.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McKinsey State of AI 2025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88% de organizaciones reporta uso regular de IA en al menos una función; 23% escala IA agentica y 39% experimenta con agentes.</w:t>
            </w:r>
          </w:p>
        </w:tc>
        <w:tc>
          <w:tcPr>
            <w:tcW w:type="dxa" w:w="33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Paranice debe adoptar IA con mesura: pilotos útiles primero, agentes críticos despues.</w:t>
            </w:r>
          </w:p>
        </w:tc>
      </w:tr>
    </w:tbl>
    <w:p>
      <w:pPr>
        <w:spacing w:after="40"/>
      </w:pPr>
    </w:p>
    <w:p>
      <w:pPr>
        <w:spacing w:before="0" w:after="80" w:line="240" w:lineRule="auto"/>
      </w:pPr>
      <w:r>
        <w:rPr>
          <w:rFonts w:ascii="Calibri" w:hAnsi="Calibri"/>
          <w:i/>
          <w:color w:val="64748B"/>
          <w:sz w:val="17"/>
        </w:rPr>
        <w:t>Fuentes: IBM Newsroom 2025, Verizon DBIR 2025, McKinsey State of AI 2025. Detalle de enlaces en seccion Fuentes.</w:t>
      </w:r>
    </w:p>
    <w:p>
      <w:pPr>
        <w:pStyle w:val="Heading1"/>
      </w:pPr>
      <w:r>
        <w:t>5. Objetivos SMART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Objetivo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30 días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60 días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90 días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Activos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100% de 79 dispositivos identificados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85% bajo MDM o plan de enrolamiento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95% cifrados y con políticas base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Accesos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MFA en admins y apps críticas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Matriz por rol aprobada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SSO/SCIM donde licenciamiento lo permita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Offboarding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Checklist y SLA implementados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Integrado con RRHH/Finanzas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Auditoría y mejora del proceso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Stock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Política aprobada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8 equipos disponibles o compra activa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Punto de reposicion operativo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RRHH -&gt; IT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Responsabilidades técnicas transferidas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RRHH como solicitante/aprobador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Gobierno IT con KPIs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Política e inventario de uso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2-3 pilotos medidos</w:t>
            </w:r>
          </w:p>
        </w:tc>
        <w:tc>
          <w:tcPr>
            <w:tcW w:type="dxa" w:w="24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Roadmap IA 6-12 meses</w:t>
            </w:r>
          </w:p>
        </w:tc>
      </w:tr>
    </w:tbl>
    <w:p>
      <w:pPr>
        <w:spacing w:after="40"/>
      </w:pPr>
    </w:p>
    <w:p>
      <w:pPr>
        <w:pStyle w:val="Heading1"/>
      </w:pPr>
      <w:r>
        <w:t>6. Modelo operativo propuesto</w:t>
      </w:r>
    </w:p>
    <w:p>
      <w:pPr>
        <w:spacing w:after="120" w:line="264" w:lineRule="auto"/>
      </w:pPr>
      <w:r>
        <w:rPr>
          <w:rFonts w:ascii="Calibri" w:hAnsi="Calibri"/>
        </w:rPr>
        <w:t>El modelo separa responsabilidades para reducir riesgo y evitar friccion. RRHH conserva el ownership del evento laboral; IT asume la ejecucion técnica; Finanzas controla activos, licencias y compras; los lideres aprueban accesos por rol.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Proceso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RRHH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IT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Finanzas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Lider/Legal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colaborador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evento laboral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 técnico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 activos/licencias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Lider aprueba rol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Baja colaborador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fecha efectiva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accesos y equipos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 activos/licencias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Legal si riesgo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Accesos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ejecucion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Lider A/C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Compra equipo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 especificacion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presupuesto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Lider C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IA responsable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 por impacto personas</w:t>
            </w:r>
          </w:p>
        </w:tc>
        <w:tc>
          <w:tcPr>
            <w:tcW w:type="dxa" w:w="208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A/R política y controles</w:t>
            </w:r>
          </w:p>
        </w:tc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 costo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Legal C datos/IP</w:t>
            </w:r>
          </w:p>
        </w:tc>
      </w:tr>
    </w:tbl>
    <w:p>
      <w:pPr>
        <w:spacing w:after="40"/>
      </w:pPr>
    </w:p>
    <w:p>
      <w:pPr>
        <w:pStyle w:val="Heading1"/>
      </w:pPr>
      <w:r>
        <w:t>7. Plan 30/60/90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Horizonte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Foco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Acciones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Entregables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0-48 horas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Contencion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Kickoff RRHH/Finanzas; admins; MFA; usuarios activos; canal unico; uso informal de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Mapa inicial de riesgos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Semana 1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Diagnóstico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Inventario express de activos, apps, licencias, accesos y herramientas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Inventario v1 y riesgos v1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Semana 2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Gobierno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RACI, SLAs, offboarding, matriz accesos, política stock, política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Modelo operativo v1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Semana 3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Controles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Baseline Google/Slack, MDM, Zero Trust objetivo, pilotos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Políticas y pilotos definidos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Semana 4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Reporte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Dashboard, simulacro offboarding, business case, roadmap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Reporte ejecutivo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31-60 días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Implementación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MDM oleada 1, SSO/SCIM, Zero Trust piloto, base conocimiento, pilotos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Controles repetibles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61-90 días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Escala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Auditoría accesos, automatizacion, continuidad, roadmap anual e IA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Roadmap anual y KPIs</w:t>
            </w:r>
          </w:p>
        </w:tc>
      </w:tr>
    </w:tbl>
    <w:p>
      <w:pPr>
        <w:spacing w:after="40"/>
      </w:pPr>
    </w:p>
    <w:p>
      <w:pPr>
        <w:pStyle w:val="Heading1"/>
      </w:pPr>
      <w:r>
        <w:t>8. Riesgos prioritarios</w:t>
      </w:r>
    </w:p>
    <w:p>
      <w:pPr>
        <w:spacing w:after="120" w:line="264" w:lineRule="auto"/>
      </w:pPr>
      <w:r>
        <w:rPr>
          <w:rFonts w:ascii="Calibri" w:hAnsi="Calibri"/>
        </w:rPr>
        <w:t>Se priorizan riesgos por probabilidad, impacto en continuidad, posibilidad de fuga de información y dependencia operativa.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Riesgo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Criticidad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Respuesta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Meta/KPI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Excolaborador con acceso activo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(9/9)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Checklist, SLA, SCIM, auditoría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0 cuentas fuera de SLA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Activos sin responsable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(9/9)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Inventario, etiquetas, ciclo de vida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100% activos con responsable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Equipos sin MDM/cifrado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(9/9)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MDM, FileVault/BitLocker, bloqueo remoto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95% endpoints día 90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Shadow AI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(9/9)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Política IA, clasificacion datos, herramientas aprobadas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0 incidentes por IA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Credenciales comprometidas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(6/9)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MFA, mínimo privilegio, alertas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100% admins con MFA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RRHH sobrecargado con IT</w:t>
            </w:r>
          </w:p>
        </w:tc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Alta (6/9)</w:t>
            </w:r>
          </w:p>
        </w:tc>
        <w:tc>
          <w:tcPr>
            <w:tcW w:type="dxa" w:w="3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Transición formal RRHH -&gt; IT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Táreas IT transferidas día 30</w:t>
            </w:r>
          </w:p>
        </w:tc>
      </w:tr>
    </w:tbl>
    <w:p>
      <w:pPr>
        <w:spacing w:after="40"/>
      </w:pPr>
    </w:p>
    <w:p>
      <w:pPr>
        <w:pStyle w:val="Heading1"/>
      </w:pPr>
      <w:r>
        <w:t>9. Seguridad de accesos y Zero Trust</w:t>
      </w:r>
    </w:p>
    <w:p>
      <w:pPr>
        <w:spacing w:after="120" w:line="264" w:lineRule="auto"/>
      </w:pPr>
      <w:r>
        <w:rPr>
          <w:rFonts w:ascii="Calibri" w:hAnsi="Calibri"/>
        </w:rPr>
        <w:t>La arquitectura recomendada parte de identidad, no de red. El objetivo es que cada usuario tenga el acceso justo, desde dispositivos confiables y con trazabilidad.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Control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Aplicacion inicial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Meta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MFA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Google Workspace, Slack, SAP, admins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100% cuentas críticas día 30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Mínimo privilegio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Roles por área y criticidad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Matriz aprobada día 60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SSO/SCIM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Slack, ClickUp, Adobe y apps compatibles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Oleada 1 día 60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MDM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Apple primero, Windows complementario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85% día 60 / 95% día 90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Zero Trust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Piloto con IT, Finanzas y usuarios SAP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Piloto día 60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Recertificacion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Accesos críticos trimestrales</w:t>
            </w:r>
          </w:p>
        </w:tc>
        <w:tc>
          <w:tcPr>
            <w:tcW w:type="dxa" w:w="26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Primera auditoría día 90</w:t>
            </w:r>
          </w:p>
        </w:tc>
      </w:tr>
    </w:tbl>
    <w:p>
      <w:pPr>
        <w:spacing w:after="40"/>
      </w:pPr>
    </w:p>
    <w:p>
      <w:pPr>
        <w:pStyle w:val="Heading1"/>
      </w:pPr>
      <w:r>
        <w:t>10. Adopcion mesurada de Inteligencia Artificial</w:t>
      </w:r>
    </w:p>
    <w:p>
      <w:pPr>
        <w:spacing w:after="120" w:line="264" w:lineRule="auto"/>
      </w:pPr>
      <w:r>
        <w:rPr>
          <w:rFonts w:ascii="Calibri" w:hAnsi="Calibri"/>
        </w:rPr>
        <w:t>La IA debe aumentar productividad sin crear una nueva superficie de fuga de información. La propuesta es permitirla con reglas claras, no bloquearla ni habilitarla sin control.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Regla base de IA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usar datos personales, credenciales, contratos, precios, información comercial sensible, archivos internos restringidos o datos de SAP en herramientas personales o no aprobadas.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Piloto IA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Valor esperado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Riesgo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Control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Base de conocimiento IT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Reducir preguntas repetitivas y estándarizar respuestas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Bajo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Contenido no sensible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Resumen/clasificacion tickets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Mejorar SLAs y priorizacion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Anonimizacion o herramienta corporativa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Checklists onboarding/offboarding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Reducir olvidos y reprocesos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IT aprueba accesos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Analisis de licencias</w:t>
            </w:r>
          </w:p>
        </w:tc>
        <w:tc>
          <w:tcPr>
            <w:tcW w:type="dxa" w:w="33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Detectar cuentas huerfanas y costos evitables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Medio</w:t>
            </w:r>
          </w:p>
        </w:tc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Minimizacion de datos</w:t>
            </w:r>
          </w:p>
        </w:tc>
      </w:tr>
    </w:tbl>
    <w:p>
      <w:pPr>
        <w:spacing w:after="40"/>
      </w:pPr>
    </w:p>
    <w:p>
      <w:pPr>
        <w:pStyle w:val="Heading1"/>
      </w:pPr>
      <w:r>
        <w:t>11. Presupuesto por escenarios</w:t>
      </w:r>
    </w:p>
    <w:p>
      <w:pPr>
        <w:spacing w:after="120" w:line="264" w:lineRule="auto"/>
      </w:pPr>
      <w:r>
        <w:rPr>
          <w:rFonts w:ascii="Calibri" w:hAnsi="Calibri"/>
        </w:rPr>
        <w:t>El presupuesto debe aprobarse por fases. Primero se cierran riesgos de alto impacto y bajo costo; luego se cotiza e implementa MDM, stock y Zero Trust.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Escenario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Incluye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Costo inicial esperado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Riesgo residual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Basico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Gobierno, inventario, MFA, offboarding, canal unico, política IA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USD 0-500/mes + hardware cotizado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Mayor trabajo manual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Recomendado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Basico + MDM, stock completo, piloto Zero Trust, SSO/SCIM, pilotos IA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MDM desde USD 4-12.50 disp/mes; Tailscale USD 8 usuario/mes; implementación USD 2k-8k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Dependencia de licenciamiento actual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Ideal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Recomendado + SASE, DLP, SIEM, ITSM dedicado, IA corporativa amplia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Requiere cotización enterprise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6"/>
              </w:rPr>
              <w:t>Puede sobredimensionar fase inicial</w:t>
            </w:r>
          </w:p>
        </w:tc>
      </w:tr>
    </w:tbl>
    <w:p>
      <w:pPr>
        <w:spacing w:after="40"/>
      </w:pPr>
    </w:p>
    <w:p>
      <w:pPr>
        <w:spacing w:before="0" w:after="80" w:line="240" w:lineRule="auto"/>
      </w:pPr>
      <w:r>
        <w:rPr>
          <w:rFonts w:ascii="Calibri" w:hAnsi="Calibri"/>
          <w:i/>
          <w:color w:val="64748B"/>
          <w:sz w:val="17"/>
        </w:rPr>
        <w:t>Referencias de precios: Jamf, Microsoft Intune, Tailscale, Google Workspace y Cloudflare. Hardware y planes enterprise requieren cotización local.</w:t>
      </w:r>
    </w:p>
    <w:p>
      <w:pPr>
        <w:pStyle w:val="Heading1"/>
      </w:pPr>
      <w:r>
        <w:t>12. Proyección de impacto</w:t>
      </w:r>
    </w:p>
    <w:p>
      <w:pPr>
        <w:spacing w:after="120" w:line="264" w:lineRule="auto"/>
      </w:pPr>
      <w:r>
        <w:rPr>
          <w:rFonts w:ascii="Calibri" w:hAnsi="Calibri"/>
        </w:rPr>
        <w:t>La proyección combina reduccion de riesgo, ahorro operativo y mejora de productividad. No todos los beneficios son monetizables desde el día uno, pero si medibles.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Línea de impacto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Indicador base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Meta 90 días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Beneficio esperado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Continuidad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Sin stock formal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8 equipos y reposicion &lt;4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Menos ingresos bloqueados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Seguridad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MFA/MDM parcial o desconocido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100% admins MFA / 95% endpoints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Menor exposicion por robo o phishing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Costos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Licencias huerfanas desconocidas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Reporte mensual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Ahorro por recuperacion de licencias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RRHH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Gestión técnica informal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IT asume carga técnica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RRHH enfocado en personas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Soporte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Solicitudes dispersas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90% por canal unico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Mayor trazabilidad y SLAs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IA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Uso informal no medido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2-3 pilotos medidos</w:t>
            </w:r>
          </w:p>
        </w:tc>
        <w:tc>
          <w:tcPr>
            <w:tcW w:type="dxa" w:w="29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7"/>
              </w:rPr>
              <w:t>Horas ahorradas y menor reproceso</w:t>
            </w:r>
          </w:p>
        </w:tc>
      </w:tr>
    </w:tbl>
    <w:p>
      <w:pPr>
        <w:spacing w:after="40"/>
      </w:pPr>
    </w:p>
    <w:p>
      <w:pPr>
        <w:pStyle w:val="Heading1"/>
      </w:pPr>
      <w:r>
        <w:t>13. Recomendación final</w:t>
      </w:r>
    </w:p>
    <w:p>
      <w:pPr>
        <w:spacing w:after="120" w:line="264" w:lineRule="auto"/>
      </w:pPr>
      <w:r>
        <w:rPr>
          <w:rFonts w:ascii="Calibri" w:hAnsi="Calibri"/>
        </w:rPr>
        <w:t>Recomiendo iniciar con el escenario recomendado por fases. Durante los primeros 30 días se debe operar con controles de bajo costo y alto impacto: inventario, MFA, offboarding, matriz de accesos, canal unico y política IA. Entre los días 31 y 60 se deben implementar MDM, piloto Zero Trust, SSO/SCIM donde sea viable y pilotos IA. En 90 días debe existir una función IT medible, con tablero ejecutivo, auditoría de accesos, roadmap anual y presupuesto ajustado.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F5E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21"/>
              </w:rPr>
              <w:t>Mensaje de cierre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El objetivo no es volver a Paranice burocratica; es hacerla más segura, rapida y escalable. IT debe proteger el negocio, acelerar la operación y habilitar crecimiento con datos, controles y criterio.</w:t>
            </w:r>
          </w:p>
        </w:tc>
      </w:tr>
    </w:tbl>
    <w:p>
      <w:pPr>
        <w:spacing w:after="40"/>
      </w:pPr>
    </w:p>
    <w:p>
      <w:pPr>
        <w:pStyle w:val="Heading1"/>
      </w:pPr>
      <w:r>
        <w:t>14. Fuentes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Paranice LinkedIn: https://co.linkedin.com/company/welcometoparanice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Vacante LinkedIn: https://co.linkedin.com/jobs/view/analista-sr-coordinador-de-it-at-paranice-%C2%AE-4410567598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IBM Cost of a Data Breach 2025: https://newsroom.ibm.com/2025-07-30-ibm-report-13-of-organizations-reported-breaches-of-ai-models-or-applications%2C-97-of-which-reported-lacking-proper-ai-access-controls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Verizon DBIR 2025: https://www.verizon.com/about/news/2025-data-breach-investigations-report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McKinsey State of AI 2025: https://www.mckinsey.com/capabilities/quantumblack/our-insights/the-state-of-ai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NIST Cybersecurity Framework 2.0: https://www.nist.gov/cyberframework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NIST Zero Trust Architecture SP 800-207: https://csrc.nist.gov/pubs/sp/800/207/final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NIST AI Risk Management Framework: https://www.nist.gov/itl/ai-risk-management-framework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NIST AI RMF Generative AI Profile: https://www.nist.gov/publications/artificial-intelligence-risk-management-framework-generative-artificial-intelligence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ISO/IEC 42001: https://www.iso.org/standard/42001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OWASP Top 10 for LLM Applications: https://genai.owasp.org/llm-top-10/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MinTIC CONPES 4144 de 2025: https://mintic.gov.co/portal/715/w3-article-399915.html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Jamf pricing: https://www.jamf.com/pricing/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Microsoft Intune pricing: https://www.microsoft.com/en-us/security/business/microsoft-intune-pricing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Tailscale pricing: https://tailscale.com/pricing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Google Workspace pricing: https://workspace.google.com/intl/en/pricing/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Cloudflare Zero Trust pricing: https://www.cloudflare.com/plans/zero-trust-services/</w:t>
      </w:r>
    </w:p>
    <w:p>
      <w:pPr>
        <w:pStyle w:val="Heading1"/>
      </w:pPr>
      <w:r>
        <w:t>15. Anexo: supuestos que deben validarse en campo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Número real de usuarios activos y contrataciones esperadas por mes.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Inventario real de equipos, fechas de compra, garantias y estado de MDM/cifrado.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Licenciamiento actual de Google Workspace, Slack, Adobe, ClickUp y SAP.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Existencia de proveedores actuales de soporte, hardware o redes.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Criticidad real de SAP y recursos internos que requieran VPN/Zero Trust.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Uso actual de herramientas de IA por cuentas personales o corporativas.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/>
        </w:rPr>
        <w:t>Tiempos reales de compra y entrega de equipos Apple/Windows en Colombia.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>Documento de trabajo gerencial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748B"/>
        <w:sz w:val="18"/>
      </w:rPr>
      <w:t>Plan Ejecutivo IT Paranice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