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rial" w:hAnsi="Arial"/>
          <w:b/>
          <w:color w:val="1B365D"/>
          <w:sz w:val="28"/>
        </w:rPr>
        <w:t>ESCUELA TÉCNICA N°1 "NUESTRA SEÑORA DEL VALLE"</w:t>
      </w:r>
    </w:p>
    <w:p/>
    <w:p/>
    <w:p/>
    <w:p/>
    <w:p>
      <w:pPr>
        <w:jc w:val="center"/>
      </w:pPr>
      <w:r>
        <w:rPr>
          <w:rFonts w:ascii="Arial" w:hAnsi="Arial"/>
          <w:b/>
          <w:color w:val="1B365D"/>
          <w:sz w:val="44"/>
        </w:rPr>
        <w:t>SISTEMA INTEGRAL DE GESTIÓN INSTITUCIONAL</w:t>
      </w:r>
    </w:p>
    <w:p>
      <w:pPr>
        <w:jc w:val="center"/>
      </w:pPr>
      <w:r>
        <w:rPr>
          <w:rFonts w:ascii="Arial" w:hAnsi="Arial"/>
          <w:i/>
          <w:color w:val="646464"/>
          <w:sz w:val="26"/>
        </w:rPr>
        <w:t>Presentación General y Arquitectura de la Plataforma ERP</w:t>
      </w:r>
    </w:p>
    <w:p/>
    <w:p/>
    <w:p/>
    <w:p/>
    <w:p/>
    <w:p/>
    <w:p>
      <w:pPr>
        <w:ind w:left="1440"/>
        <w:jc w:val="left"/>
      </w:pPr>
      <w:r>
        <w:rPr>
          <w:rFonts w:ascii="Arial" w:hAnsi="Arial"/>
          <w:sz w:val="22"/>
        </w:rPr>
        <w:t>Proyecto de Prácticas Profesionalizantes / Integrador</w:t>
        <w:br/>
        <w:t>Tipo de Documento: Carpeta de Campo y Especificación Técnica</w:t>
        <w:br/>
        <w:t>Autor: Alumno de Escuela Técnica (E.T. N°1)</w:t>
        <w:br/>
        <w:t>Año: 2026</w:t>
        <w:br/>
        <w:t>Versión: 1.0.0</w:t>
      </w:r>
    </w:p>
    <w:p>
      <w:r>
        <w:br w:type="page"/>
      </w:r>
    </w:p>
    <w:p>
      <w:pPr>
        <w:keepNext/>
        <w:spacing w:before="240" w:after="120"/>
      </w:pPr>
      <w:r>
        <w:rPr>
          <w:rFonts w:ascii="Arial" w:hAnsi="Arial"/>
          <w:b/>
          <w:color w:val="1B365D"/>
          <w:sz w:val="36"/>
        </w:rPr>
        <w:t>1. Introducción y Justificación</w:t>
      </w:r>
    </w:p>
    <w:p>
      <w:r>
        <w:t>El presente proyecto nace de la necesidad de modernizar, digitalizar y optimizar la administración de recursos físicos y académicos dentro de la Escuela Técnica N°1 'Nuestra Señora del Valle'. La institución requería una solución modular e integrada que elimine las ineficiencias de los registros manuales en papel en múltiples dependencias, facilitando la operatividad local e independiente.</w:t>
      </w:r>
    </w:p>
    <w:p>
      <w:r>
        <w:t>Para responder a esta demanda se estructuró un ecosistema modular compuesto por subsistemas especializados (Autenticación, Oficina de Alumnos, Campus Virtual y Gestión de Pañol) bajo una arquitectura robusta cliente-servidor, con persistencia local y empaquetado en contenedores Docker.</w:t>
      </w:r>
    </w:p>
    <w:p>
      <w:pPr>
        <w:keepNext/>
        <w:spacing w:before="240" w:after="120"/>
      </w:pPr>
      <w:r>
        <w:rPr>
          <w:rFonts w:ascii="Arial" w:hAnsi="Arial"/>
          <w:b/>
          <w:color w:val="1B365D"/>
          <w:sz w:val="36"/>
        </w:rPr>
        <w:t>2. Estructura de Subsistemas</w:t>
      </w:r>
    </w:p>
    <w:p>
      <w:r>
        <w:t>El ecosistema escolar está dividido en 4 subsistemas funcionales principales, coordinados bajo un mismo núcleo tecnológico:</w:t>
        <w:br/>
        <w:br/>
        <w:t>- Subsistema de Autenticación y Seguridad (Auth): Controla el acceso seguro a través de JWT y define la jerarquía de roles.</w:t>
        <w:br/>
        <w:t>- Subsistema de Oficina de Alumnos: Gestiona legajos digitales únicos de los estudiantes y el control de cursadas y materias.</w:t>
        <w:br/>
        <w:t>- Subsistema de Campus Virtual: Plataforma de aula virtual para asignación de tareas y recepción de entregas digitales.</w:t>
        <w:br/>
        <w:t>- Subsistema de Pañol: Logística inteligente para el inventario, préstamos y devoluciones exprés de herramientas mediante códigos de barra.</w:t>
      </w:r>
    </w:p>
    <w:p>
      <w:pPr>
        <w:keepNext/>
        <w:spacing w:before="240" w:after="120"/>
      </w:pPr>
      <w:r>
        <w:rPr>
          <w:rFonts w:ascii="Arial" w:hAnsi="Arial"/>
          <w:b/>
          <w:color w:val="1B365D"/>
          <w:sz w:val="36"/>
        </w:rPr>
        <w:t>3. Arquitectura Tecnológica y Despliegue</w:t>
      </w:r>
    </w:p>
    <w:p>
      <w:r>
        <w:t>La arquitectura desacoplada permite que cada módulo de frontend consulte la API correspondiente en el backend. FastAPI proporciona una velocidad excepcional de respuesta asíncrona, interactuando mediante SQLAlchemy con la base de datos local SQLite. Para garantizar una puesta en marcha simple en cualquier equipo escolar, todo el entorno está contenedorizado con Docker Compose, lo que permite su funcionamiento de forma offline.</w:t>
      </w:r>
    </w:p>
    <w:p>
      <w:pPr>
        <w:keepNext/>
        <w:spacing w:before="240" w:after="120"/>
      </w:pPr>
      <w:r>
        <w:rPr>
          <w:rFonts w:ascii="Arial" w:hAnsi="Arial"/>
          <w:b/>
          <w:color w:val="1B365D"/>
          <w:sz w:val="36"/>
        </w:rPr>
        <w:t>4. Bitácora de Carga Horaria Consolidada</w:t>
      </w:r>
    </w:p>
    <w:tbl>
      <w:tblPr>
        <w:tblW w:type="auto" w:w="0"/>
        <w:jc w:val="center"/>
        <w:tblLook w:firstColumn="1" w:firstRow="1" w:lastColumn="0" w:lastRow="0" w:noHBand="0" w:noVBand="1" w:val="04A0"/>
      </w:tblPr>
      <w:tblGrid>
        <w:gridCol w:w="2340"/>
        <w:gridCol w:w="2340"/>
        <w:gridCol w:w="2340"/>
        <w:gridCol w:w="2340"/>
      </w:tblGrid>
      <w:tr>
        <w:tc>
          <w:tcPr>
            <w:tcW w:type="dxa" w:w="2340"/>
          </w:tcPr>
          <w:p>
            <w:r>
              <w:rPr>
                <w:b/>
              </w:rPr>
              <w:t>Subsistema</w:t>
            </w:r>
          </w:p>
        </w:tc>
        <w:tc>
          <w:tcPr>
            <w:tcW w:type="dxa" w:w="2340"/>
          </w:tcPr>
          <w:p>
            <w:r>
              <w:rPr>
                <w:b/>
              </w:rPr>
              <w:t>Periodo Estimado</w:t>
            </w:r>
          </w:p>
        </w:tc>
        <w:tc>
          <w:tcPr>
            <w:tcW w:type="dxa" w:w="2340"/>
          </w:tcPr>
          <w:p>
            <w:r>
              <w:rPr>
                <w:b/>
              </w:rPr>
              <w:t>Horas Estimadas</w:t>
            </w:r>
          </w:p>
        </w:tc>
        <w:tc>
          <w:tcPr>
            <w:tcW w:type="dxa" w:w="2340"/>
          </w:tcPr>
          <w:p>
            <w:r>
              <w:rPr>
                <w:b/>
              </w:rPr>
              <w:t>Entregables Clave</w:t>
            </w:r>
          </w:p>
        </w:tc>
      </w:tr>
      <w:tr>
        <w:tc>
          <w:tcPr>
            <w:tcW w:type="dxa" w:w="2340"/>
          </w:tcPr>
          <w:p>
            <w:r>
              <w:t>Autenticación (Auth)</w:t>
            </w:r>
          </w:p>
        </w:tc>
        <w:tc>
          <w:tcPr>
            <w:tcW w:type="dxa" w:w="2340"/>
          </w:tcPr>
          <w:p>
            <w:r>
              <w:t>21/04 - 15/05</w:t>
            </w:r>
          </w:p>
        </w:tc>
        <w:tc>
          <w:tcPr>
            <w:tcW w:type="dxa" w:w="2340"/>
          </w:tcPr>
          <w:p>
            <w:r>
              <w:t>60 hs</w:t>
            </w:r>
          </w:p>
        </w:tc>
        <w:tc>
          <w:tcPr>
            <w:tcW w:type="dxa" w:w="2340"/>
          </w:tcPr>
          <w:p>
            <w:r>
              <w:t>Seguridad JWT, hashing bcrypt y 3 versiones iterativas del backend.</w:t>
            </w:r>
          </w:p>
        </w:tc>
      </w:tr>
      <w:tr>
        <w:tc>
          <w:tcPr>
            <w:tcW w:type="dxa" w:w="2340"/>
          </w:tcPr>
          <w:p>
            <w:r>
              <w:t>Oficina de Alumnos</w:t>
            </w:r>
          </w:p>
        </w:tc>
        <w:tc>
          <w:tcPr>
            <w:tcW w:type="dxa" w:w="2340"/>
          </w:tcPr>
          <w:p>
            <w:r>
              <w:t>16/05 - 27/06</w:t>
            </w:r>
          </w:p>
        </w:tc>
        <w:tc>
          <w:tcPr>
            <w:tcW w:type="dxa" w:w="2340"/>
          </w:tcPr>
          <w:p>
            <w:r>
              <w:t>140 hs</w:t>
            </w:r>
          </w:p>
        </w:tc>
        <w:tc>
          <w:tcPr>
            <w:tcW w:type="dxa" w:w="2340"/>
          </w:tcPr>
          <w:p>
            <w:r>
              <w:t>Legajos de alumnos, carga de asignaturas e inscripción asíncrona.</w:t>
            </w:r>
          </w:p>
        </w:tc>
      </w:tr>
      <w:tr>
        <w:tc>
          <w:tcPr>
            <w:tcW w:type="dxa" w:w="2340"/>
          </w:tcPr>
          <w:p>
            <w:r>
              <w:t>Campus Virtual</w:t>
            </w:r>
          </w:p>
        </w:tc>
        <w:tc>
          <w:tcPr>
            <w:tcW w:type="dxa" w:w="2340"/>
          </w:tcPr>
          <w:p>
            <w:r>
              <w:t>28/06 - Presente</w:t>
            </w:r>
          </w:p>
        </w:tc>
        <w:tc>
          <w:tcPr>
            <w:tcW w:type="dxa" w:w="2340"/>
          </w:tcPr>
          <w:p>
            <w:r>
              <w:t>50 hs</w:t>
            </w:r>
          </w:p>
        </w:tc>
        <w:tc>
          <w:tcPr>
            <w:tcW w:type="dxa" w:w="2340"/>
          </w:tcPr>
          <w:p>
            <w:r>
              <w:t>Aula digital, subida de archivos PDF/imagen y calificación docente.</w:t>
            </w:r>
          </w:p>
        </w:tc>
      </w:tr>
      <w:tr>
        <w:tc>
          <w:tcPr>
            <w:tcW w:type="dxa" w:w="2340"/>
          </w:tcPr>
          <w:p>
            <w:r>
              <w:t>Pañol de Herramientas</w:t>
            </w:r>
          </w:p>
        </w:tc>
        <w:tc>
          <w:tcPr>
            <w:tcW w:type="dxa" w:w="2340"/>
          </w:tcPr>
          <w:p>
            <w:r>
              <w:t>21/04 - Presente</w:t>
            </w:r>
          </w:p>
        </w:tc>
        <w:tc>
          <w:tcPr>
            <w:tcW w:type="dxa" w:w="2340"/>
          </w:tcPr>
          <w:p>
            <w:r>
              <w:t>230 hs</w:t>
            </w:r>
          </w:p>
        </w:tc>
        <w:tc>
          <w:tcPr>
            <w:tcW w:type="dxa" w:w="2340"/>
          </w:tcPr>
          <w:p>
            <w:r>
              <w:t>Control de stock, lector óptico de códigos de barras, picking y devolución express.</w:t>
            </w:r>
          </w:p>
        </w:tc>
      </w:tr>
      <w:tr>
        <w:tc>
          <w:tcPr>
            <w:tcW w:type="dxa" w:w="2340"/>
          </w:tcPr>
          <w:p>
            <w:r>
              <w:t>Diseño Web General</w:t>
            </w:r>
          </w:p>
        </w:tc>
        <w:tc>
          <w:tcPr>
            <w:tcW w:type="dxa" w:w="2340"/>
          </w:tcPr>
          <w:p>
            <w:r>
              <w:t>21/04 - 30/04</w:t>
            </w:r>
          </w:p>
        </w:tc>
        <w:tc>
          <w:tcPr>
            <w:tcW w:type="dxa" w:w="2340"/>
          </w:tcPr>
          <w:p>
            <w:r>
              <w:t>40 hs</w:t>
            </w:r>
          </w:p>
        </w:tc>
        <w:tc>
          <w:tcPr>
            <w:tcW w:type="dxa" w:w="2340"/>
          </w:tcPr>
          <w:p>
            <w:r>
              <w:t>Estructura compartida responsiva, CSS global y vistas base del portal.</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