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SENTENCIA DEL TRIBUNAL DE JUSTICIA (Gran Sala)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13 de mayo de 2014 (</w:t>
      </w:r>
      <w:hyperlink w:anchor="3s49zyc">
        <w:r w:rsidDel="00000000" w:rsidR="00000000" w:rsidRPr="00000000">
          <w:rPr>
            <w:color w:val="0000ee"/>
            <w:u w:val="single"/>
            <w:rtl w:val="0"/>
          </w:rPr>
          <w:t xml:space="preserve">*</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«Datos personales — Protección de las personas físicas en lo que respecta al tratamiento de dichos datos — Directiva 95/46/CE — Artículos 2, 4, 12 y 14 — Ámbito de aplicación material y territorial — Motores de búsqueda en Internet — Tratamiento de datos contenidos en sitios de Internet — Búsqueda, indexación y almacenamiento de estos datos — Responsabilidad del gestor del motor de búsqueda — Establecimiento en territorio de un Estado miembro — Alcance de las obligaciones de dicho gestor y de los derechos del interesado — Carta de los Derechos Fundamentales de la Unión Europea — Artículos 7 y 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asunto C‑131/12,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tiene por objeto una petición de decisión prejudicial planteada, con arreglo al artículo 267 TFUE, por la Audiencia Nacional, mediante auto de 27 de febrero de 2012, recibido en el Tribunal de Justicia el 9 de marzo de 2012, en el procedimiento entre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Spain, S.L.,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Inc.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Agencia Española de Protección de Datos (AEPD),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Mario Costeja González,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TRIBUNAL DE JUSTICIA (Gran Sala),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integrado por el Sr. V. Skouris, Presidente, el Sr. K. Lenaerts, Vicepresidente, los Sres. M. Ilešič (Ponente), L. Bay Larsen, T. von Danwitz y M. Safjan, Presidentes de Sala, y los Sres. J. Malenovský, E. Levits, A. Ó Caoimh y A. Arabadjiev y las Sras. M. Berger y A. Prechal y el Sr. E. Jarašiūnas, Jueces;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Abogado General: Sr. N. Jääskinen;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Secretaria: Sra. M. Ferreira, administradora principal;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habiendo considerado los escritos obrantes en autos y celebrada la vista el 26 de febrero de 2013;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consideradas las observaciones presentadas: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 Google Spain, S.L., y Google Inc., por los Sres. F. González Díaz, J. Baño Fos y B. Holles, abogados;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del Sr. Costeja González, por el Sr. J. Muñoz Rodríguez, abogado;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del Gobierno español, por el Sr. A. Rubio González, en calidad de agente;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del Gobierno helénico, por la Sra. E.-M. Mamouna y el Sr. K. Boskovits, en calidad de agentes;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del Gobierno italiano, por la Sra. G. Palmieri, en calidad de agente, asistida por el Sr. P. Gentili, avvocato dello Stato;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del Gobierno austriaco, por el Sr. G. Kunnert y la Sra. C. Pesendorfer, en calidad de agentes;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del Gobierno polaco, por los Sres. B. Majczyna y M. Szpunar, en calidad de agentes;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 nombre de la Comisión Europea, por la Sra. I. Martínez del Peral y Sr. B. Martenczuk, en calidad de agentes;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oídas las conclusiones del Abogado General, presentadas en audiencia pública el 25 de junio de 2013;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dicta la siguiente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Sentencia</w:t>
      </w:r>
    </w:p>
    <w:bookmarkStart w:colFirst="0" w:colLast="0" w:name="gjdgxs" w:id="0"/>
    <w:bookmarkEnd w:id="0"/>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La petición de decisión prejudicial versa sobre la interpretación de los artículos 2, letras b) y d), 4, apartado 1, letras a) y c), 12, letra b), y 14, párrafo primero, letra a), de la Directiva 95/46/CE del Parlamento Europeo y del Consejo, de 24 de octubre de 1995, relativa a la protección de las personas físicas en lo que respecta al tratamiento de datos personales y a la libre circulación de estos datos (DO L 281, p. 31), y del artículo 8 de la Carta de los Derechos Fundamentales de la Unión Europea (en lo sucesivo, «Carta»).</w:t>
      </w:r>
    </w:p>
    <w:bookmarkStart w:colFirst="0" w:colLast="0" w:name="30j0zll" w:id="1"/>
    <w:bookmarkEnd w:id="1"/>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Esta petición se presentó en el marco de un litigio entre Google Spain, S.L. (en lo sucesivo, «Google Spain»), y Google Inc., por un lado, y la Agencia Española de Protección de Datos (en lo sucesivo, «AEPD») y el Sr. Costeja González, por otro, en relación con una resolución de dicha Agencia por la que se estimó la reclamación del Sr. Costeja González contra ambas sociedades y se ordenaba a Google Inc. que adoptara las medidas necesarias para retirar los datos personales del Sr. Costeja González de su índice e imposibilitara el acceso futuro a los mismos.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Marco jurídico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Derecho de la Unión</w:t>
      </w:r>
    </w:p>
    <w:bookmarkStart w:colFirst="0" w:colLast="0" w:name="1fob9te" w:id="2"/>
    <w:bookmarkEnd w:id="2"/>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La Directiva 95/46, que, según su artículo 1, tiene por objeto la protección de las libertades y de los derechos fundamentales de las personas físicas, y, en particular, del derecho a la intimidad, en lo que respecta al tratamiento de los datos personales y la eliminación de los obstáculos a la libre circulación de estos datos, enuncia lo siguiente en sus considerandos 2, 10, 18 a 20 y 25: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Considerando que los sistemas de tratamiento de datos están al servicio del hombre; que deben, cualquiera que sea la nacionalidad o la residencia de las personas físicas, respetar las libertades y derechos fundamentales de las personas físicas y, en particular, la intimidad, y contribuir [...] al bienestar de los individuos;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Considerando que las legislaciones nacionales relativas al tratamiento de datos personales tienen por objeto garantizar el respeto de los derechos y libertades fundamentales, particularmente del derecho al respeto de la vida privada reconocido en el artículo 8 del Convenio Europeo para la Protección de los Derechos Humanos y de las Libertades Fundamentales[,firmado en Roma el 4 de noviembre de 1950], así como en los principios generales del Derecho comunitario; que, por lo tanto, la aproximación de dichas legislaciones no debe conducir a una disminución de la protección que garantizan sino que, por el contrario, debe tener por objeto asegurar un alto nivel de protección dentro de la Comunidad;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Considerando que, para evitar que una persona sea excluida de la protección garantizada por la presente Directiva, es necesario que todo tratamiento de datos personales efectuado en la Comunidad respete la legislación de uno de sus Estados miembros; que, a este respecto, resulta conveniente someter el tratamiento de datos efectuados por cualquier persona que actúe bajo la autoridad del responsable del tratamiento establecido en un Estado miembro a la aplicación de la legislación de tal Estado;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Considerando que el establecimiento en el territorio de un Estado miembro implica el ejercicio efectivo y real de una actividad mediante una instalación estable; que la forma jurídica de dicho establecimiento, sea una simple sucursal o una empresa filial con personalidad jurídica, no es un factor determinante al respecto; que cuando un mismo responsable esté establecido en el territorio de varios Estados miembros, en particular por medio de una empresa filial, debe garantizar, en particular para evitar que se eluda la normativa aplicable, que cada uno de los establecimientos cumpla las obligaciones impuestas por el Derecho nacional aplicable a estas actividades;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Considerando que el hecho de que el responsable del tratamiento de datos esté establecido en un país tercero no debe obstaculizar la protección de las personas contemplada en la presente Directiva; que en estos casos el tratamiento de datos debe regirse por la legislación del Estado miembro en el que se ubiquen los medios utilizados y deben adoptarse garantías para que se respeten en la práctica los derechos y obligaciones contempladas en la presente Directiva;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Considerando que los principios de la protección tienen su expresión, por una parte, en las distintas obligaciones que incumben a las personas [...] que efectúen tratamientos- obligaciones relativas, en particular, a la calidad de los datos, la seguridad técnica, la notificación a las autoridades de control y las circunstancias en las que se puede efectuar el tratamiento- y, por otra parte, en los derechos otorgados a las personas cuyos datos sean objeto de tratamiento de ser informadas acerca de dicho tratamiento, de poder acceder a los datos, de poder solicitar su rectificación o incluso de oponerse a su tratamiento en determinadas circunstancias».</w:t>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El artículo 2 de la Directiva 95/46 establece que «a efectos de [ésta], se entenderá por: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“datos personales”: toda información sobre una persona física identificada o identificable (el “interesado”); se considerará identificable toda persona cuya identidad pueda determinarse, directa o indirectamente, en particular mediante un número de identificación o uno o varios elementos específicos, característicos de su identidad física, fisiológica, psíquica, económica, cultural o social;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“tratamiento de datos personales” (“tratamiento”): cualquier operación o conjunto de operaciones, efectuadas o no mediante procedimientos automatizados, y aplicadas a datos personales, como la recogida, registro, organización, conservación, elaboración o modificación, extracción, consulta, utilización, comunicación por transmisión, difusión o cualquier otra forma que facilite el acceso a los mismos, cotejo o interconexión, así como su bloqueo, supresión o destrucción;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“responsable del tratamiento”: la persona física o jurídica, autoridad pública, servicio o cualquier otro organismo que sólo o conjuntamente con otros determine los fines y los medios del tratamiento de datos personales; en caso de que los fines y los medios del tratamiento estén determinados por disposiciones legislativas o reglamentarias nacionales o comunitarias, el responsable del tratamiento o los criterios específicos para su nombramiento podrán ser fijados por el Derecho nacional o comunitario;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El artículo 3 de dicha Directiva, titulado «Ámbito de aplicación», precisa en su apartado 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disposiciones de la presente Directiva se aplicarán al tratamiento total o parcialmente automatizado de datos personales, así como al tratamiento no automatizado de datos personales contenidos o destinados a ser incluidos en un fichero.»</w:t>
      </w:r>
    </w:p>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El artículo 4 de la misma Directiva, titulado «Derecho nacional aplicable», dispone: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Los Estados miembros aplicarán las disposiciones nacionales que haya aprobado para la aplicación de la presente Directiva a todo tratamiento de datos personales cuando: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el tratamiento sea efectuado en el marco de las actividades de un establecimiento del responsable del tratamiento en el territorio del Estado miembro. Cuando el mismo responsable del tratamiento esté establecido en el territorio de varios Estados miembros deberá adoptar las medidas necesarias para garantizar que cada uno de dichos establecimientos cumple las obligaciones previstas por el Derecho nacional aplicable;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el responsable del tratamiento no esté establecido en el territorio del Estado miembro, sino en un lugar en que se aplica su legislación nacional en virtud del Derecho internacional público;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el responsable del tratamiento no esté establecido en el territorio de la Comunidad y recurra, para el tratamiento de datos personales, a medios, automatizados o no, situados en el territorio de dicho Estado miembro, salvo en caso de que dichos medios se utilicen solamente con fines de tránsito por el territorio de la Comunidad Europea.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En el caso mencionado en la letra c) del apartado 1, el responsable del tratamiento deberá designar un representante establecido en el territorio de dicho Estado miembro, sin perjuicio de las acciones que pudieran emprenderse contra el propio responsable del tratamiento.»</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El artículo 6 de la Directiva 95/46, titulado «Principios relativos a la calidad de los datos», incluido en el capítulo II, sección I, de dicha Directiva, tiene el siguiente tenor: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Los Estados miembros dispondrán que los datos personales sean: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tratados de manera leal y lícita;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recogidos con fines determinados, explícitos y legítimos, y no sean tratados posteriormente de manera incompatible con dichos fines; no se considerará incompatible el tratamiento posterior de datos con fines históricos, estadísticos o científicos, siempre y cuando los Estados miembros establezcan las garantías oportunas;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adecuados, pertinentes y no excesivos con relación a los fines para los que se recaben y para los que se traten posteriormente;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exactos y, cuando sea necesario, actualizados; deberán tomarse todas las medidas razonables para que los datos inexactos o incompletos, con respecto a los fines para los que fueron recogidos o para los que fueron tratados posteriormente, sean suprimidos o rectificados;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conservados en una forma que permita la identificación de los interesados durante un período no superior al necesario para los fines para los que fueron recogidos o para los que se traten ulteriormente. Los Estados miembros establecerán las garantías apropiadas para los datos personales archivados por un período más largo del mencionado, con fines históricos, estadísticos o científicos.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Corresponderá a los responsables del tratamiento garantizar el cumplimiento de lo dispuesto en el apartado 1.»</w:t>
      </w:r>
    </w:p>
    <w:bookmarkStart w:colFirst="0" w:colLast="0" w:name="1t3h5sf" w:id="7"/>
    <w:bookmarkEnd w:id="7"/>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El artículo 7 de la Directiva 95/46, titulado «Principios relativos a la legitimación del tratamiento de datos», incluido en el capítulo  I, sección II, de esta Directiva, establece: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Estados miembros dispondrán que el tratamiento de datos personales sólo pueda efectuarse si: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es necesario para la satisfacción del interés legítimo perseguido por el responsable del tratamiento o por el tercero o terceros a los que se comuniquen los datos, siempre que no prevalezca el interés o los derechos y libertades fundamentales del interesado que requieran protección con arreglo al apartado 1 del artículo 1 de la presente Directiva.»</w:t>
      </w:r>
    </w:p>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El artículo 9 de la mencionada Directiva, titulado «Tratamiento de datos personales y libertad de expresión», dispone: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lo referente al tratamiento de datos personales con fines exclusivamente periodísticos o de expresión artística o literaria, los Estados miembros establecerán, respecto de las disposiciones del presente capítulo, del capítulo IV y del capítulo VI, exenciones y excepciones sólo en la medida en que resulten necesarias para conciliar el derecho a la intimidad con las normas que rigen la libertad de expresión.»</w:t>
      </w:r>
    </w:p>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El artículo 12 de la misma Directiva, titulado «Derecho de acceso», establece: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Estados miembros garantizarán a todos los interesados el derecho de obtener del responsable del tratamiento: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en su caso, la rectificación, la supresión o el bloqueo de los datos cuyo tratamiento no se ajuste a las disposiciones de la presente Directiva, en particular a causa del carácter incompleto o inexacto de los datos;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bookmarkStart w:colFirst="0" w:colLast="0" w:name="17dp8vu" w:id="10"/>
    <w:bookmarkEnd w:id="10"/>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El artículo 14 de la Directiva 95/46, titulado «Derecho de oposición del interesado», dispone: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Estados miembros reconocerán al interesado el derecho 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oponerse, al menos en los casos contemplados en las letras e) y f) del artículo 7, en cualquier momento y por razones legítimas propias de su situación particular, a que los datos que le conciernan sean objeto de tratamiento, salvo cuando la legislación nacional disponga otra cosa. En caso de oposición justificada, el tratamiento que efectúe el responsable no podrá referirse ya a esos datos;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bookmarkStart w:colFirst="0" w:colLast="0" w:name="3rdcrjn" w:id="11"/>
    <w:bookmarkEnd w:id="11"/>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El artículo 28 de dicha Directiva, rubricado «Autoridad de control», tiene el siguiente tenor: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Los Estados miembros dispondrán que una o más autoridades públicas se encarguen de vigilar la aplicación en su territorio de las disposiciones adoptadas por ellos en aplicación de la presente Directiva.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La autoridad de control dispondrá, en particular, de: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poderes de investigación, como el derecho de acceder a los datos que sean objeto de un tratamiento y el de recabar toda la información necesaria para el cumplimiento de su misión de control;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poderes efectivos de intervención, como, por ejemplo, el de [...] ordenar el bloqueo, la supresión o la destrucción de datos, o incluso prohibir provisional o definitivamente un tratamiento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decisiones de la autoridad de control lesivas de derechos podrán ser objeto de recurso jurisdiccional.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Toda autoridad de control entenderá de las solicitudes que cualquier persona, o cualquier asociación que la represente, le presente en relación con la protección de sus derechos y libertades respecto del tratamiento de datos personales. Esa persona será informada del curso dado a su solicitud.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Toda autoridad de control será competente, sean cuales sean las disposiciones de Derecho nacional aplicables al tratamiento de que se trate, para ejercer en el territorio de su propio Estado miembro los poderes que se le atribuyen en virtud del apartado 3 del presente artículo. Dicha autoridad podrá ser instada a ejercer sus poderes por una autoridad de otro Estado miembro.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autoridades de control cooperarán entre sí en la medida necesaria para el cumplimiento de sus funciones, en particular mediante el intercambio de información que estimen útil.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Derecho español</w:t>
      </w:r>
    </w:p>
    <w:bookmarkStart w:colFirst="0" w:colLast="0" w:name="26in1rg" w:id="12"/>
    <w:bookmarkEnd w:id="1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La Directiva 95/46 ha sido transpuesta en Derecho español por la Ley Orgánica 15/1999, de 13 de diciembre, de protección de datos de carácter personal (BOE nº 298, de 14 de diciembre de 1999, p. 43088).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Litigio principal y cuestiones prejudiciales</w:t>
      </w:r>
    </w:p>
    <w:bookmarkStart w:colFirst="0" w:colLast="0" w:name="lnxbz9" w:id="13"/>
    <w:bookmarkEnd w:id="13"/>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El 5 de marzo de 2010, el Sr. Costeja González, de nacionalidad española y domiciliado en España, presentó ante la AEPD una reclamación contra La Vanguardia Ediciones, S.L., que publica un periódico de gran difusión, concretamente en Cataluña (en lo sucesivo, «La Vanguardia»), y contra Google Spain y Google Inc. Esta reclamación se basaba en que, cuando un internauta introducía el nombre del Sr. Costeja González en el motor de búsqueda de Google (en lo sucesivo, «Google Search»), obtenía como resultado vínculos hacia dos páginas del periódico La Vanguardia, del 19 de enero y del 9 de marzo de 1998, respectivamente, en las que figuraba un anuncio de una subasta de inmuebles relacionada con un embargo por deudas a la Seguridad Social, que mencionaba el nombre del Sr. Costeja González.</w:t>
      </w:r>
    </w:p>
    <w:bookmarkStart w:colFirst="0" w:colLast="0" w:name="35nkun2" w:id="14"/>
    <w:bookmarkEnd w:id="14"/>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Mediante esta reclamación, el Sr. Costeja González solicitaba, por un lado, que se exigiese a La Vanguardia eliminar o modificar la publicación para que no apareciesen sus datos personales, o utilizar las herramientas facilitadas por los motores de búsqueda para proteger estos datos. Por otro lado, solicitaba que se exigiese a Google Spain o a Google Inc. que eliminaran u ocultaran sus datos personales para que dejaran de incluirse en sus resultados de búsqueda y dejaran de estar ligados a los enlaces de La Vanguardia. En este marco, el Sr. Costeja González afirmaba que el embargo al que se vio sometido en su día estaba totalmente solucionado y resuelto desde hace años y carecía de relevancia actualmente.</w:t>
      </w:r>
    </w:p>
    <w:bookmarkStart w:colFirst="0" w:colLast="0" w:name="1ksv4uv" w:id="15"/>
    <w:bookmarkEnd w:id="15"/>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Mediante resolución de 30 de julio de 2010, la AEPD desestimó la reclamación en la medida en que se refería a La Vanguardia, al considerar que la publicación que ésta había llevado a cabo estaba legalmente justificada, dado que había tenido lugar por orden del Ministerio de Trabajo y Asuntos Sociales y tenía por objeto dar la máxima publicidad a la subasta para conseguir la mayor concurrencia de licitadores.</w:t>
      </w:r>
    </w:p>
    <w:bookmarkStart w:colFirst="0" w:colLast="0" w:name="44sinio" w:id="16"/>
    <w:bookmarkEnd w:id="1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En cambio, se estimó la misma reclamación en la medida en que se dirigía contra Google Spain y Google Inc. A este respecto, la AEPD consideró que quienes gestionan motores de búsqueda están sometidos a la normativa en materia de protección de datos, dado que llevan a cabo un tratamiento de datos del que son responsables y actúan como intermediarios de la sociedad de la información. La AEPD consideró que estaba facultada para ordenar la retirada e imposibilitar el acceso a determinados datos por parte de los gestores de motores de búsqueda cuando considere que su localización y difusión puede lesionar el derecho fundamental a la protección de datos y a la dignidad de la persona entendida en un sentido amplio, lo que incluye la mera voluntad del particular afectado cuando quiere que tales datos no sean conocidos por terceros. La AEPD estimó que este requerimiento puede dirigirse directamente a los explotadores de motores de búsqueda, sin suprimir los datos o la información de la página donde inicialmente está alojada e, incluso, cuando el mantenimiento de esta información en dicha página esté justificado por una norma legal.</w:t>
      </w:r>
    </w:p>
    <w:bookmarkStart w:colFirst="0" w:colLast="0" w:name="2jxsxqh" w:id="17"/>
    <w:bookmarkEnd w:id="1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Google Spain y Google Inc. interpusieron sendos recursos contra dicha resolución ante la Audiencia Nacional, que decidió acumularlos.</w:t>
      </w:r>
    </w:p>
    <w:bookmarkStart w:colFirst="0" w:colLast="0" w:name="z337ya" w:id="18"/>
    <w:bookmarkEnd w:id="18"/>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El mencionado tribunal expone en el auto de remisión que estos recursos plantean la cuestión de cuáles son las obligaciones que tienen los gestores de motores de búsqueda en la protección de datos personales de aquellos interesados que no desean que determinada información, publicada en páginas web de terceros, que contiene sus datos personales y permite relacionarles con la misma, sea localizada, indexada y sea puesta a disposición de los internautas de forma indefinida. Considera que la respuesta a esta cuestión depende del modo en que debe interpretarse la Directiva 95/46 en el marco de estas tecnologías, que han surgido después de su publicación.</w:t>
      </w:r>
    </w:p>
    <w:bookmarkStart w:colFirst="0" w:colLast="0" w:name="3j2qqm3" w:id="19"/>
    <w:bookmarkEnd w:id="19"/>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En estas circunstancias, la Audiencia Nacional decidió suspender el procedimiento y plantear al Tribunal de Justicia las cuestiones prejudiciales siguientes: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¿Por lo que respecta a la aplicación territorial de la Directiva [95/46] y, consiguientemente de la normativa española de protección de datos: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Debe interpretarse que existe un “establecimiento”, en los términos descritos en el art. 4.1.a) de la [Directiva 95/46], cuando concurra alguno o algunos de los siguientes supuestos: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empresa proveedora del motor de búsqueda crea en un Estado miembro una oficina o filial destinada a la promoción y venta de los espacios publicitarios del buscador, que dirige su actividad a los habitantes del Estado,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empresa matriz designa a una filial ubicada en ese Estado miembro como su representante y responsable del tratamiento de dos ficheros concretos que guardan relación con los datos de los clientes que contrataron publicidad con dicha empresa,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oficina o filial establecida en un Estado miembro traslada a la empresa matriz, radicada fuera de la Unión Europea, las solicitudes y requerimientos que le dirigen tanto los afectados como las autoridades competentes en relación con el respeto al derecho de protección de datos, aun cuando dicha colaboración se realice de forma voluntaria?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¿Debe interpretarse el art. 4.1.c de la [Directiva 95/46] en el sentido de que existe un “recurso a medios situados en el territorio de dicho Estado miembro”: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un buscador utilice arañas o robots para localizar e indexar la información contenida en páginas web ubicadas en servidores de ese Estado miembro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utilice un nombre de dominio propio de un Estado miembro y dirija las búsquedas y los resultados en función del idioma de ese Estado miembro?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¿Puede considerarse como un recurso a medios, en los términos del art. 4.1.c de la [Directiva 95/46], el almacenamiento temporal de la información indexada por los buscadores en internet? Si la respuesta a esta última cuestión fuera afirmativa, ¿puede entenderse que este criterio de conexión concurre cuando la empresa se niega a revelar el lugar donde almacena estos índices alegando razones competitivas?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Con independencia de la respuesta a las preguntas anteriores y especialmente en el caso en que se considerase por el Tribunal de Justicia de la Unión que no concurren los criterios de conexión previstos en el art. 4 de la [Directiva 95/46]: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 aplicarse la [Directiva 95/46], a la luz del art. 8 de la [Carta], en el país miembro donde se localice el centro de gravedad del conflicto y sea posible una tutela más eficaz de los derechos de los ciudadanos de la Unión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Por lo que respecta a la actividad de los buscadores como proveedor de contenidos en relación con la [Directiva 95/46]: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En relación con la actividad [de Google Search], como proveedor de contenidos, consistente en localizar la información publicada o incluida en la red por terceros, indexarla de forma automática, almacenarla temporalmente y finalmente ponerla a disposición de los internautas con un cierto orden de preferencia, cuando dicha información contenga datos personales de terceras personas, ¿Debe interpretarse una actividad como la descrita comprendida en el concepto de “tratamiento de datos”, contenido en el art. 2.b de la [Directiva 95/46]?</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En caso de que la respuesta anterior fuera afirmativa y siempre en relación con una actividad como la ya descrita: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 interpretarse el artículo 2.d) de la [Directiva 95/46], en el sentido de considerar que la empresa que gestiona [Google Search] es “responsable del tratamiento” de los datos personales contenidos en las páginas web que indexa?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En el caso de que la respuesta anterior fuera afirmativa: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¿Puede la [AEPD], tutelando los derechos contenidos en el art. 12.b) y 14.a) de la [Directiva 95/46], requerir directamente [a Google Search] para exigirle la retirada de sus índices de una información publicada por terceros, sin dirigirse previa o simultáneamente al titular de la página web en la que se ubica dicha información?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En el caso de que la respuesta a esta última pregunta fuera afirmativa: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excluiría la obligación de los buscadores de tutelar estos derechos cuando la información que contiene esos datos se haya publicado lícitamente por terceros y se mantenga en la página web de origen?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Respecto al alcance del derecho de cancelación y/oposición en relación con el derecho al olvido se plantea la siguiente pregunta: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 interpretarse que los derechos de supresión y bloqueo de los datos, regulados en el art. 12.b) y el de oposición, regulado en el art. 14.a) de la [Directiva 95/46] comprenden que el interesado pueda dirigirse frente a los buscadores para impedir la indexación de la información referida a su persona, publicada en páginas web de terceros, amparándose en su voluntad de que la misma no sea conocida por los internautas cuando considere que puede perjudicarle o desea que sea olvidada, aunque se trate de una información publicada lícitamente por terceros?»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Sobre las cuestiones prejudiciales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Sobre la segunda cuestión prejudicial, letras a) y b), relativa al ámbito de aplicación material de la Directiva 95/46</w:t>
      </w:r>
    </w:p>
    <w:bookmarkStart w:colFirst="0" w:colLast="0" w:name="1y810tw" w:id="20"/>
    <w:bookmarkEnd w:id="20"/>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Mediante su segunda cuestión prejudicial, letras a) y b), que procede examinar en primer lugar, el tribunal remitente desea saber, en esencia, si el artículo 2, letra b), de la Directiva 95/46 debe examinarse en el sentido de que la actividad de un motor de búsqueda como proveedor de contenidos, que consiste en hallar información publicada o puesta en Internet por terceros, indexarla de manera automática, almacenarla temporalmente y, por último, ponerla a disposición de los internautas según un orden de preferencia determinado, debe calificarse de «tratamiento de datos personales», en el sentido de dicha disposición, cuando esa información contiene datos personales. En el supuesto de que se responda afirmativamente a esa cuestión, el tribunal remitente desea saber, además, si la letra d) del mencionado artículo 2 debe interpretarse en el sentido de que el gestor de un motor de búsqueda debe considerarse «responsable» de dicho tratamiento de datos personales, en el sentido de esa disposición.</w:t>
      </w:r>
    </w:p>
    <w:bookmarkStart w:colFirst="0" w:colLast="0" w:name="4i7ojhp" w:id="21"/>
    <w:bookmarkEnd w:id="21"/>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Según Google Spain y Google Inc., la actividad de los motores de búsqueda no puede considerarse tratamiento de los datos que se muestran en las páginas web de terceros que presenta la lista de resultados de la búsqueda, dado que estos motores tratan la información accesible en Internet globalmente sin seleccionar entre datos personales y el resto de información. En su opinión, además, aun suponiendo que esta actividad deba ser calificada de «tratamiento de datos», el gestor de un motor de búsqueda no puede considerarse «responsable» de ese tratamiento, ya que no conoce dichos datos y no ejerce control sobre ellos.</w:t>
      </w:r>
    </w:p>
    <w:bookmarkStart w:colFirst="0" w:colLast="0" w:name="2xcytpi" w:id="22"/>
    <w:bookmarkEnd w:id="22"/>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En cambio, el Sr. Costeja González, los Gobiernos español, italiano austriaco y polaco y la Comisión Europea sostienen que dicha actividad implica claramente un «tratamiento de datos», en el sentido de la Directiva 95/46, que es distinto del tratamiento de datos realizado por los editores de los sitios de Internet y persigue objetivos distintos al de éste. A su juicio, el gestor de un motor de búsqueda es «responsable» del tratamiento de datos efectuado por él desde el momento en que es él quien determina la finalidad y los medios de dicho tratamiento.</w:t>
      </w:r>
    </w:p>
    <w:bookmarkStart w:colFirst="0" w:colLast="0" w:name="1ci93xb" w:id="23"/>
    <w:bookmarkEnd w:id="23"/>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Según el Gobierno helénico, la actividad controvertida constituye tal «tratamiento», pero, en la medida en que los motores de búsqueda sirven de simples intermediarios, las empresas que los gestionan no pueden considerarse «responsables», salvo en los casos en los que almacenan datos en una «memoria intermedia» o una «memoria oculta» por un período de tiempo que supere lo técnicamente necesario.</w:t>
      </w:r>
    </w:p>
    <w:bookmarkStart w:colFirst="0" w:colLast="0" w:name="3whwml4" w:id="24"/>
    <w:bookmarkEnd w:id="24"/>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A este respecto, ha de señalarse que el artículo 2, letra b), de la Directiva 95/46 define el «tratamiento de datos personales» como «cualquier operación o conjunto de operaciones, efectuadas o no mediante procedimientos automatizados, y aplicadas a datos personales, como la recogida, registro, organización, conservación, elaboración o modificación, extracción, consulta, utilización, comunicación por transmisión, difusión o cualquier otra forma que facilite el acceso a los mismos, cotejo o interconexión, así como su bloqueo, supresión o destrucción».</w:t>
      </w:r>
    </w:p>
    <w:bookmarkStart w:colFirst="0" w:colLast="0" w:name="2bn6wsx" w:id="25"/>
    <w:bookmarkEnd w:id="25"/>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En lo que atañe, en particular, a Internet, el Tribunal de Justicia ya ha tenido ocasión de declarar que la conducta que consiste en hacer referencia, en una página web, a datos personales debe considerarse un «tratamiento» de esta índole, en el sentido del artículo 2, letra b), de la Directiva 95/46 (véase la sentencia Lindqvist, C‑101/01, EU:C:2003:596, apartado 25).</w:t>
      </w:r>
    </w:p>
    <w:bookmarkStart w:colFirst="0" w:colLast="0" w:name="qsh70q" w:id="26"/>
    <w:bookmarkEnd w:id="26"/>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En cuanto a la actividad controvertida en el litigio principal, no se discute que entre los datos hallados, indexados, almacenados por los motores de búsqueda y puestos a disposición de sus usuarios figura también información relativa a personas físicas identificadas o identificables y, por tanto, «datos personales» en el sentido del artículo 2, letra a), de dicha Directiva.</w:t>
      </w:r>
    </w:p>
    <w:bookmarkStart w:colFirst="0" w:colLast="0" w:name="3as4poj" w:id="27"/>
    <w:bookmarkEnd w:id="27"/>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Por consiguiente, debe declararse que, al explorar Internet de manera automatizada, constante y sistemática en busca de la información que allí se publica, el gestor de un motor de búsqueda «recoge» tales datos que «extrae», «registra» y «organiza» posteriormente en el marco de sus programas de indexación, «conserva» en sus servidores y, en su caso, «comunica» y «facilita el acceso» a sus usuarios en forma de listas de resultados de sus búsquedas. Ya que estas operaciones están recogidas de forma explícita e incondicional en el artículo 2, letra b), de la Directiva 95/46, deben calificarse de «tratamiento» en el sentido de dicha disposición, sin que sea relevante que el gestor del motor de búsqueda también realice las mismas operaciones con otros tipos de información y no distinga entre éstos y los datos personales.</w:t>
      </w:r>
    </w:p>
    <w:bookmarkStart w:colFirst="0" w:colLast="0" w:name="1pxezwc" w:id="28"/>
    <w:bookmarkEnd w:id="28"/>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Tampoco contradice la apreciación anterior el hecho de que estos datos hayan sido ya objeto de publicación en Internet y dicho motor de búsqueda no los modifique.</w:t>
      </w:r>
    </w:p>
    <w:bookmarkStart w:colFirst="0" w:colLast="0" w:name="49x2ik5" w:id="29"/>
    <w:bookmarkEnd w:id="29"/>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De este modo, el Tribunal de Justicia ya ha declarado que las operaciones a las que se refiere el artículo 2, letra b), de la Directiva 95/46 deben calificarse de tal tratamiento también en el supuesto de que se refieran únicamente a información ya publicada tal cual en los medios de comunicación. En efecto, señaló a este respecto que una excepción general a la aplicación de la Directiva 95/46 en tal supuesto dejaría esta última en gran medida vacía de contenido (véase, en este sentido, la sentencia Satakunnan Markkinapörssi y Satamedia, C‑73/07, EU:C:2008:727, apartados 48 y 49).</w:t>
      </w:r>
    </w:p>
    <w:bookmarkStart w:colFirst="0" w:colLast="0" w:name="2p2csry" w:id="30"/>
    <w:bookmarkEnd w:id="30"/>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Además, se desprende de la definición contenida en el artículo 2, letra b), de la Directiva 95/46 que, aunque la modificación de datos personales constituye, ciertamente, un tratamiento, en el sentido de ésta, en cambio el resto de operaciones que se mencionan en ella no precisan en modo alguno de que estos datos se modifiquen.</w:t>
      </w:r>
    </w:p>
    <w:bookmarkStart w:colFirst="0" w:colLast="0" w:name="147n2zr" w:id="31"/>
    <w:bookmarkEnd w:id="31"/>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En cuanto a si el gestor de un motor de búsqueda debe o no considerarse «responsable del tratamiento» de los datos personales efectuado por dicho motor en el marco de una actividad como la controvertida en el litigio principal, debe recordarse que el artículo 2, letra d), de la Directiva 95/46 define al responsable como «la persona física o jurídica, autoridad pública, servicio o cualquier otro organismo que sólo o conjuntamente con otros determine los fines y los medios del tratamiento de datos personales».</w:t>
      </w:r>
    </w:p>
    <w:bookmarkStart w:colFirst="0" w:colLast="0" w:name="3o7alnk" w:id="32"/>
    <w:bookmarkEnd w:id="32"/>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Ahora bien, el gestor del motor de búsqueda es quien determina los fines y los medios de esta actividad y, así, del tratamiento de datos personales que efectúa él mismo en el marco de ésta y, por consiguiente, debe considerarse «responsable» de dicho tratamiento en virtud del mencionado artículo 2, letra d).</w:t>
      </w:r>
    </w:p>
    <w:bookmarkStart w:colFirst="0" w:colLast="0" w:name="23ckvvd" w:id="33"/>
    <w:bookmarkEnd w:id="33"/>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Por otro lado, es necesario declarar que sería contrario, no sólo al claro tenor de esta disposición sino también a su objetivo, consistente en garantizar, mediante una definición amplia del concepto de «responsable», una protección eficaz y completa de los interesados, excluir de esta disposición al gestor de un motor de búsqueda debido a que no ejerce control sobre los datos personales publicados en las páginas web de terceros.</w:t>
      </w:r>
    </w:p>
    <w:bookmarkStart w:colFirst="0" w:colLast="0" w:name="ihv636" w:id="34"/>
    <w:bookmarkEnd w:id="34"/>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Sobre este particular, procede poner de manifiesto que el tratamiento de datos personales llevado a cabo en el marco de la actividad de un motor de búsqueda se distingue del efectuado por los editores de sitios de Internet, que consiste en hacer figurar esos datos en una página en Internet, y se añade a él.</w:t>
      </w:r>
    </w:p>
    <w:bookmarkStart w:colFirst="0" w:colLast="0" w:name="32hioqz" w:id="35"/>
    <w:bookmarkEnd w:id="35"/>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Además, es pacífico que esta actividad de los motores de búsqueda desempeña un papel decisivo en la difusión global de dichos datos en la medida en que facilita su acceso a todo internauta que lleva a cabo una búsqueda a partir del nombre del interesado, incluidos los internautas que, de no ser así, no habrían encontrado la página web en la que se publican estos mismos datos.</w:t>
      </w:r>
    </w:p>
    <w:bookmarkStart w:colFirst="0" w:colLast="0" w:name="1hmsyys" w:id="36"/>
    <w:bookmarkEnd w:id="36"/>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Además, la organización y la agregación de la información publicada en Internet efectuada por los motores de búsqueda para facilitar a sus usuarios el acceso a ella puede conducir, cuando la búsqueda de los usuarios se lleva a cabo a partir del nombre de una persona física, a que éstos obtengan mediante la lista de resultados una visión estructurada de la información relativa a esta persona que puede hallarse en Internet que les permita establecer un perfil más o menos detallado del interesado.</w:t>
      </w:r>
    </w:p>
    <w:bookmarkStart w:colFirst="0" w:colLast="0" w:name="41mghml" w:id="37"/>
    <w:bookmarkEnd w:id="37"/>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En consecuencia, en la medida en que la actividad de un motor de búsqueda puede afectar, significativamente y de modo adicional a la de los editores de sitios de Internet, a los derechos fundamentales de respeto de la vida privada y de protección de datos personales, el gestor de este motor, como persona que determina los fines y los medios de esta actividad, debe garantizar, en el marco de sus responsabilidades, de sus competencias y de sus posibilidades, que dicha actividad satisface las exigencias de la Directiva 95/46 para que las garantías establecidas en ella puedan tener pleno efecto y pueda llevarse a cabo una protección eficaz y completa de los interesados, en particular, de su derecho al respeto de la vida privada.</w:t>
      </w:r>
    </w:p>
    <w:bookmarkStart w:colFirst="0" w:colLast="0" w:name="2grqrue" w:id="38"/>
    <w:bookmarkEnd w:id="38"/>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Por último, el que los editores de sitios de Internet tengan la facultad de indicar a los gestores de los motores de búsqueda, con la ayuda, concretamente, de protocolos de exclusión como «robot.txt», o de códigos como «noindex» o «noarchive», que desean que una información determinada, publicada en su sitio, sea excluida total o parcialmente de los índices automáticos de los motores, no significa que la falta de tal indicación por parte de estos editores libere al gestor de un motor de búsqueda de su responsabilidad por el tratamiento de datos personales que lleva a cabo en el marco de la actividad de dicho motor.</w:t>
      </w:r>
    </w:p>
    <w:bookmarkStart w:colFirst="0" w:colLast="0" w:name="vx1227" w:id="39"/>
    <w:bookmarkEnd w:id="39"/>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En efecto, esta circunstancia no modifica el hecho de que el gestor determina los fines y los medios de este tratamiento. Además, aun suponiendo que dicha facultad de los editores de sitios de Internet signifique que éstos determinen conjuntamente con dicho gestor los medios del mencionado tratamiento, tal afirmación no elimina en modo alguno la responsabilidad del gestor, ya que el artículo 2, letra d), de la Directiva 95/46 prevé expresamente que esta determinación puede realizarse «sólo o conjuntamente con otros».</w:t>
      </w:r>
    </w:p>
    <w:bookmarkStart w:colFirst="0" w:colLast="0" w:name="3fwokq0" w:id="40"/>
    <w:bookmarkEnd w:id="40"/>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Del conjunto de las consideraciones precedentes se desprende que procede responder a la segunda cuestión prejudicial, letras a) y b), que el artículo 2, letras b) y d), de la Directiva 95/46 debe interpretarse en el sentido de que, por un lado, la actividad de un motor de búsqueda, que consiste en hallar información publicada o puesta en Internet por terceros, indexarla de manera automática, almacenarla temporalmente y, por último, ponerla a disposición de los internautas según un orden de preferencia determinado, debe calificarse de «tratamiento de datos personales», en el sentido de dicho artículo 2, letra b), cuando esa información contiene datos personales, y, por otro, el gestor de un motor de búsqueda debe considerarse «responsable» de dicho tratamiento, en el sentido del mencionado artículo 2, letra 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Sobre la primera cuestión prejudicial, letras a) a d), relativas al ámbito de aplicación territorial de la Directiva 95/46</w:t>
      </w:r>
    </w:p>
    <w:bookmarkStart w:colFirst="0" w:colLast="0" w:name="1v1yuxt" w:id="41"/>
    <w:bookmarkEnd w:id="41"/>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Mediante su primera cuestión prejudicial, letras a) a d), el tribunal remitente desea que se aclare si es posible aplicar la norma nacional que traspone la Directiva 95/46 en circunstancias como las controvertidas en el litigio principal.</w:t>
      </w:r>
    </w:p>
    <w:bookmarkStart w:colFirst="0" w:colLast="0" w:name="4f1mdlm" w:id="42"/>
    <w:bookmarkEnd w:id="42"/>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En este marco, el tribunal remitente considera acreditados los siguientes hechos: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Search se presta a nivel mundial a través del sitio de Internet «www.google.com». En muchos países existen versiones locales adaptadas al idioma nacional. La versión española de Google Search se presta a través del sitio www.google.es, dominio que tiene registrado desde el 16 de septiembre de 2003. Google Search es uno de los motores de búsqueda más utilizados en España.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Inc. (empresa matriz del grupo Google), con domicilio en los Estados Unidos, gestiona Google Search.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Search indexa páginas web de todo el mundo, incluyendo páginas web ubicadas en España. La información indexada por sus «arañas» o robots de indexación, es decir, programas informáticos utilizados para rastrear y realizar un barrido del contenido de páginas web de manera metódica y automatizada, se almacena temporalmente en servidores cuyo Estado de ubicación se desconoce, ya que este dato es secreto por razones competitivas.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Search no sólo facilita el acceso a los contenidos alojados en las páginas web indexadas, sino que también aprovecha esta actividad para incluir publicidad asociada a los patrones de búsqueda introducidos por los internautas, contratada, a cambio de un precio, por las empresas que desean utilizar esta herramienta para ofrecer sus bienes o servicios a éstos.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grupo Google utiliza una empresa filial, Google Spain, como agente promotor de venta de los espacios publicitarios que se generan en el sitio de Internet «www.google.com». Google Spain tiene personalidad jurídica propia y domicilio social en Madrid, y fue creada el 3 de septiembre de 2003. Dicha empresa dirige su actividad fundamentalmente a las empresas radicadas en España, actuando como agente comercial del grupo en dicho Estado miembro. Tiene como objeto social promocionar, facilitar y procurar la venta de productos y servicios de publicidad «on line» a través de Internet para terceros, así como la comercialización de esta publicidad.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Inc. designó a Google Spain como responsable del tratamiento en España de dos ficheros inscritos por Google Inc. ante la AEPD; el objeto de tales ficheros era almacenar los datos de las personas relacionadas con los clientes de servicios publicitarios que en su día contrataron con Google Inc.</w:t>
      </w:r>
    </w:p>
    <w:bookmarkStart w:colFirst="0" w:colLast="0" w:name="2u6wntf" w:id="43"/>
    <w:bookmarkEnd w:id="43"/>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Concretamente, el tribunal remitente se pregunta, con carácter principal, sobre el concepto de «establecimiento», en el sentido del artículo 4, apartado 1, letra a), de la Directiva 95/46, y sobre el de «recurso a medios situados en el territorio de dicho Estado miembro», en el sentido del mencionado artículo 4, apartado 1, letra 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Primera cuestión prejudicial, letra a)</w:t>
      </w:r>
    </w:p>
    <w:bookmarkStart w:colFirst="0" w:colLast="0" w:name="19c6y18" w:id="44"/>
    <w:bookmarkEnd w:id="44"/>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Mediante su primera cuestión prejudicial, letra a), el tribunal remitente desea saber, en esencia, si el artículo 4, apartado 1, letra a), de la Directiva 95/46 debe interpretarse en el sentido de que se lleva a cabo un tratamiento de datos personales en el marco de las actividades de un establecimiento del responsable de dicho tratamiento en territorio de un Estado miembro, en el sentido de dicha disposición, cuando se cumplen uno o varios de los tres requisitos siguientes: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empresa proveedora del motor de búsqueda crea en un Estado miembro una oficina o filial destinada a la promoción y venta de los espacios publicitarios del motor, que dirige su actividad a los habitantes de ese Estado, 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empresa matriz designa a una filial ubicada en ese Estado miembro como su representante y responsable del tratamiento de dos ficheros concretos que guardan relación con los datos de los clientes que contrataron publicidad con dicha empresa, 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oficina o filial establecida en un Estado miembro traslada a la empresa matriz, radicada fuera de la Unión, las solicitudes y requerimientos que le dirigen tanto los afectados como las autoridades competentes en relación con el respeto al derecho de protección de datos personales, aun cuando dicha colaboración se realice de forma voluntaria.</w:t>
      </w:r>
    </w:p>
    <w:bookmarkStart w:colFirst="0" w:colLast="0" w:name="3tbugp1" w:id="45"/>
    <w:bookmarkEnd w:id="45"/>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      Por lo que respecta al primer requisito, el tribunal remitente señala que Google Inc. gestiona técnica y administrativamente Google Search y que no está probado que Google Spain realice en España una actividad directamente vinculada a la indexación o al almacenamiento de información o de datos contenidos en los sitios de Internet de terceros. Sin embargo, la actividad de promoción y venta de espacios publicitarios, de la que Google Spain es responsable para España, constituye la parte esencial de la actividad comercial del grupo Google y puede considerarse que está estrechamente vinculada a Google Search.</w:t>
      </w:r>
    </w:p>
    <w:bookmarkStart w:colFirst="0" w:colLast="0" w:name="28h4qwu" w:id="46"/>
    <w:bookmarkEnd w:id="46"/>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      El Sr. Costeja González, los Gobiernos español, italiano, austriaco y polaco y la Comisión consideran que, habida cuenta del vínculo indisociable entre la actividad del motor de búsqueda gestionado por Google Inc. y la de Google Spain, ésta debe considerarse un establecimiento de aquélla, en el marco de cuyas actividades se lleva a cabo el tratamiento de datos personales. En cambio, según Google Spain, Google Inc. y el Gobierno helénico, el artículo 4, apartado 1, letra a), de la Directiva 95/46 no se aplica en el supuesto de que se esté ante el primero de los tres requisitos enumerados por el tribunal remitente.</w:t>
      </w:r>
    </w:p>
    <w:bookmarkStart w:colFirst="0" w:colLast="0" w:name="nmf14n" w:id="47"/>
    <w:bookmarkEnd w:id="47"/>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      Sobre este particular, procede recordar, en primer lugar, que el considerando 19 de la Directiva aclara que «el establecimiento en el territorio de un Estado miembro implica el ejercicio efectivo y real de una actividad mediante una instalación estable», y «que la forma jurídica de dicho establecimiento, sea una simple sucursal o una empresa filial con personalidad jurídica, no es un factor determinante».</w:t>
      </w:r>
    </w:p>
    <w:bookmarkStart w:colFirst="0" w:colLast="0" w:name="37m2jsg" w:id="48"/>
    <w:bookmarkEnd w:id="48"/>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      Pues bien, no se discute que Google Spain se dedica al ejercicio efectivo y real de una actividad mediante una instalación estable en España. Además, al estar dotada de personalidad jurídica propia, es de este modo una filial de Google Inc. en territorio español, y, por lo tanto, un «establecimiento», en el sentido del artículo 4, apartado 1, letra a), de la Directiva 95/46.</w:t>
      </w:r>
    </w:p>
    <w:bookmarkStart w:colFirst="0" w:colLast="0" w:name="1mrcu09" w:id="49"/>
    <w:bookmarkEnd w:id="49"/>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Para cumplir el requisito establecido en dicha disposición, es necesario además que el tratamiento de datos personales por parte del responsable del tratamiento se «lleve a cabo en el marco de las actividades» de un establecimiento de dicho responsable situado en territorio de un Estado miembro.</w:t>
      </w:r>
    </w:p>
    <w:bookmarkStart w:colFirst="0" w:colLast="0" w:name="46r0co2" w:id="50"/>
    <w:bookmarkEnd w:id="50"/>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Google Spain y Google Inc. niegan que éste sea el caso, dado que el tratamiento de datos personales controvertido en el litigio principal lo lleva a cabo exclusivamente Google Inc., que gestiona Google Search sin ninguna intervención por parte de Google Spain, cuya actividad se limita a prestar apoyo a la actividad publicitaria del grupo Google, que es distinta de su servicio de motor de búsqueda.</w:t>
      </w:r>
    </w:p>
    <w:bookmarkStart w:colFirst="0" w:colLast="0" w:name="2lwamvv" w:id="51"/>
    <w:bookmarkEnd w:id="51"/>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No obstante, como subrayaron, en particular, el Gobierno español y la Comisión, el artículo 4, apartado 1, letra a), de la Directiva 95/46 no exige que el tratamiento de datos personales controvertido sea efectuado «por» el propio establecimiento en cuestión, sino que se realice «en el marco de las actividades» de éste.</w:t>
      </w:r>
    </w:p>
    <w:bookmarkStart w:colFirst="0" w:colLast="0" w:name="111kx3o" w:id="52"/>
    <w:bookmarkEnd w:id="52"/>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Además, visto el objetivo de la Directiva 95/46 de garantizar una protección eficaz y completa de las libertades y de los derechos fundamentales de las personas físicas, y, en particular, del derecho a la intimidad, en lo que respecta al tratamiento de los datos personales, ésta expresión no puede ser objeto de una interpretación restrictiva (véase, por analogía, la sentencia L’Oréal y otros, C‑324/09, EU:C:2011:474, apartados 62 y 63).</w:t>
      </w:r>
    </w:p>
    <w:bookmarkStart w:colFirst="0" w:colLast="0" w:name="3l18frh" w:id="53"/>
    <w:bookmarkEnd w:id="53"/>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En este marco, cabe señalar que se desprende, concretamente de los considerandos 18 a 20 y del artículo 4 de la Directiva 95/46, que el legislador de la Unión pretendió evitar que una persona se viera excluida de la protección garantizada por ella y que se eludiera esta protección, estableciendo un ámbito de aplicación territorial particularmente extenso.</w:t>
      </w:r>
    </w:p>
    <w:bookmarkStart w:colFirst="0" w:colLast="0" w:name="206ipza" w:id="54"/>
    <w:bookmarkEnd w:id="54"/>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Habida cuenta de este objetivo de la Directiva 95/46 y del tenor de su artículo 4, apartado 1, letra a), procede considerar que el tratamiento de datos personales realizado en orden al funcionamiento de un motor de búsqueda como Google Search, gestionado por una empresa que tiene su domicilio social en un Estado tercero pero que dispone de un establecimiento en un Estado miembro, se efectúa «en el marco de las actividades» de dicho establecimiento si éste está destinado a la promoción y venta en dicho Estado miembro de los espacios publicitarios del motor de búsqueda, que sirven para rentabilizar el servicio propuesto por el motor.</w:t>
      </w:r>
    </w:p>
    <w:bookmarkStart w:colFirst="0" w:colLast="0" w:name="4k668n3" w:id="55"/>
    <w:bookmarkEnd w:id="55"/>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En efecto, en tales circunstancias, las actividades del gestor del motor de búsqueda y las de su establecimiento situado en el Estado miembro de que se trate están indisociablemente ligadas, dado que las actividades relativas a los espacios publicitarios constituyen el medio para que el motor de búsqueda en cuestión sea económicamente rentable y dado que este motor es, al mismo tiempo, el medio que permite realizar las mencionadas actividades.</w:t>
      </w:r>
    </w:p>
    <w:bookmarkStart w:colFirst="0" w:colLast="0" w:name="2zbgiuw" w:id="56"/>
    <w:bookmarkEnd w:id="56"/>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      Sobre este particular, es necesario recordar que, como se ha precisado en los apartados 26 a 28 de la presente sentencia, la propia presentación de datos personales en una página de resultados de una búsqueda constituye un tratamiento de tales datos. Pues bien, toda vez que dicha presentación de resultados está acompañada, en la misma página, de la presentación de publicidad vinculada a los términos de búsqueda, es obligado declarar que el tratamiento de datos personales controvertido se lleva a cabo en el marco de la actividad publicitaria y comercial del establecimiento del responsable del tratamiento en territorio de un Estado miembro, en el caso de autos el territorio español.</w:t>
      </w:r>
    </w:p>
    <w:bookmarkStart w:colFirst="0" w:colLast="0" w:name="1egqt2p" w:id="57"/>
    <w:bookmarkEnd w:id="57"/>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      En tales circunstancias, no se puede aceptar que el tratamiento de datos personales llevado a cabo para el funcionamiento del mencionado motor de búsqueda se sustraiga a las obligaciones y a las garantías previstas por la Directiva 95/46, lo que menoscabaría su efecto útil y la protección eficaz y completa de las libertades y de los derechos fundamentales de las personas físicas que tiene por objeto garantizar (véase, por analogía, la sentencia L’Oréal y otros, EU:C:2011:474, apartados 62 y 63), en particular, el respeto de su vida privada en lo que respecta al tratamiento de datos personales, al que esta Directiva concede una importancia especial, como confirman, concretamente, su artículo 1, apartado 1, y sus considerandos 2 y 10 (véanse, en este sentido, las sentencias Österreichischer Rundfunk y otros, C‑465/00, C‑138/01 y C‑139/01, EU:C:2003:294, apartado 70; Rijkeboer, C‑553/07, EU:C:2009:293, apartado 47, e IPI, C‑473/12, EU:C:2013:715, apartado 28 y jurisprudencia citada).</w:t>
      </w:r>
    </w:p>
    <w:bookmarkStart w:colFirst="0" w:colLast="0" w:name="3ygebqi" w:id="58"/>
    <w:bookmarkEnd w:id="58"/>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      En la medida en que el primero de los tres requisitos enumerados por el tribunal remitente basta por sí mismo para concluir que un establecimiento como Google Spain cumple el criterio recogido en el artículo 4, apartado 1, letra a), de la Directiva 95/46, no es necesario examinar los otros dos requisitos.</w:t>
      </w:r>
    </w:p>
    <w:bookmarkStart w:colFirst="0" w:colLast="0" w:name="2dlolyb" w:id="59"/>
    <w:bookmarkEnd w:id="59"/>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De lo anterior se deduce que procede responder a la primera cuestión prejudicial, letra a), que el artículo 4, apartado 1, letra a), de la Directiva 95/46 debe interpretarse en el sentido de que se lleva a cabo un tratamiento de datos personales en el marco de las actividades de un establecimiento del responsable de dicho tratamiento en territorio de un Estado miembro, en el sentido de dicha disposición, cuando el gestor de un motor de búsqueda crea en el Estado miembro una sucursal o una filial destinada a garantizar la promoción y la venta de espacios publicitarios propuestos por el mencionado motor y cuya actividad se dirige a los habitantes de este Estado miembro.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Primera cuestión prejudicial, letras b) a d)</w:t>
      </w:r>
    </w:p>
    <w:bookmarkStart w:colFirst="0" w:colLast="0" w:name="sqyw64" w:id="60"/>
    <w:bookmarkEnd w:id="60"/>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      En vista de la respuesta dada a la primera cuestión prejudicial, letra a), no es preciso contestar a la primera cuestión, letras b) a 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Sobre la segunda cuestión prejudicial, letras c) y d), relativa al alcance de la responsabilidad del gestor de un motor de búsqueda en virtud de la Directiva 95/46</w:t>
      </w:r>
    </w:p>
    <w:bookmarkStart w:colFirst="0" w:colLast="0" w:name="3cqmetx" w:id="61"/>
    <w:bookmarkEnd w:id="61"/>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Mediante su segunda cuestión prejudicial, letras c) y d), el tribunal remitente desea saber, en esencia, si los artículos 12, letra b), y 14, párrafo primero, letra a), de la Directiva 95/46 deben interpretarse en el sentido de que, para respetar los derechos que establecen estas disposiciones, el gestor de un motor de búsqueda está obligado a eliminar de la lista de resultados obtenida tras una búsqueda efectuada a partir del nombre de una persona vínculos a páginas web, publicadas por terceros y que contienen información relativa a esta persona, también en el supuesto de que este nombre o esta información no se borren previa o simultáneamente de estas páginas web, y, en su caso, aunque la publicación en sí misma en dichas páginas sea lícita.</w:t>
      </w:r>
    </w:p>
    <w:bookmarkStart w:colFirst="0" w:colLast="0" w:name="1rvwp1q" w:id="62"/>
    <w:bookmarkEnd w:id="62"/>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Google Spain y Google Inc. consideran que, en virtud del principio de proporcionalidad, cualquier solicitud que tenga por objeto que se elimine información debe dirigirse al editor del sitio de Internet de que se trate, ya que éste es quien asume la responsabilidad de publicar la información, quien puede examinar la licitud de esta publicación y quien dispone de los medios más eficaces y menos restrictivos para hacer que esa información sea inaccesible. Además, consideran que imponer al gestor de un motor de búsqueda que retire de sus índices información publicada en Internet no tiene suficientemente en cuenta los derechos fundamentales de los editores de sitios de Internet, del resto de los internautas y del propio gestor.</w:t>
      </w:r>
    </w:p>
    <w:bookmarkStart w:colFirst="0" w:colLast="0" w:name="4bvk7pj" w:id="63"/>
    <w:bookmarkEnd w:id="63"/>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Según el gobierno austriaco, una autoridad de control nacional únicamente puede ordenar a tal gestor que borre de sus ficheros información publicada por terceros si anteriormente se ha declarado la ilegalidad o la inexactitud de los datos controvertidos o si el interesado ha ejercido con éxito su derecho de oposición ante el editor del sitio de Internet en el que se ha publicado la información.</w:t>
      </w:r>
    </w:p>
    <w:bookmarkStart w:colFirst="0" w:colLast="0" w:name="2r0uhxc" w:id="64"/>
    <w:bookmarkEnd w:id="64"/>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El Sr. Costeja González, los Gobiernos español, italiano y polaco y la Comisión consideran que la autoridad nacional puede ordenar directamente al gestor de un motor de búsqueda que retire de sus índices y de su memoria intermedia información que contiene datos personales publicada por terceros, sin dirigirse previa o simultáneamente al editor de la página web en la que se ubica dicha información. Además, a juicio del Sr. Costeja González, de los Gobiernos español e italiano y de la Comisión, el que dicha información se publicara de forma lícita y que siga figurando en la página web de origen carece de relevancia sobre las obligaciones de dicho gestor con arreglo a la Directiva 95/46. En cambio, para el Gobierno polaco, este hecho le libera de sus obligaciones.</w:t>
      </w:r>
    </w:p>
    <w:bookmarkStart w:colFirst="0" w:colLast="0" w:name="1664s55" w:id="65"/>
    <w:bookmarkEnd w:id="65"/>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      Con carácter previo, procede recordar que, como se desprende de su artículo 1 y de su considerando 10, la Directiva 95/46 tiene por objeto garantizar un nivel elevado de protección de las libertades y los derechos fundamentales de las personas físicas, sobre todo de su vida privada, en relación con el tratamiento de datos personales (véase, en este sentido, la sentencia IPI, EU:C:2013:715, apartado 28).</w:t>
      </w:r>
    </w:p>
    <w:bookmarkStart w:colFirst="0" w:colLast="0" w:name="3q5sasy" w:id="66"/>
    <w:bookmarkEnd w:id="66"/>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      Según el considerando 25 de la Directiva 95/46, los principios de la protección que ésta establece tienen su expresión, por una parte, en las distintas obligaciones que incumben a las personas que efectúen tratamientos —obligaciones relativas, en particular, a la calidad de los datos, la seguridad técnica, la notificación a las autoridades de control y las circunstancias en las que se puede efectuar el tratamiento—, y, por otra parte, en los derechos otorgados a las personas cuyos datos sean objeto de tratamiento de ser informadas acerca de dicho tratamiento, de poder acceder a los datos, de poder solicitar su rectificación o incluso de oponerse a su tratamiento en determinadas circunstancias.</w:t>
      </w:r>
    </w:p>
    <w:bookmarkStart w:colFirst="0" w:colLast="0" w:name="25b2l0r" w:id="67"/>
    <w:bookmarkEnd w:id="67"/>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      El Tribunal de Justicia ya ha declarado que las disposiciones de la Directiva 95/46, en la medida en que regulan el tratamiento de datos personales que pueden atentar contra las libertades fundamentales y, en particular, contra el derecho a la intimidad, deben ser interpretadas a la luz de los derechos fundamentales que, según reiterada jurisprudencia, forman parte de los principios generales del Derecho cuyo respeto garantiza el Tribunal de Justicia y que están actualmente recogidos en la Carta (véanse, en particular, las sentencias Connolly/Comisión, C‑274/99 P, EU:C:2001:127, apartado 37, y Österreichischer Rundfunk y otros, EU:C:2003:294, apartado 68).</w:t>
      </w:r>
    </w:p>
    <w:bookmarkStart w:colFirst="0" w:colLast="0" w:name="kgcv8k" w:id="68"/>
    <w:bookmarkEnd w:id="68"/>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      De este modo, el artículo 7 de la Carta garantiza el respecto de la vida privada, mientras que el artículo 8 de la Carta proclama expresamente el derecho a la protección de los datos personales. Los apartados 2 y 3 de este último precisan que estos datos se tratarán de modo leal, para fines concretos y sobre la base del consentimiento de la persona afectada o en virtud de otro fundamento legítimo previsto por la ley, que toda persona tiene derecho a acceder a los datos recogidos que le conciernan y a obtener su rectificación y que el respeto de estas normas estará sujeto al control de una autoridad independiente. Aplican estos requisitos, en particular, los artículos 6, 7, 12, 14 y 28 de la Directiva 95/46.</w:t>
      </w:r>
    </w:p>
    <w:bookmarkStart w:colFirst="0" w:colLast="0" w:name="34g0dwd" w:id="69"/>
    <w:bookmarkEnd w:id="69"/>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En relación con el artículo 12, letra b), de la Directiva 95/46, éste dispone que los Estados miembros garantizarán a todos los interesados el derecho de obtener del responsable del tratamiento, en su caso, la rectificación, la supresión o el bloqueo de los datos cuyo tratamiento no se ajuste a las disposiciones de la presente Directiva, en particular a causa del carácter incompleto o inexacto de los datos. Esta última aclaración, relativa al supuesto del incumplimiento de algunos requisitos recogidos en el artículo 6, apartado 1, letra d), de la Directiva 95/46, tiene carácter de ejemplo y no es taxativa, de lo que se desprende que la falta de conformidad del tratamiento, que puede ofrecer al interesado el derecho garantizado por el artículo 12, letra b), de dicha Directiva, puede también derivarse del incumplimiento de otros requisitos de legalidad impuestos por ésta al tratamiento de datos personales.</w:t>
      </w:r>
    </w:p>
    <w:bookmarkStart w:colFirst="0" w:colLast="0" w:name="1jlao46" w:id="70"/>
    <w:bookmarkEnd w:id="70"/>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      Sobre este particular, procede recordar que, no obstante las excepciones admitidas al amparo del artículo 13 de la Directiva 95/46, todo tratamiento de datos personales debe ser conforme, por una parte, con los principios relativos a la calidad de los datos, enunciados en el artículo 6 de dicha Directiva, y, por otra, con alguno de los principios relativos a la legitimación del tratamiento de datos, enumerados en el artículo 7 de la Directiva (véanse las sentencias Österreichischer Rundfunk y otros, EU:C:2003:294, apartado 65; ASNEF y FECEMD, C‑468/10 y C‑469/10, EU:C:2011:777, apartado 26, y Worten, C‑342/12, EU:C:2013:355, apartado 33).</w:t>
      </w:r>
    </w:p>
    <w:bookmarkStart w:colFirst="0" w:colLast="0" w:name="43ky6rz" w:id="71"/>
    <w:bookmarkEnd w:id="71"/>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A tenor de este artículo 6 y sin perjuicio de las disposiciones específicas que los Estados miembros puedan establecer para el tratamiento con fines históricos, estadísticos o científicos, incumbe al responsable del tratamiento garantizar que los datos personales sean «tratados de manera leal y lícita», que sean «recogidos con fines determinados, explícitos y legítimos, y no sean tratados posteriormente de manera incompatible con dichos fines», que sean «adecuados, pertinentes y no excesivos con relación a los fines para los que se recaben y para los que se traten posteriormente», que sean «exactos y, cuando sea necesario, actualizados», y, por último, que sean «conservados en una forma que permita la identificación de los interesados durante un período no superior al necesario para los fines para los que fueron recogidos o para los que se traten ulteriormente». En este marco, el mencionado responsable debe adoptar todas las medidas razonables para que los datos que no responden a los requisitos de esta disposición sean suprimidos o rectificados.</w:t>
      </w:r>
    </w:p>
    <w:bookmarkStart w:colFirst="0" w:colLast="0" w:name="2iq8gzs" w:id="72"/>
    <w:bookmarkEnd w:id="72"/>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En cuanto a la legitimación, en virtud del artículo 7 de la Directiva 95/46, de un tratamiento como el controvertido en el litigio principal efectuado por el gestor de un motor de búsqueda, éste puede estar incluido en la razón recogida en dicho artículo 7, letra f).</w:t>
      </w:r>
    </w:p>
    <w:bookmarkStart w:colFirst="0" w:colLast="0" w:name="xvir7l" w:id="73"/>
    <w:bookmarkEnd w:id="73"/>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      Esta disposición permite el tratamiento de datos personales cuando es necesario para la satisfacción del interés legítimo perseguido por el responsable del tratamiento o por el tercero o terceros a los que se comuniquen los datos, siempre que no prevalezca el interés o los derechos y libertades fundamentales del interesado, en particular, su derecho al respeto de su vida privada, en lo que respecta al tratamiento de datos personales, que requieran protección con arreglo al apartado 1 del artículo 1 de la Directiva. De este modo, la aplicación del mencionado artículo 7, letra f), precisa de una ponderación de los derechos e intereses en liza de que se trate, en cuyo marco debe tenerse en cuenta la importancia de los derechos del interesado, que resulta de los artículos 7 y 8 de la Carta (véase la sentencia ASNEF y FECEMD, EU:C:2011:777, apartados 38 y 40).</w:t>
      </w:r>
    </w:p>
    <w:bookmarkStart w:colFirst="0" w:colLast="0" w:name="3hv69ve" w:id="74"/>
    <w:bookmarkEnd w:id="74"/>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      Aunque la conformidad del tratamiento con los artículos 6 y 7, letra f), de la Directiva 95/46 puede comprobarse en el marco de una solicitud, en el sentido del artículo 12, letra b), de esta Directiva, el interesado puede además invocar en determinados supuestos el derecho de oposición previsto en el artículo 14, párrafo primero, letra a), de ésta.</w:t>
      </w:r>
    </w:p>
    <w:bookmarkStart w:colFirst="0" w:colLast="0" w:name="1x0gk37" w:id="75"/>
    <w:bookmarkEnd w:id="75"/>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      Según dicho artículo 14, párrafo primero, letra a), los Estados miembros reconocerán al interesado el derecho a oponerse, al menos en los casos contemplados en las letras e) y f) del artículo 7 de la Directiva 95/46, en cualquier momento y por razones legítimas propias de su situación particular, a que los datos que le conciernan sean objeto de tratamiento, salvo cuando la legislación nacional disponga otra cosa. La ponderación que ha de efectuarse en el marco de dicho artículo 14, párrafo primero, letra a), permite así tener en cuenta de modo más específico todas las circunstancias que rodean a la situación concreta del interesado. En caso de oposición justificada, el tratamiento que efectúe el responsable no podrá referirse ya a esos datos.</w:t>
      </w:r>
    </w:p>
    <w:bookmarkStart w:colFirst="0" w:colLast="0" w:name="4h042r0" w:id="76"/>
    <w:bookmarkEnd w:id="76"/>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      El interesado puede dirigir las solicitudes con arreglo a los artículos 12, letra b), y 14, párrafo primero, letra a), de la Directiva 95/46 directamente al responsable del tratamiento, que debe entonces examinar debidamente su fundamento y, en su caso, poner fin al tratamiento de los datos controvertidos. Cuando el responsable del tratamiento no accede a las solicitudes, el interesado puede acudir a la autoridad de control o a los tribunales para que éstos lleven a cabo las comprobaciones necesarias y ordenen a dicho gestor las medidas precisas en consecuencia.</w:t>
      </w:r>
    </w:p>
    <w:bookmarkStart w:colFirst="0" w:colLast="0" w:name="2w5ecyt" w:id="77"/>
    <w:bookmarkEnd w:id="77"/>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      A este respecto, procede recordar que se deriva del artículo 28, apartados 3 y 4, de la Directiva 95/46 que toda autoridad de control entenderá de las solicitudes de cualquier persona relativas a la protección de sus derechos y libertades en relación con el tratamiento de datos personales y que dispone de poderes de investigación y de poderes efectivos de intervención, que le permiten, en particular, ordenar el bloqueo, la supresión o la destrucción de datos, o prohibir provisional o definitivamente un tratamiento.</w:t>
      </w:r>
    </w:p>
    <w:bookmarkStart w:colFirst="0" w:colLast="0" w:name="1baon6m" w:id="78"/>
    <w:bookmarkEnd w:id="78"/>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      Deben interpretarse y aplicarse a la luz de estas consideraciones las disposiciones de la Directiva 95/46 que regulan los derechos del interesado cuando la autoridad de control o los tribunales conocen de una solicitud como la controvertida en el litigio principal.</w:t>
      </w:r>
    </w:p>
    <w:bookmarkStart w:colFirst="0" w:colLast="0" w:name="3vac5uf" w:id="79"/>
    <w:bookmarkEnd w:id="79"/>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      A este respecto, debe señalarse, en primer lugar, que, como se ha afirmado en los apartados 36 a 38 de la presente sentencia, un tratamiento de datos personales como el controvertido en el litigio principal, efectuado por el gestor de un motor de búsqueda, puede afectar significativamente a los derechos fundamentales de respeto de la vida privada y de protección de datos personales cuando la búsqueda realizada sirviéndose de ese motor de búsqueda se lleva a cabo a partir del nombre de una persona física, toda vez que dicho tratamiento permite a cualquier internauta obtener mediante la lista de resultados una visión estructurada de la información relativa a esta persona que puede hallarse en Internet, que afecta potencialmente a una multitud de aspectos de su vida privada, que, sin dicho motor, no se habrían interconectado o sólo podrían haberlo sido muy difícilmente y que le permite de este modo establecer un perfil más o menos detallado de la persona de que se trate. Además, el efecto de la injerencia en dichos derechos del interesado se multiplica debido al importante papel que desempeñan Internet y los motores de búsqueda en la sociedad moderna, que confieren a la información contenida en tal lista de resultados carácter ubicuo (véase, en este sentido, la sentencia eDate Advertising y otros, C‑509/09 y C‑161/10, EU:C:2011:685, apartado 45).</w:t>
      </w:r>
    </w:p>
    <w:bookmarkStart w:colFirst="0" w:colLast="0" w:name="2afmg28" w:id="80"/>
    <w:bookmarkEnd w:id="80"/>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      Vista la gravedad potencial de esta injerencia, es obligado declarar que el mero interés económico del gestor de tal motor en este tratamiento no la justifica. Sin embargo, en la medida en que la supresión de vínculos de la lista de resultados podría, en función de la información de que se trate, tener repercusiones en el interés legítimo de los internautas potencialmente interesados en tener acceso a la información en cuestión, es preciso buscar, en situaciones como las del litigio principal, un justo equilibrio, en particular entre este interés y los derechos fundamentales de la persona afectada con arreglo a los artículos 7 y 8 de la Carta. Aunque, ciertamente, los derechos de esa persona protegidos por dichos artículos prevalecen igualmente, con carácter general, sobre el mencionado interés de los internautas, no obstante este equilibrio puede depender, en supuestos específicos, de la naturaleza de la información de que se trate y del carácter sensible para la vida privada de la persona afectada y del interés del público en disponer de esta información, que puede variar, en particular, en función del papel que esta persona desempeñe en la vida pública.</w:t>
      </w:r>
    </w:p>
    <w:bookmarkStart w:colFirst="0" w:colLast="0" w:name="pkwqa1" w:id="81"/>
    <w:bookmarkEnd w:id="81"/>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Como resultado del examen de los requisitos de aplicación de los artículos 12, letra b), y 14, párrafo primero, letra a), de la Directiva 95/46, que se ha de realizar cuando conocen de una solicitud como la controvertida en el litigio principal, la autoridad de control o el órgano jurisdiccional pueden ordenar a dicho gestor eliminar de la lista de resultados obtenida tras una búsqueda efectuada a partir del nombre de una persona vínculos a páginas web, publicadas por terceros y que contienen información relativa a esta persona, sin que una orden en dicho sentido presuponga que ese nombre o esa información sean, con la conformidad plena del editor o por orden de una de estas autoridades, eliminados con carácter previo o simultáneamente de la página web en la que han sido publicados.</w:t>
      </w:r>
    </w:p>
    <w:bookmarkStart w:colFirst="0" w:colLast="0" w:name="39kk8xu" w:id="82"/>
    <w:bookmarkEnd w:id="82"/>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En efecto, como se ha afirmado en los puntos 35 a 38 de la presente sentencia, en la medida en que el tratamiento de datos personales llevado a cabo en la actividad de un motor de búsqueda se distingue del efectuado por los editores de sitios de Internet y se añade a éste y afecta de modo adicional a los derechos fundamentales del interesado, el gestor de este motor, como responsable del tratamiento, debe garantizar, en el marco de sus responsabilidades, de sus competencias y de sus posibilidades, que dicho tratamiento cumple los requisitos de la Directiva 95/46, para que las garantías que ella establece puedan tener pleno efecto.</w:t>
      </w:r>
    </w:p>
    <w:bookmarkStart w:colFirst="0" w:colLast="0" w:name="1opuj5n" w:id="83"/>
    <w:bookmarkEnd w:id="83"/>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A este respecto, cabe señalar que, habida cuenta de la facilidad con que la información publicada en un sitio de Internet puede ser copiada en otros sitios y de que los responsables de su publicación no están siempre sujetos al Derecho de la Unión, no podría llevarse a cabo una protección eficaz y completa de los interesados si éstos debieran obtener con carácter previo o en paralelo la eliminación de la información que les afecta de los editores de sitios de Internet.</w:t>
      </w:r>
    </w:p>
    <w:bookmarkStart w:colFirst="0" w:colLast="0" w:name="48pi1tg" w:id="84"/>
    <w:bookmarkEnd w:id="84"/>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      Además, el tratamiento por parte del editor de una página web, que consiste en la publicación de información relativa a una persona física, puede, en su caso, efectuarse «con fines exclusivamente periodísticos» y beneficiarse, de este modo, en virtud del artículo 9 de la Directiva 95/46, de las excepciones a los requisitos que ésta establece, mientras que ése no es el caso en el supuesto del tratamiento que lleva a cabo el gestor de un motor de búsqueda. De este modo, no puede excluirse que el interesado pueda en determinadas circunstancias ejercer los derechos recogidos en los artículos 12, letra b), y 14, párrafo primero, letra a), de la Directiva 95/46 contra el gestor, pero no contra el editor de dicha página web.</w:t>
      </w:r>
    </w:p>
    <w:bookmarkStart w:colFirst="0" w:colLast="0" w:name="2nusc19" w:id="85"/>
    <w:bookmarkEnd w:id="85"/>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      Por último, debe observarse que no sólo la razón que justifica, en virtud del artículo 7 de la Directiva 95/46, la publicación de un dato personal en un sitio de Internet no coincide forzosamente con la que se aplica a la actividad de los motores de búsqueda, sino que, aun cuando éste sea el caso, el resultado de la ponderación de los intereses en conflicto que ha de llevarse a cabo en virtud de los artículos 7, letra f), y 14, párrafo primero, letra a), de la mencionada Directiva puede divergir en función de que se trate de un tratamiento llevado a cabo por un gestor de un motor de búsqueda o por el editor de esta página web, dado que, por un lado, los intereses legítimos que justifican estos tratamientos pueden ser diferentes, y, por otro, las consecuencias de estos tratamientos sobre el interesado, y, en particular, sobre su vida privada, no son necesariamente las mismas.</w:t>
      </w:r>
    </w:p>
    <w:bookmarkStart w:colFirst="0" w:colLast="0" w:name="1302m92" w:id="86"/>
    <w:bookmarkEnd w:id="86"/>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      En efecto, en la medida en que la inclusión, en la lista de resultados obtenida tras una búsqueda llevada a cabo a partir del nombre de una persona, de una página web y de información contenida en ella relativa a esta persona facilita sensiblemente la accesibilidad de dicha información a cualquier internauta que lleve a cabo una búsqueda sobre el interesado y puede desempeñar un papel decisivo para la difusión de esta información, puede constituir una injerencia mayor en el derecho fundamental al respeto de la vida privada del interesado que la publicación por el editor de esta página web.</w:t>
      </w:r>
    </w:p>
    <w:bookmarkStart w:colFirst="0" w:colLast="0" w:name="3mzq4wv" w:id="87"/>
    <w:bookmarkEnd w:id="87"/>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      A la luz del conjunto de consideraciones precedentes procede responder a la segunda cuestión prejudicial, letras c) y d), que los artículos 12, letra b) y 14, párrafo primero, letra a), de la Directiva 95/46 deben interpretarse en el sentido de que, para respetar los derechos que establecen estas disposiciones, siempre que se cumplan realmente los requisitos establecidos en ellos, el gestor de un motor de búsqueda está obligado a eliminar de la lista de resultados obtenida tras una búsqueda efectuada a partir del nombre de una persona vínculos a páginas web, publicadas por terceros y que contienen información relativa a esta persona, también en el supuesto de que este nombre o esta información no se borren previa o simultáneamente de estas páginas web, y, en su caso, aunque la publicación en dichas páginas sea en sí misma lícita.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Sobre la tercera cuestión prejudicial, relativa al alcance de los derechos del interesado garantizados por la Directiva 95/46</w:t>
      </w:r>
    </w:p>
    <w:bookmarkStart w:colFirst="0" w:colLast="0" w:name="2250f4o" w:id="88"/>
    <w:bookmarkEnd w:id="88"/>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      Mediante su tercera cuestión prejudicial, el tribunal remitente desea saber, en esencia, si los artículos 12, letra b), y 14, párrafo primero, letra a), de la Directiva 95/46 deben interpretarse en el sentido de que permiten al interesado exigir al gestor de un motor de búsqueda eliminar de la lista de resultados obtenida como consecuencia de una búsqueda efectuada a partir de su nombre vínculos a páginas web, publicadas legalmente por terceros y que contienen datos e información verídicos relativos a su persona, debido a que estos datos e información pueden perjudicarle o que desee que estos datos e información se «olviden» tras un determinado lapso de tiempo.</w:t>
      </w:r>
    </w:p>
    <w:bookmarkStart w:colFirst="0" w:colLast="0" w:name="haapch" w:id="89"/>
    <w:bookmarkEnd w:id="89"/>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Google Spain, Google Inc., los Gobiernos helénico, austriaco y polaco y la Comisión consideran que debe darse una respuesta negativa a esta cuestión. Google Spain, Google Inc., el Gobierno polaco y la Comisión alegan a este respecto que los artículos 12, letra b) y 14, párrafo primero, letra a), de la Directiva 95/46 confieren derechos a los interesados únicamente a condición de que el tratamiento controvertido sea incompatible con dicha Directiva o por razones legítimas propias de su situación particular, y no por la mera razón de que consideren que este tratamiento puede perjudicarles o deseen que los datos objeto de ese tratamiento caigan en el olvido. Los Gobiernos helénico y austriaco consideran que el interesado debe dirigirse al editor del sitio de Internet de que se trate.</w:t>
      </w:r>
    </w:p>
    <w:bookmarkStart w:colFirst="0" w:colLast="0" w:name="319y80a" w:id="90"/>
    <w:bookmarkEnd w:id="90"/>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      El Sr. Costeja González y los Gobiernos español e italiano son de la opinión de que el interesado puede oponerse a la indexación de sus datos personales por un motor de búsqueda cuando la difusión de estos datos por la intermediación de éste le perjudica y de que sus derechos fundamentales a la protección de dichos datos y de respeto a la vida privada, que engloban el «derecho al olvido», prevalecen sobre los intereses legítimos del gestor de dicho motor y el interés general en la libertad de información.</w:t>
      </w:r>
    </w:p>
    <w:bookmarkStart w:colFirst="0" w:colLast="0" w:name="1gf8i83" w:id="91"/>
    <w:bookmarkEnd w:id="91"/>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      En relación con el artículo 12, letra b), de la Directiva 95/46, cuya aplicación está sometida al requisito de que el tratamiento de datos personales sea incompatible con dicha Directiva, es necesario recordar que, como se ha señalado en el apartado 72 de la presente sentencia, tal incompatibilidad puede resultar no sólo de que los datos sean inexactos, sino en particular, de que sean inadecuados, no pertinentes y excesivos en relación con los fines del tratamiento, de que no estén actualizados o de que se conserven durante un período superior al necesario, a menos que se imponga su conservación por fines históricos, estadísticos o científicos.</w:t>
      </w:r>
    </w:p>
    <w:bookmarkStart w:colFirst="0" w:colLast="0" w:name="40ew0vw" w:id="92"/>
    <w:bookmarkEnd w:id="92"/>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Se deduce de estos requisitos, establecidos en el artículo 6, apartado 1, letras c) a e), de la Directiva 95/46, que incluso un tratamiento inicialmente lícito de datos exactos puede devenir, con el tiempo, incompatible con dicha Directiva cuando estos datos ya no sean necesarios en relación con los fines para los que se recogieron o trataron. Éste es el caso, en particular, cuando son inadecuados, no pertinentes o ya no pertinentes o son excesivos en relación con estos fines y el tiempo transcurrido.</w:t>
      </w:r>
    </w:p>
    <w:bookmarkStart w:colFirst="0" w:colLast="0" w:name="2fk6b3p" w:id="93"/>
    <w:bookmarkEnd w:id="93"/>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      Por consiguiente, en el supuesto en el que se aprecie, tras una solicitud del interesado en virtud del artículo 12, letra b), de la Directiva 95/46, que la inclusión en la lista de resultados obtenida como consecuencia de una búsqueda efectuada a partir de su nombre, de vínculos a páginas web, publicadas legalmente por terceros y que contienen datos e información verídicos relativos a su persona, es, en la situación actual, incompatible con dicho artículo 6, apartado 1, letras c) a e), debido a que esta información, habida cuenta del conjunto de las circunstancias que caracterizan el caso de autos, es inadecuada, no es pertinente, o ya no lo es, o es excesiva en relación con los fines del tratamiento en cuestión realizado por el motor de búsqueda, la información y los vínculos de dicha lista de que se trate deben eliminarse.</w:t>
      </w:r>
    </w:p>
    <w:bookmarkStart w:colFirst="0" w:colLast="0" w:name="upglbi" w:id="94"/>
    <w:bookmarkEnd w:id="94"/>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      En lo que atañe a las solicitudes en el sentido de este artículo 12, letra b), basadas en el supuesto incumplimiento de los requisitos establecidos en el artículo 7, letra f), de la Directiva 95/46 y con arreglo al artículo 14, párrafo primero, letra a), de dicha Directiva, ha de señalarse que cada tratamiento de datos personales debe ser legítimo, en virtud del artículo 7, durante todo el período en el que se efectúa.</w:t>
      </w:r>
    </w:p>
    <w:bookmarkStart w:colFirst="0" w:colLast="0" w:name="3ep43zb" w:id="95"/>
    <w:bookmarkEnd w:id="95"/>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      Visto lo que antecede, al apreciar tales solicitudes presentadas contra un tratamiento como el controvertido en el litigio principal, se tendrá que examinar, en particular, si el interesado tiene derecho a que la información relativa a su persona ya no esté, en la situación actual, vinculada a su nombre por una lista de resultados obtenida tras una búsqueda efectuada a partir de su nombre. A este respecto, cabe señalar que la apreciación de la existencia de tal derecho no presupone que la inclusión de la información en cuestión en la lista de resultados cause un perjuicio al interesado.</w:t>
      </w:r>
    </w:p>
    <w:bookmarkStart w:colFirst="0" w:colLast="0" w:name="1tuee74" w:id="96"/>
    <w:bookmarkEnd w:id="96"/>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      Ya que el interesado puede, habida cuenta de sus derechos con arreglo a los artículos 7 y 8 de la Carta, solicitar que la información de que se trate ya no se ponga a disposición del público en general mediante su inclusión en tal lista de resultados, es necesario considerar, como se desprende, en particular, del apartado 81 de la presente sentencia, que estos derechos prevalecen, en principio, no sólo sobre el interés económico del gestor del motor de búsqueda, sino también sobre el interés de dicho público en encontrar la mencionada información en una búsqueda que verse sobre el nombre de esa persona. Sin embargo, tal no sería el caso si resultara, por razones concretas, como el papel desempeñado por el mencionado interesado en la vida pública, que la injerencia en sus derechos fundamentales está justificada por el interés preponderante de dicho público en tener, a raíz de esta inclusión, acceso a la información de que se trate.</w:t>
      </w:r>
    </w:p>
    <w:bookmarkStart w:colFirst="0" w:colLast="0" w:name="4du1wux" w:id="97"/>
    <w:bookmarkEnd w:id="97"/>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      En relación con una situación como la del litigio principal, que se refiere a la presentación, en la lista de resultados que el internauta obtiene al efectuar una búsqueda a partir del nombre del interesado con ayuda de Google Search, de vínculos a dos páginas de archivos en línea de un periódico que contienen anuncios que mencionan el nombre de esta persona y relativos a una subasta inmobiliaria vinculada a un embargo por deudas a la Seguridad Social, es preciso considerar que, teniendo en cuenta el carácter sensible de la información contenida en dichos anuncios para la vida privada de esta persona y de que su publicación inicial se remonta a 16 años atrás, el interesado justifica que tiene derecho a que esta información ya no se vincule a su nombre mediante esa lista. Por tanto, en la medida en que en el caso de autos no parece existir razones concretas que justifiquen un interés preponderante del público en tener acceso a esta información en el marco de tal búsqueda, lo que no obstante incumbe comprobar al órgano jurisdiccional remitente, el interesado puede, en virtud de los artículos 12, letra b), y 14, párrafo primero, letra a), de la Directiva 95/46, exigir que se eliminen estos vínculos de la lista de resultados.</w:t>
      </w:r>
    </w:p>
    <w:bookmarkStart w:colFirst="0" w:colLast="0" w:name="2szc72q" w:id="98"/>
    <w:bookmarkEnd w:id="98"/>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      De las consideraciones anteriores se desprende que procede responder a la tercera cuestión prejudicial que los artículos 12, letra b), y 14, párrafo primero, letra a), de la Directiva 95/46 deben interpretarse en el sentido de que, al analizar los requisitos de aplicación de estas disposiciones, se tendrá que examinar, en particular, si el interesado tiene derecho a que la información en cuestión relativa a su persona ya no esté, en la situación actual, vinculada a su nombre por una lista de resultados, obtenida tras una búsqueda efectuada a partir de su nombre, sin que la apreciación de la existencia de tal derecho presuponga que la inclusión de la información en cuestión en la lista de resultados cause un perjuicio al interesado. Puesto que éste puede, habida cuenta de los derechos que le reconocen los artículos 7 y 8 de la Carta, solicitar que la información de que se trate ya no se ponga a disposición del público en general mediante su inclusión en tal lista de resultados, estos derechos prevalecen, en principio, no sólo sobre el interés económico del gestor del motor de búsqueda, sino también sobre el interés de dicho público en acceder a la mencionada información en una búsqueda que verse sobre el nombre de esa persona. Sin embargo, tal no sería el caso si resultara, por razones concretas, como el papel desempeñado por el interesado en la vida pública, que la injerencia en sus derechos fundamentales está justificada por el interés preponderante de dicho público en tener, a raíz de esta inclusión, acceso a la información de que se trate.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Costas</w:t>
      </w:r>
    </w:p>
    <w:bookmarkStart w:colFirst="0" w:colLast="0" w:name="184mhaj" w:id="99"/>
    <w:bookmarkEnd w:id="99"/>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Dado que el procedimiento tiene, para las partes del litigio principal, el carácter de un incidente promovido ante el órgano jurisdiccional nacional, corresponde a éste resolver sobre las costas. Los gastos efectuados al presentar observaciones ante el Tribunal de Justicia, distintos de aquellos en que hayan incurrido dichas partes, no pueden ser objeto de reembolso.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virtud de todo lo expuesto, el Tribunal de Justicia (Gran Sala) declara: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1)      </w:t>
      </w:r>
      <w:r w:rsidDel="00000000" w:rsidR="00000000" w:rsidRPr="00000000">
        <w:rPr>
          <w:b w:val="1"/>
          <w:rtl w:val="0"/>
        </w:rPr>
        <w:t xml:space="preserve">El artículo 2, letras b) y d), de la Directiva 95/46/CE del Parlamento Europeo y del Consejo, de 24 de octubre de 1995, relativa a la protección de las personas físicas en lo que respecta al tratamiento de datos personales y a la libre circulación de estos datos, debe interpretarse en el sentido de que, por un lado, la actividad de un motor de búsqueda, que consiste en hallar información publicada o puesta en Internet por terceros, indexarla de manera automática, almacenarla temporalmente y, por último, ponerla a disposición de los internautas según un orden de preferencia determinado, debe calificarse de «tratamiento de datos personales», en el sentido de dicho artículo 2, letra b), cuando esa información contiene datos personales, y, por otro, el gestor de un motor de búsqueda debe considerarse «responsable» de dicho tratamiento, en el sentido del mencionado artículo 2, letra 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2)      </w:t>
      </w:r>
      <w:r w:rsidDel="00000000" w:rsidR="00000000" w:rsidRPr="00000000">
        <w:rPr>
          <w:b w:val="1"/>
          <w:rtl w:val="0"/>
        </w:rPr>
        <w:t xml:space="preserve">El artículo 4, apartado 1, letra a), de la Directiva 95/46 debe interpretarse en el sentido de que se lleva a cabo un tratamiento de datos personales en el marco de las actividades de un establecimiento del responsable de dicho tratamiento en territorio de un Estado miembro, en el sentido de dicha disposición, cuando el gestor de un motor de búsqueda crea en el Estado miembro una sucursal o una filial destinada a garantizar la promoción y la venta de espacios publicitarios propuestos por el mencionado motor y cuya actividad se dirige a los habitantes de este Estado miembro.</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3)      </w:t>
      </w:r>
      <w:r w:rsidDel="00000000" w:rsidR="00000000" w:rsidRPr="00000000">
        <w:rPr>
          <w:b w:val="1"/>
          <w:rtl w:val="0"/>
        </w:rPr>
        <w:t xml:space="preserve">Los artículos 12, letra b) y 14, párrafo primero, letra a), de la Directiva 95/46 deben interpretarse en el sentido de que, para respetar los derechos que establecen estas disposiciones, siempre que se cumplan realmente los requisitos establecidos en ellos, el gestor de un motor de búsqueda está obligado a eliminar de la lista de resultados obtenida tras una búsqueda efectuada a partir del nombre de una persona vínculos a páginas web, publicadas por terceros y que contienen información relativa a esta persona, también en el supuesto de que este nombre o esta información no se borren previa o simultáneamente de estas páginas web, y, en su caso, aunque la publicación en dichas páginas sea en sí misma lícita.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4)      </w:t>
      </w:r>
      <w:r w:rsidDel="00000000" w:rsidR="00000000" w:rsidRPr="00000000">
        <w:rPr>
          <w:b w:val="1"/>
          <w:rtl w:val="0"/>
        </w:rPr>
        <w:t xml:space="preserve">Los artículos 12, letra b), y 14, párrafo primero, letra a), de la Directiva 95/46 deben interpretarse en el sentido de que, al analizar los requisitos de aplicación de estas disposiciones, se tendrá que examinar, en particular, si el interesado tiene derecho a que la información en cuestión relativa a su persona ya no esté, en la situación actual, vinculada a su nombre por una lista de resultados obtenida tras una búsqueda efectuada a partir de su nombre, sin que la apreciación de la existencia de tal derecho presuponga que la inclusión de la información en cuestión en la lista de resultados cause un perjuicio al interesado. Puesto que éste puede, habida cuenta de los derechos que le reconocen los artículos 7 y 8 de la Carta, solicitar que la información de que se trate ya no se ponga a disposición del público en general mediante su inclusión en tal lista de resultados, estos derechos prevalecen, en principio, no sólo sobre el interés económico del gestor del motor de búsqueda, sino también sobre el interés de dicho público en acceder a la mencionada información en una búsqueda que verse sobre el nombre de esa persona. Sin embargo, tal no sería el caso si resultara, por razones concretas, como el papel desempeñado por el interesado en la vida pública, que la injerencia en sus derechos fundamentales está justificada por el interés preponderante de dicho público en tener, a raíz de esta inclusión, acceso a la información de que se trate.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Firmas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79ka65">
        <w:r w:rsidDel="00000000" w:rsidR="00000000" w:rsidRPr="00000000">
          <w:rPr>
            <w:color w:val="0000ee"/>
            <w:u w:val="single"/>
            <w:rtl w:val="0"/>
          </w:rPr>
          <w:t xml:space="preserve">*</w:t>
        </w:r>
      </w:hyperlink>
      <w:r w:rsidDel="00000000" w:rsidR="00000000" w:rsidRPr="00000000">
        <w:rPr>
          <w:rtl w:val="0"/>
        </w:rPr>
        <w:t xml:space="preserve"> Lengua de procedimiento: español.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