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03587A" w:rsidRDefault="00CB6523" w:rsidR="00F40A66" w14:paraId="00000001" w14:textId="77777777">
      <w:pPr>
        <w:pStyle w:val="Ttulo"/>
        <w:jc w:val="both"/>
        <w:rPr>
          <w:b/>
          <w:bCs/>
          <w:color w:val="002060"/>
          <w:sz w:val="36"/>
          <w:szCs w:val="36"/>
        </w:rPr>
      </w:pPr>
      <w:r w:rsidRPr="0003587A">
        <w:rPr>
          <w:b/>
          <w:bCs/>
          <w:color w:val="002060"/>
          <w:sz w:val="36"/>
          <w:szCs w:val="36"/>
        </w:rPr>
        <w:t>Incidencia de la pobreza en la propensión a apostar en chance en Antioquia: Un enfoque espacial.</w:t>
      </w:r>
    </w:p>
    <w:p w:rsidRPr="00B0693C" w:rsidRDefault="00CB6523" w:rsidR="00F40A66" w14:paraId="00000002" w14:textId="77777777">
      <w:pPr>
        <w:pStyle w:val="Ttulo1"/>
        <w:jc w:val="both"/>
        <w:rPr>
          <w:b/>
          <w:bCs/>
        </w:rPr>
      </w:pPr>
      <w:r w:rsidRPr="00B0693C">
        <w:rPr>
          <w:b/>
          <w:bCs/>
        </w:rPr>
        <w:t>Introducción:</w:t>
      </w:r>
    </w:p>
    <w:p w:rsidRDefault="00CB6523" w:rsidR="00F40A66" w14:paraId="00000003" w14:textId="77777777">
      <w:pPr>
        <w:jc w:val="both"/>
      </w:pPr>
      <w:r>
        <w:t>La pobreza y la incapacidad para poder satisfacer las necesidades básicas en los hogares genera en las personas una alta incertidumbre sobre los medios y las formas en las cuales se pueden obtener los recursos para poder suplir dichas necesidades.</w:t>
      </w:r>
    </w:p>
    <w:p w:rsidRDefault="00CB6523" w:rsidR="00F40A66" w14:paraId="00000004" w14:textId="77777777">
      <w:pPr>
        <w:jc w:val="both"/>
      </w:pPr>
      <w:r>
        <w:t>De esta forma, la población que se encuentra en estado de pobreza y vulnerabilidad plantea varios medios para obtener ingresos y poder subsistir, tales como trabajos informales (que en su mayoría pueden ser no son suficientemente bien remunerados e incluso puede presentar alto riesgo por ser en su mayoría actividades físicas, venta informal, prestamos ilegales, entre muchos otros.</w:t>
      </w:r>
    </w:p>
    <w:p w:rsidRDefault="00CB6523" w:rsidR="00F40A66" w14:paraId="00000005" w14:textId="04F76E8F">
      <w:pPr>
        <w:jc w:val="both"/>
      </w:pPr>
      <w:r>
        <w:t xml:space="preserve">Además, debido a que esta población también </w:t>
      </w:r>
      <w:r w:rsidR="005A0F3A">
        <w:t xml:space="preserve">tiene limitaciones de acceso </w:t>
      </w:r>
      <w:r>
        <w:t xml:space="preserve">a condiciones </w:t>
      </w:r>
      <w:sdt>
        <w:sdtPr>
          <w:tag w:val="goog_rdk_0"/>
          <w:id w:val="-1938741422"/>
        </w:sdtPr>
        <w:sdtEndPr/>
        <w:sdtContent/>
      </w:sdt>
      <w:r>
        <w:t>normales de vida</w:t>
      </w:r>
      <w:r w:rsidR="005A0F3A">
        <w:t xml:space="preserve"> ni a una </w:t>
      </w:r>
      <w:r>
        <w:t>buena educación</w:t>
      </w:r>
      <w:r w:rsidR="005A0F3A">
        <w:t xml:space="preserve"> </w:t>
      </w:r>
      <w:r>
        <w:t xml:space="preserve">que le brinde la posibilidad de superar estas brechas de pobreza, ha generado en ellos cierta personalidad que le incita a tomar unas determinadas decisiones. </w:t>
      </w:r>
      <w:sdt>
        <w:sdtPr>
          <w:tag w:val="goog_rdk_1"/>
          <w:id w:val="-1141488713"/>
        </w:sdtPr>
        <w:sdtEndPr/>
        <w:sdtContent/>
      </w:sdt>
      <w:r>
        <w:t xml:space="preserve">Según un estudio de la firma Havas Media </w:t>
      </w:r>
      <w:proofErr w:type="spellStart"/>
      <w:r>
        <w:t>Group</w:t>
      </w:r>
      <w:proofErr w:type="spellEnd"/>
      <w:r>
        <w:t xml:space="preserve"> en 2011 se detectaron 5 tipos de personalidades de las personas en niveles socioeconómicos bajos, las cuales son: </w:t>
      </w:r>
      <w:r w:rsidR="005A0F3A">
        <w:t>p</w:t>
      </w:r>
      <w:r>
        <w:t>rácticos, cortoplacistas, inmediatistas, inconformes y aspiracionales</w:t>
      </w:r>
      <w:r w:rsidR="005A0F3A">
        <w:t xml:space="preserve">. Otro estudio de Carvalho (2016) plantea tres posturas sobre los motivos que llevan a los pobres a tomar decisiones: </w:t>
      </w:r>
      <w:r w:rsidR="00CC1309">
        <w:t xml:space="preserve">la primera es por </w:t>
      </w:r>
      <w:r w:rsidR="005A0F3A">
        <w:t xml:space="preserve">elecciones racionales a su entorno económico, </w:t>
      </w:r>
      <w:r w:rsidR="00CC1309">
        <w:t>la segunda es por</w:t>
      </w:r>
      <w:r w:rsidRPr="00CC1309" w:rsidR="00CC1309">
        <w:t>que los pobres pueden ser más impacientes y tener menos autocontro</w:t>
      </w:r>
      <w:r w:rsidR="00CC1309">
        <w:t>l y la tercera es que debido a que los pobres deben administrar ingresos esporádicos, hacer malabares con los gastos y hacer negocios difíciles, se quedan con menos recursos cognitivos, lo que los llevaría a tomar malas decisiones. L</w:t>
      </w:r>
      <w:r>
        <w:t>o que conlleva a que estas personas busquen formas y medios para poder encontrar soluciones monetarias a sus necesidades de forma que en lo posible no demande un esfuerzo o que requiera de una habilidad especifico, es decir, que se acople a su personalidad cortoplacista, inmediatista y práctica.</w:t>
      </w:r>
    </w:p>
    <w:p w:rsidRDefault="00CB6523" w:rsidR="00F40A66" w14:paraId="00000006" w14:textId="77777777">
      <w:pPr>
        <w:jc w:val="both"/>
      </w:pPr>
      <w:r>
        <w:t>Siendo así, una forma que puede ser considerada para poder alcanzar estos ideales es la aspiración hipotética de poder obtener riqueza de forma fácil y económica a través del azar, un coloquialismo para esta idea la cual es ampliamente interiorizada en la población Antioqueña es “obtener conseguir dinero caído del cielo”. De esta forma, los servicios tales como el juego de suerte de azar, el chance y las loterías se han presentado como herramientas mediante los cuales las personas pueden alcanzar esas aspiraciones que no pueden ser suplidas mediante sus capacidades.</w:t>
      </w:r>
    </w:p>
    <w:p w:rsidRDefault="00CB6523" w:rsidR="00F40A66" w14:paraId="00000007" w14:textId="77777777">
      <w:pPr>
        <w:jc w:val="both"/>
      </w:pPr>
      <w:bookmarkStart w:id="0" w:name="_heading=h.gjdgxs" w:colFirst="0" w:colLast="0"/>
      <w:bookmarkEnd w:id="0"/>
      <w:r>
        <w:t>En este estudio, se tomará únicamente el producto chance a consideración (porque ser el de mayor representación e importancia en la venta de apuestas permanentes en Antioquia) y aunque este hábito de consumo está presente en todos los niveles socioeconómicos de Antioquia, se realiza un  análisis exploratorio de datos espaciales (AEDE) con el que se busca encontrar si existe una incidencia en la propensión a apostar en este producto derivado de la condición de pobreza en la región, y para esto se hará un análisis espacial teniendo en cuenta el indicador NBI (Necesidades básicas insatisfechas) y las ventas de chance brindada por el Grupo Réditos (Empresa dedicada a la venta de chance en Antioquia a través de la red Gana) desde el 2016 a 2020.</w:t>
      </w:r>
    </w:p>
    <w:p w:rsidRPr="00B0693C" w:rsidRDefault="00CB6523" w:rsidR="00F40A66" w14:paraId="00000008" w14:textId="77777777">
      <w:pPr>
        <w:pStyle w:val="Ttulo1"/>
        <w:rPr>
          <w:b/>
          <w:bCs/>
        </w:rPr>
      </w:pPr>
      <w:r w:rsidRPr="00B0693C">
        <w:rPr>
          <w:b/>
          <w:bCs/>
        </w:rPr>
        <w:lastRenderedPageBreak/>
        <w:t>Revisión de literatura o Marco Teórico:</w:t>
      </w:r>
    </w:p>
    <w:p w:rsidRDefault="00CB6523" w:rsidR="00F40A66" w14:paraId="00000009" w14:textId="77777777">
      <w:pPr>
        <w:jc w:val="both"/>
      </w:pPr>
      <w:r>
        <w:t>La pobreza como tal sigue siendo uno de los principales problemas del mundo, y pese a los avances en mejorías sociales aún una inmensa población permanece en condiciones precarias y según estimaciones del Banco Mundial (2015) al menos el 10% de la población es pobre en el mundo.</w:t>
      </w:r>
    </w:p>
    <w:p w:rsidRDefault="00CB6523" w:rsidR="00F40A66" w14:paraId="0000000A" w14:textId="77777777">
      <w:pPr>
        <w:jc w:val="both"/>
      </w:pPr>
      <w:r>
        <w:t>La pobreza es sugerida a ser analizada desde una perspectiva multidimensional</w:t>
      </w:r>
      <w:r>
        <w:tab/>
        <w:t xml:space="preserve">, con la teoría de las capacidades de Sen (1996), aunque también, Según Sinisterra Paz (2003), en Colombia, la pobreza puede ser medida a través del índice de necesidades básicas no satisfechas (NBI), que consiste en determinar atributos prioritarios caracterizado por la suficiencia que tiene un hogar para satisfacer sus necesidades básicas, medidas a través del ingreso y su gasto en bienes servicios y alimentos. Este mismo planteamiento lo tienen </w:t>
      </w:r>
      <w:proofErr w:type="spellStart"/>
      <w:r>
        <w:t>Muñeton</w:t>
      </w:r>
      <w:proofErr w:type="spellEnd"/>
      <w:r>
        <w:t xml:space="preserve"> y Vargas (2014) quienes sugieren que una buena forma de la medición de la pobreza es a través de las necesidades básicas no satisfechas y realizan un análisis espacial de la pobreza en Antioquia e identifican una dependencia espacial del fenómeno de la pobreza de los municipios vecinos. Este último es importante también porque logran evidenciar que, en Antioquia, la pobreza además de ser multidimensional es de naturaleza espacial. Pérez (2005); también analiza la dependencia espacial de la pobreza entre los municipios de Colombia, a escala departamental y municipal identificando que la ubicación geográfica es importante como determinante de la pobreza en el país. Por lo anterior se han estudiado diferentes estrategias que tiene esta población para obtener ingresos necesarios para subsistir. </w:t>
      </w:r>
    </w:p>
    <w:p w:rsidRDefault="00CB6523" w:rsidR="00F40A66" w14:paraId="0000000B" w14:textId="1DD59414">
      <w:pPr>
        <w:jc w:val="both"/>
      </w:pPr>
      <w:r>
        <w:t xml:space="preserve">Según Cid (2013) quién evalúa las estrategias de los hogares pobres en Argentina encuentra dos tipos de características: la primera es llamada “estrategias genuinas”, que son aquellas derivadas de una actividad económica (presente o pasada) o de la posesión de activos, por ejemplo, el cobro de salarios, pensiones o rentas de la propiedad. En segundo lugar, el autor encuentra que es normal que los ingresos corrientes y legales no sean suficientes para suplir las necesidades del hogar por lo que se deben recurrir a ayudas externas, por lo que llama a esta categoría “estrategias débiles o precarias”, y en estos entran, por ejemplo, las ayudas sociales del gobierno, iglesias, familiares o vecinos, la venta de pertenencias o el gasto de ahorros, los </w:t>
      </w:r>
      <w:sdt>
        <w:sdtPr>
          <w:tag w:val="goog_rdk_2"/>
          <w:id w:val="-964266907"/>
        </w:sdtPr>
        <w:sdtEndPr/>
        <w:sdtContent>
          <w:r>
            <w:t>préstamos</w:t>
          </w:r>
        </w:sdtContent>
      </w:sdt>
      <w:r>
        <w:t xml:space="preserve"> crediticios legales e ilegales, y apuestas en juegos de suerte y azar. En este trabajo, este último ejemplo es de gran importancia ya que se plantea determinar la incidencia de la pobreza en la propensión a apostar en un análisis exploratorio de datos espaciales.</w:t>
      </w:r>
    </w:p>
    <w:p w:rsidRDefault="00CB6523" w:rsidR="00F40A66" w14:paraId="0000000C" w14:textId="77777777">
      <w:pPr>
        <w:jc w:val="both"/>
      </w:pPr>
      <w:r>
        <w:t xml:space="preserve">Según </w:t>
      </w:r>
      <w:proofErr w:type="spellStart"/>
      <w:r>
        <w:t>Palumberi</w:t>
      </w:r>
      <w:proofErr w:type="spellEnd"/>
      <w:r>
        <w:t xml:space="preserve"> y </w:t>
      </w:r>
      <w:proofErr w:type="spellStart"/>
      <w:r>
        <w:t>Mannino</w:t>
      </w:r>
      <w:proofErr w:type="spellEnd"/>
      <w:r>
        <w:t xml:space="preserve"> (2008) el juego es descrito como una actividad sana y una característica esencial de los seres y según Fiasco (2001) representa una esperanza de vida mejor para la población dado que las condiciones de vida actuales no son garantizadas. Sin embargo, Fiasco (2001) en sus estudios del juego y la ludopatía en Italia establece al juego como un impuesto sobre la pobreza, debido a que los mayores contribuyentes se sitúan en contextos sociales de más baja retribución, es decir, en situación de vida más precario o pobreza. Además, también evidencia que es en los periodos de crisis económica cuando las personas juegan mayormente y es en situaciones de depresión social cuando más se desarrolla la dependencia.</w:t>
      </w:r>
    </w:p>
    <w:p w:rsidRDefault="00CB6523" w:rsidR="00F40A66" w14:paraId="0000000D" w14:textId="241D961E">
      <w:pPr>
        <w:jc w:val="both"/>
      </w:pPr>
      <w:r>
        <w:t xml:space="preserve">Este hallazgo se relaciona a su vez con el estudio de Arena </w:t>
      </w:r>
      <w:proofErr w:type="spellStart"/>
      <w:r>
        <w:t>Group</w:t>
      </w:r>
      <w:proofErr w:type="spellEnd"/>
      <w:r>
        <w:t xml:space="preserve"> (2011), en donde </w:t>
      </w:r>
      <w:sdt>
        <w:sdtPr>
          <w:tag w:val="goog_rdk_4"/>
          <w:id w:val="-697472016"/>
        </w:sdtPr>
        <w:sdtEndPr/>
        <w:sdtContent>
          <w:r>
            <w:t xml:space="preserve">se </w:t>
          </w:r>
        </w:sdtContent>
      </w:sdt>
      <w:r>
        <w:t xml:space="preserve">encuentra que las personas de niveles socioeconómicos bajos tienden a tener un tipo de personalidad </w:t>
      </w:r>
      <w:sdt>
        <w:sdtPr>
          <w:tag w:val="goog_rdk_5"/>
          <w:id w:val="877049672"/>
        </w:sdtPr>
        <w:sdtEndPr/>
        <w:sdtContent>
          <w:r>
            <w:t>práctico</w:t>
          </w:r>
        </w:sdtContent>
      </w:sdt>
      <w:r>
        <w:t xml:space="preserve"> (Creen que obtener dinero fácil, o cualquier otro recurso es funcional), cortoplacista (hacen poco para mejorar sus condiciones de vida), inmediatistas (buscan satisfacer sus necesidades dentro de las posibilidades que les traiga el diario vivir) y aspiracionales (pese a todo anhelan alcanzar una </w:t>
      </w:r>
      <w:r>
        <w:lastRenderedPageBreak/>
        <w:t xml:space="preserve">forma en la que se corrija su situación), que los estimula a ver en el azar la posibilidad de encontrar la forma para suplir sus necesidades básicas e inclusive crecer en su nivel socioeconómico. En términos </w:t>
      </w:r>
      <w:proofErr w:type="spellStart"/>
      <w:r>
        <w:t>Lever</w:t>
      </w:r>
      <w:proofErr w:type="spellEnd"/>
      <w:r>
        <w:t xml:space="preserve"> y Cienfuegos (2006) quienes realizan estudio sobre el impacto de la personalidad en la percepción de la pobreza encuentran que cuando un individuo percibe su condición de pobreza tenderá a pensar que para mejorar su situación tiene que recibir ayuda del gobierno, ganarse la lotería o recibir la ayuda de Dios.</w:t>
      </w:r>
    </w:p>
    <w:p w:rsidRDefault="00CB6523" w:rsidR="00F40A66" w14:paraId="0000000E" w14:textId="064A2918">
      <w:pPr>
        <w:jc w:val="both"/>
      </w:pPr>
      <w:r>
        <w:t xml:space="preserve">Según de Esguerra, Zapata y Velasco (Fedesarrollo, 2000) la hipótesis de que el nivel de pobreza incide en que las personas quieran apostar es apoyada comparando el porcentaje de ingresos al producto interno bruto proveniente de juegos de suerte y azar entre Colombia país considerado pobre, y Estados Unidos, considerado rico, y señala que, en los países más pobres, donde menos oportunidades de ganar dinero por otras vías se juega más intensamente que en países ricos. Tobón (2009) también sugiere a las apuestas como una manera de salir de la pobreza y que pone en cuestión la estrategia de la ilusión por el riesgo que altamente valorado por las personas lo cual hace que se gaste más en estos juegos. </w:t>
      </w:r>
    </w:p>
    <w:p w:rsidRDefault="00CB6523" w:rsidR="00F40A66" w14:paraId="0000000F" w14:textId="77777777">
      <w:pPr>
        <w:jc w:val="both"/>
      </w:pPr>
      <w:r>
        <w:t xml:space="preserve">Según la encuesta realizada por </w:t>
      </w:r>
      <w:proofErr w:type="spellStart"/>
      <w:r>
        <w:t>BrandStrat</w:t>
      </w:r>
      <w:proofErr w:type="spellEnd"/>
      <w:r>
        <w:t xml:space="preserve">, (2017) el chance y las loterías son los principales productos de juegos de suerte y azar en Colombia, y que representan un aporte de más de dos billones de pesos (Villán - La opinión, 2020), es decir, entre un 1,5% y un 2% al PIB de Colombia con una alta concentración en personas con ciertos factores culturales asociados que los hacen proclives al juego y que ven en este su única vía para incrementar sus ingresos. De hecho, también Sinisterra Paz (2003), Duque-Escobar (2006) y </w:t>
      </w:r>
      <w:proofErr w:type="spellStart"/>
      <w:r>
        <w:t>Fernandez</w:t>
      </w:r>
      <w:proofErr w:type="spellEnd"/>
      <w:r>
        <w:t xml:space="preserve">, </w:t>
      </w:r>
      <w:proofErr w:type="spellStart"/>
      <w:r>
        <w:t>Ramiréz</w:t>
      </w:r>
      <w:proofErr w:type="spellEnd"/>
      <w:r>
        <w:t xml:space="preserve"> y Ortiz (2016) asocian la venta de chance como una actividad de la población pobre y ven en el chance uno de los pocos negocios que pueden crecer en tiempos de crisis derivado del "bajo monto de gasto con la ilusión de tener lo necesario para pagar las cuentas en la tienda" (Alonso y Gallego, 2010).</w:t>
      </w:r>
    </w:p>
    <w:p w:rsidRDefault="00CB6523" w:rsidR="00F40A66" w14:paraId="00000010" w14:textId="67F6BED5">
      <w:pPr>
        <w:jc w:val="both"/>
      </w:pPr>
      <w:r>
        <w:t>Si bien, en la literatura se ha considerado de forma empírica al comercio de productos de juegos de suerte y azar como una actividad enfocado en personas de escasos recursos que ven en el juego una oportunidad de mejorar sus condiciones de calidad de vida (Gil Corredor, 2019), no se han hecho estudios asociados a determinar esa relación, ni la dependencia espacial de este. Es por eso, que el aporte de este trabajo reside en la identificación de los efectos de dependencia espacial y de la formación de agrupaciones por la venta de chance a través de la utilización de la pobreza medida en Antioquia a través del índice de necesidades básicas insatisfechas  NBI y los datos de la venta por municipio en Antioquia de chance de la empresa Grupo Réditos (Gana) desde el 2016 y análogamente, validar la incidencia que tiene la pobreza sobre la demanda por apuestas en chance en los municipios de Antioquia con respecto a las condiciones de los municipios vecinos.</w:t>
      </w:r>
    </w:p>
    <w:p w:rsidRPr="00594558" w:rsidRDefault="00CB6523" w:rsidR="00CB6523" w:rsidP="00CB6523" w14:paraId="0A6C7342" w14:textId="605E7F67">
      <w:pPr>
        <w:pStyle w:val="Ttulo1"/>
        <w:rPr>
          <w:b/>
          <w:bCs/>
          <w:sz w:val="36"/>
          <w:szCs w:val="36"/>
        </w:rPr>
      </w:pPr>
      <w:r w:rsidRPr="00594558">
        <w:rPr>
          <w:b/>
          <w:bCs/>
          <w:sz w:val="36"/>
          <w:szCs w:val="36"/>
        </w:rPr>
        <w:t>Metodología</w:t>
      </w:r>
    </w:p>
    <w:p w:rsidRPr="00594558" w:rsidRDefault="00DC1E3E" w:rsidR="00DC1E3E" w:rsidP="00594558" w14:paraId="1F1DC268" w14:textId="1B633B93">
      <w:pPr>
        <w:pStyle w:val="Ttulo2"/>
        <w:rPr>
          <w:color w:val="002060"/>
          <w:sz w:val="32"/>
          <w:szCs w:val="32"/>
        </w:rPr>
      </w:pPr>
      <w:bookmarkStart w:id="1" w:name="_Hlk54819064"/>
      <w:r w:rsidRPr="00594558">
        <w:rPr>
          <w:color w:val="002060"/>
          <w:sz w:val="32"/>
          <w:szCs w:val="32"/>
        </w:rPr>
        <w:t>Hipótesis</w:t>
      </w:r>
    </w:p>
    <w:p w:rsidRDefault="00DC1E3E" w:rsidR="00DC1E3E" w:rsidP="007D291D" w14:paraId="48F1405B" w14:textId="3E419E37">
      <w:pPr>
        <w:jc w:val="both"/>
      </w:pPr>
      <w:r>
        <w:t>Existe incidencia espacial de la pobreza sobre la propensión a comprar chance en Antioquia.</w:t>
      </w:r>
    </w:p>
    <w:p w:rsidRPr="00594558" w:rsidRDefault="00B0693C" w:rsidR="00B0693C" w:rsidP="00594558" w14:paraId="244A80CA" w14:textId="00CFCBF3">
      <w:pPr>
        <w:pStyle w:val="Ttulo2"/>
        <w:rPr>
          <w:color w:val="002060"/>
          <w:sz w:val="32"/>
          <w:szCs w:val="32"/>
        </w:rPr>
      </w:pPr>
      <w:r w:rsidRPr="00594558">
        <w:rPr>
          <w:color w:val="002060"/>
          <w:sz w:val="32"/>
          <w:szCs w:val="32"/>
        </w:rPr>
        <w:lastRenderedPageBreak/>
        <w:t>Tipo de estudio</w:t>
      </w:r>
    </w:p>
    <w:p w:rsidRDefault="00DC1E3E" w:rsidR="00B0693C" w:rsidP="007D291D" w14:paraId="160DE21E" w14:textId="29B809B2">
      <w:pPr>
        <w:jc w:val="both"/>
      </w:pPr>
      <w:r>
        <w:t xml:space="preserve">Análisis exploratorio de datos espaciales, </w:t>
      </w:r>
      <w:r w:rsidR="00FC1505">
        <w:t>identificando la dependencia espacial a través de un estadístico bivariado de Moran</w:t>
      </w:r>
    </w:p>
    <w:p w:rsidRPr="00594558" w:rsidRDefault="00DC1E3E" w:rsidR="00DC1E3E" w:rsidP="00594558" w14:paraId="75870C4B" w14:textId="3F6BAB99">
      <w:pPr>
        <w:pStyle w:val="Ttulo2"/>
        <w:rPr>
          <w:color w:val="002060"/>
          <w:sz w:val="32"/>
          <w:szCs w:val="32"/>
        </w:rPr>
      </w:pPr>
      <w:r w:rsidRPr="00594558">
        <w:rPr>
          <w:color w:val="002060"/>
          <w:sz w:val="32"/>
          <w:szCs w:val="32"/>
        </w:rPr>
        <w:t>Descripción de variables</w:t>
      </w:r>
    </w:p>
    <w:p w:rsidRDefault="00FC1505" w:rsidR="00FC1505" w:rsidP="007D291D" w14:paraId="2982149F" w14:textId="65089C6C">
      <w:pPr>
        <w:jc w:val="both"/>
      </w:pPr>
      <w:r>
        <w:t xml:space="preserve">Este estudio utiliza los datos de las ventas de chance en los 125 municipios de Antioquia durante el 2018 por la empresa Grupo Réditos a través de la Red Gana. También se utiliza los datos de las Necesidades Básicas Insatisfechas </w:t>
      </w:r>
      <w:r w:rsidR="006238E2">
        <w:t xml:space="preserve">(NBI) </w:t>
      </w:r>
      <w:r>
        <w:t xml:space="preserve">del 2018 proporcionada por el </w:t>
      </w:r>
      <w:r w:rsidR="007D291D">
        <w:t>DANE</w:t>
      </w:r>
      <w:r>
        <w:t xml:space="preserve"> a través del </w:t>
      </w:r>
      <w:r w:rsidRPr="00FC1505">
        <w:t>Censo nacional de población y vivienda 2018</w:t>
      </w:r>
      <w:r>
        <w:t>.</w:t>
      </w:r>
    </w:p>
    <w:p w:rsidRDefault="00FC1505" w:rsidR="007D291D" w:rsidP="007D291D" w14:paraId="2D094F33" w14:textId="52DE39CA">
      <w:pPr>
        <w:jc w:val="both"/>
      </w:pPr>
      <w:r>
        <w:t xml:space="preserve">Aunque se cuenta con datos de venta de los 125 municipios </w:t>
      </w:r>
      <w:r w:rsidR="007D291D">
        <w:t>de Antioquia</w:t>
      </w:r>
      <w:r>
        <w:t xml:space="preserve">, se observa una alta concentración en el municipio de Medellín, lo que limita el adecuado </w:t>
      </w:r>
      <w:r w:rsidR="00D85A0E">
        <w:t>cálculo</w:t>
      </w:r>
      <w:r>
        <w:t xml:space="preserve"> de las correlaciones entre los espacios geográficos, por ende, se utiliza la venta de chance per </w:t>
      </w:r>
      <w:r w:rsidR="007D291D">
        <w:t>cápita</w:t>
      </w:r>
      <w:r>
        <w:t xml:space="preserve"> en 2018, dividiendo las ventas de chance en los municipios por su respectiva población. El dato de</w:t>
      </w:r>
      <w:r w:rsidR="007D291D">
        <w:t xml:space="preserve"> </w:t>
      </w:r>
      <w:r>
        <w:t>la población por cada munici</w:t>
      </w:r>
      <w:r w:rsidR="007D291D">
        <w:t xml:space="preserve">pio también es obtenido del DANE a través del </w:t>
      </w:r>
      <w:r w:rsidRPr="00FC1505" w:rsidR="007D291D">
        <w:t>Censo nacional de población y vivienda 2018</w:t>
      </w:r>
      <w:r w:rsidR="007D291D">
        <w:t>.</w:t>
      </w:r>
    </w:p>
    <w:p w:rsidRPr="00594558" w:rsidRDefault="00990A09" w:rsidR="00990A09" w:rsidP="00867700" w14:paraId="25EF9B3E" w14:textId="4FBDCB38">
      <w:pPr>
        <w:pStyle w:val="Ttulo4"/>
        <w:spacing w:after="0"/>
        <w:jc w:val="center"/>
        <w:rPr>
          <w:color w:val="002060"/>
        </w:rPr>
      </w:pPr>
      <w:r w:rsidRPr="00594558">
        <w:rPr>
          <w:color w:val="002060"/>
        </w:rPr>
        <w:t>Estadística descriptiva</w:t>
      </w:r>
    </w:p>
    <w:tbl>
      <w:tblPr>
        <w:tblpPr w:horzAnchor="page" w:tblpY="216" w:tblpX="865" w:leftFromText="141" w:rightFromText="141" w:vertAnchor="text"/>
        <w:tblW w:w="10440" w:type="dxa"/>
        <w:tblCellMar>
          <w:left w:w="70" w:type="dxa"/>
          <w:right w:w="70" w:type="dxa"/>
        </w:tblCellMar>
        <w:tblLook w:firstRow="1" w:firstColumn="1" w:noHBand="0" w:val="04A0" w:lastRow="0" w:lastColumn="0" w:noVBand="1"/>
      </w:tblPr>
      <w:tblGrid>
        <w:gridCol w:w="2420"/>
        <w:gridCol w:w="2226"/>
        <w:gridCol w:w="2325"/>
        <w:gridCol w:w="2098"/>
        <w:gridCol w:w="1371"/>
      </w:tblGrid>
      <w:tr w:rsidRPr="00990A09" w:rsidTr="00BD1462" w:rsidR="00990A09" w14:paraId="722FC9DA" w14:textId="77777777">
        <w:trPr>
          <w:trHeight w:val="300"/>
        </w:trPr>
        <w:tc>
          <w:tcPr>
            <w:tcW w:w="2420" w:type="dxa"/>
            <w:tcBorders>
              <w:top w:val="single" w:sz="8" w:color="auto" w:space="0"/>
              <w:left w:val="nil"/>
              <w:bottom w:val="single" w:sz="4" w:color="auto" w:space="0"/>
              <w:right w:val="nil"/>
            </w:tcBorders>
            <w:shd w:val="clear" w:color="000000" w:fill="002060"/>
            <w:noWrap/>
            <w:vAlign w:val="center"/>
            <w:hideMark/>
          </w:tcPr>
          <w:p w:rsidRPr="00990A09" w:rsidRDefault="00990A09" w:rsidR="00990A09" w:rsidP="00BD1462" w14:paraId="54578E96" w14:textId="77777777">
            <w:pPr>
              <w:spacing w:line="240" w:after="0" w:lineRule="auto"/>
              <w:jc w:val="center"/>
              <w:rPr>
                <w:rFonts w:eastAsia="Times New Roman"/>
                <w:i/>
                <w:iCs/>
                <w:color w:val="FFFFFF"/>
              </w:rPr>
            </w:pPr>
            <w:r w:rsidRPr="00990A09">
              <w:rPr>
                <w:rFonts w:eastAsia="Times New Roman"/>
                <w:i/>
                <w:iCs/>
                <w:color w:val="FFFFFF"/>
              </w:rPr>
              <w:t>Estadísticas</w:t>
            </w:r>
          </w:p>
        </w:tc>
        <w:tc>
          <w:tcPr>
            <w:tcW w:w="2226" w:type="dxa"/>
            <w:tcBorders>
              <w:top w:val="single" w:sz="8" w:color="auto" w:space="0"/>
              <w:left w:val="nil"/>
              <w:bottom w:val="single" w:sz="4" w:color="auto" w:space="0"/>
              <w:right w:val="nil"/>
            </w:tcBorders>
            <w:shd w:val="clear" w:color="000000" w:fill="002060"/>
            <w:noWrap/>
            <w:vAlign w:val="center"/>
            <w:hideMark/>
          </w:tcPr>
          <w:p w:rsidRPr="00990A09" w:rsidRDefault="00990A09" w:rsidR="00990A09" w:rsidP="00BD1462" w14:paraId="3E05FB57" w14:textId="77777777">
            <w:pPr>
              <w:spacing w:line="240" w:after="0" w:lineRule="auto"/>
              <w:jc w:val="center"/>
              <w:rPr>
                <w:rFonts w:eastAsia="Times New Roman"/>
                <w:i/>
                <w:iCs/>
                <w:color w:val="FFFFFF"/>
              </w:rPr>
            </w:pPr>
            <w:r w:rsidRPr="00990A09">
              <w:rPr>
                <w:rFonts w:eastAsia="Times New Roman"/>
                <w:i/>
                <w:iCs/>
                <w:color w:val="FFFFFF"/>
              </w:rPr>
              <w:t>Recaudo2018_Mll</w:t>
            </w:r>
          </w:p>
        </w:tc>
        <w:tc>
          <w:tcPr>
            <w:tcW w:w="2325" w:type="dxa"/>
            <w:tcBorders>
              <w:top w:val="single" w:sz="8" w:color="auto" w:space="0"/>
              <w:left w:val="nil"/>
              <w:bottom w:val="single" w:sz="4" w:color="auto" w:space="0"/>
              <w:right w:val="nil"/>
            </w:tcBorders>
            <w:shd w:val="clear" w:color="000000" w:fill="002060"/>
            <w:noWrap/>
            <w:vAlign w:val="center"/>
            <w:hideMark/>
          </w:tcPr>
          <w:p w:rsidRPr="00990A09" w:rsidRDefault="00990A09" w:rsidR="00990A09" w:rsidP="00BD1462" w14:paraId="06881333" w14:textId="77777777">
            <w:pPr>
              <w:spacing w:line="240" w:after="0" w:lineRule="auto"/>
              <w:jc w:val="center"/>
              <w:rPr>
                <w:rFonts w:eastAsia="Times New Roman"/>
                <w:i/>
                <w:iCs/>
                <w:color w:val="FFFFFF"/>
              </w:rPr>
            </w:pPr>
            <w:r w:rsidRPr="00990A09">
              <w:rPr>
                <w:rFonts w:eastAsia="Times New Roman"/>
                <w:i/>
                <w:iCs/>
                <w:color w:val="FFFFFF"/>
              </w:rPr>
              <w:t>Población2018</w:t>
            </w:r>
          </w:p>
        </w:tc>
        <w:tc>
          <w:tcPr>
            <w:tcW w:w="2098" w:type="dxa"/>
            <w:tcBorders>
              <w:top w:val="single" w:sz="8" w:color="auto" w:space="0"/>
              <w:left w:val="nil"/>
              <w:bottom w:val="single" w:sz="4" w:color="auto" w:space="0"/>
              <w:right w:val="nil"/>
            </w:tcBorders>
            <w:shd w:val="clear" w:color="000000" w:fill="002060"/>
            <w:noWrap/>
            <w:vAlign w:val="center"/>
            <w:hideMark/>
          </w:tcPr>
          <w:p w:rsidRPr="00990A09" w:rsidRDefault="00990A09" w:rsidR="00990A09" w:rsidP="00BD1462" w14:paraId="2D552FCB" w14:textId="36FC9FDA">
            <w:pPr>
              <w:spacing w:line="240" w:after="0" w:lineRule="auto"/>
              <w:jc w:val="center"/>
              <w:rPr>
                <w:rFonts w:eastAsia="Times New Roman"/>
                <w:i/>
                <w:iCs/>
                <w:color w:val="FFFFFF"/>
              </w:rPr>
            </w:pPr>
            <w:r w:rsidRPr="00990A09">
              <w:rPr>
                <w:rFonts w:eastAsia="Times New Roman"/>
                <w:i/>
                <w:iCs/>
                <w:color w:val="FFFFFF"/>
              </w:rPr>
              <w:t>VentaPerCapita2018</w:t>
            </w:r>
            <w:r w:rsidR="00ED599C">
              <w:rPr>
                <w:rFonts w:eastAsia="Times New Roman"/>
                <w:i/>
                <w:iCs/>
                <w:color w:val="FFFFFF"/>
              </w:rPr>
              <w:t xml:space="preserve"> en </w:t>
            </w:r>
            <w:r w:rsidR="00BD1462">
              <w:rPr>
                <w:rFonts w:eastAsia="Times New Roman"/>
                <w:i/>
                <w:iCs/>
                <w:color w:val="FFFFFF"/>
              </w:rPr>
              <w:t xml:space="preserve">$ </w:t>
            </w:r>
            <w:r w:rsidR="00ED599C">
              <w:rPr>
                <w:rFonts w:eastAsia="Times New Roman"/>
                <w:i/>
                <w:iCs/>
                <w:color w:val="FFFFFF"/>
              </w:rPr>
              <w:t>MLL</w:t>
            </w:r>
          </w:p>
        </w:tc>
        <w:tc>
          <w:tcPr>
            <w:tcW w:w="1371" w:type="dxa"/>
            <w:tcBorders>
              <w:top w:val="single" w:sz="8" w:color="auto" w:space="0"/>
              <w:left w:val="nil"/>
              <w:bottom w:val="single" w:sz="4" w:color="auto" w:space="0"/>
              <w:right w:val="nil"/>
            </w:tcBorders>
            <w:shd w:val="clear" w:color="000000" w:fill="002060"/>
            <w:noWrap/>
            <w:vAlign w:val="center"/>
            <w:hideMark/>
          </w:tcPr>
          <w:p w:rsidRPr="00990A09" w:rsidRDefault="00990A09" w:rsidR="00990A09" w:rsidP="00BD1462" w14:paraId="3817554A" w14:textId="77777777">
            <w:pPr>
              <w:spacing w:line="240" w:after="0" w:lineRule="auto"/>
              <w:jc w:val="center"/>
              <w:rPr>
                <w:rFonts w:eastAsia="Times New Roman"/>
                <w:i/>
                <w:iCs/>
                <w:color w:val="FFFFFF"/>
              </w:rPr>
            </w:pPr>
            <w:r w:rsidRPr="00990A09">
              <w:rPr>
                <w:rFonts w:eastAsia="Times New Roman"/>
                <w:i/>
                <w:iCs/>
                <w:color w:val="FFFFFF"/>
              </w:rPr>
              <w:t>NBI2018</w:t>
            </w:r>
          </w:p>
        </w:tc>
      </w:tr>
      <w:tr w:rsidRPr="00990A09" w:rsidTr="00990A09" w:rsidR="00990A09" w14:paraId="191FDA77" w14:textId="77777777">
        <w:trPr>
          <w:trHeight w:val="300"/>
        </w:trPr>
        <w:tc>
          <w:tcPr>
            <w:tcW w:w="2420" w:type="dxa"/>
            <w:tcBorders>
              <w:top w:val="nil"/>
              <w:left w:val="nil"/>
              <w:bottom w:val="nil"/>
              <w:right w:val="nil"/>
            </w:tcBorders>
            <w:shd w:val="clear" w:color="auto" w:fill="auto"/>
            <w:noWrap/>
            <w:vAlign w:val="bottom"/>
            <w:hideMark/>
          </w:tcPr>
          <w:p w:rsidRPr="00990A09" w:rsidRDefault="00990A09" w:rsidR="00990A09" w:rsidP="00990A09" w14:paraId="2E5FA576" w14:textId="77777777">
            <w:pPr>
              <w:spacing w:line="240" w:after="0" w:lineRule="auto"/>
              <w:rPr>
                <w:rFonts w:eastAsia="Times New Roman"/>
                <w:color w:val="000000"/>
              </w:rPr>
            </w:pPr>
            <w:r w:rsidRPr="00990A09">
              <w:rPr>
                <w:rFonts w:eastAsia="Times New Roman"/>
                <w:color w:val="000000"/>
              </w:rPr>
              <w:t>Media</w:t>
            </w:r>
          </w:p>
        </w:tc>
        <w:tc>
          <w:tcPr>
            <w:tcW w:w="2226" w:type="dxa"/>
            <w:tcBorders>
              <w:top w:val="nil"/>
              <w:left w:val="nil"/>
              <w:bottom w:val="nil"/>
              <w:right w:val="nil"/>
            </w:tcBorders>
            <w:shd w:val="clear" w:color="auto" w:fill="auto"/>
            <w:noWrap/>
            <w:vAlign w:val="bottom"/>
            <w:hideMark/>
          </w:tcPr>
          <w:p w:rsidRPr="00990A09" w:rsidRDefault="00990A09" w:rsidR="00990A09" w:rsidP="00990A09" w14:paraId="265B5DAF" w14:textId="77777777">
            <w:pPr>
              <w:spacing w:line="240" w:after="0" w:lineRule="auto"/>
              <w:rPr>
                <w:rFonts w:eastAsia="Times New Roman"/>
                <w:color w:val="000000"/>
              </w:rPr>
            </w:pPr>
            <w:r w:rsidRPr="00990A09">
              <w:rPr>
                <w:rFonts w:eastAsia="Times New Roman"/>
                <w:color w:val="000000"/>
              </w:rPr>
              <w:t xml:space="preserve">                            4.626 </w:t>
            </w:r>
          </w:p>
        </w:tc>
        <w:tc>
          <w:tcPr>
            <w:tcW w:w="2325" w:type="dxa"/>
            <w:tcBorders>
              <w:top w:val="nil"/>
              <w:left w:val="nil"/>
              <w:bottom w:val="nil"/>
              <w:right w:val="nil"/>
            </w:tcBorders>
            <w:shd w:val="clear" w:color="auto" w:fill="auto"/>
            <w:noWrap/>
            <w:vAlign w:val="bottom"/>
            <w:hideMark/>
          </w:tcPr>
          <w:p w:rsidRPr="00990A09" w:rsidRDefault="00990A09" w:rsidR="00990A09" w:rsidP="00990A09" w14:paraId="1A25D6CC" w14:textId="77777777">
            <w:pPr>
              <w:spacing w:line="240" w:after="0" w:lineRule="auto"/>
              <w:rPr>
                <w:rFonts w:eastAsia="Times New Roman"/>
                <w:color w:val="000000"/>
              </w:rPr>
            </w:pPr>
            <w:r w:rsidRPr="00990A09">
              <w:rPr>
                <w:rFonts w:eastAsia="Times New Roman"/>
                <w:color w:val="000000"/>
              </w:rPr>
              <w:t xml:space="preserve">                            47.798 </w:t>
            </w:r>
          </w:p>
        </w:tc>
        <w:tc>
          <w:tcPr>
            <w:tcW w:w="2098" w:type="dxa"/>
            <w:tcBorders>
              <w:top w:val="nil"/>
              <w:left w:val="nil"/>
              <w:bottom w:val="nil"/>
              <w:right w:val="nil"/>
            </w:tcBorders>
            <w:shd w:val="clear" w:color="auto" w:fill="auto"/>
            <w:noWrap/>
            <w:vAlign w:val="bottom"/>
            <w:hideMark/>
          </w:tcPr>
          <w:p w:rsidRPr="00990A09" w:rsidRDefault="00990A09" w:rsidR="00990A09" w:rsidP="00990A09" w14:paraId="38AE09E1" w14:textId="77777777">
            <w:pPr>
              <w:spacing w:line="240" w:after="0" w:lineRule="auto"/>
              <w:rPr>
                <w:rFonts w:eastAsia="Times New Roman"/>
                <w:color w:val="000000"/>
              </w:rPr>
            </w:pPr>
            <w:r w:rsidRPr="00990A09">
              <w:rPr>
                <w:rFonts w:eastAsia="Times New Roman"/>
                <w:color w:val="000000"/>
              </w:rPr>
              <w:t xml:space="preserve">                      </w:t>
            </w:r>
            <w:sdt>
              <w:sdtPr>
                <w:tag w:val="goog_rdk_18"/>
                <w:id w:val="-1638565210"/>
              </w:sdtPr>
              <w:sdtEndPr/>
              <w:sdtContent/>
            </w:sdt>
            <w:sdt>
              <w:sdtPr>
                <w:tag w:val="goog_rdk_20"/>
                <w:id w:val="-1906445790"/>
              </w:sdtPr>
              <w:sdtEndPr/>
              <w:sdtContent/>
            </w:sdt>
            <w:sdt>
              <w:sdtPr>
                <w:tag w:val="goog_rdk_22"/>
                <w:id w:val="2098136219"/>
              </w:sdtPr>
              <w:sdtEndPr/>
              <w:sdtContent/>
            </w:sdt>
            <w:r w:rsidRPr="00990A09">
              <w:rPr>
                <w:rFonts w:eastAsia="Times New Roman"/>
                <w:color w:val="000000"/>
              </w:rPr>
              <w:t xml:space="preserve">53.737 </w:t>
            </w:r>
          </w:p>
        </w:tc>
        <w:tc>
          <w:tcPr>
            <w:tcW w:w="1371" w:type="dxa"/>
            <w:tcBorders>
              <w:top w:val="nil"/>
              <w:left w:val="nil"/>
              <w:bottom w:val="nil"/>
              <w:right w:val="nil"/>
            </w:tcBorders>
            <w:shd w:val="clear" w:color="auto" w:fill="auto"/>
            <w:noWrap/>
            <w:vAlign w:val="bottom"/>
            <w:hideMark/>
          </w:tcPr>
          <w:p w:rsidRPr="00990A09" w:rsidRDefault="00990A09" w:rsidR="00990A09" w:rsidP="00990A09" w14:paraId="07BDD84E" w14:textId="77777777">
            <w:pPr>
              <w:spacing w:line="240" w:after="0" w:lineRule="auto"/>
              <w:rPr>
                <w:rFonts w:eastAsia="Times New Roman"/>
                <w:color w:val="000000"/>
              </w:rPr>
            </w:pPr>
            <w:r w:rsidRPr="00990A09">
              <w:rPr>
                <w:rFonts w:eastAsia="Times New Roman"/>
                <w:color w:val="000000"/>
              </w:rPr>
              <w:t xml:space="preserve">                   18 </w:t>
            </w:r>
          </w:p>
        </w:tc>
      </w:tr>
      <w:tr w:rsidRPr="00990A09" w:rsidTr="00990A09" w:rsidR="00990A09" w14:paraId="516F4CFB" w14:textId="77777777">
        <w:trPr>
          <w:trHeight w:val="300"/>
        </w:trPr>
        <w:tc>
          <w:tcPr>
            <w:tcW w:w="2420" w:type="dxa"/>
            <w:tcBorders>
              <w:top w:val="nil"/>
              <w:left w:val="nil"/>
              <w:bottom w:val="nil"/>
              <w:right w:val="nil"/>
            </w:tcBorders>
            <w:shd w:val="clear" w:color="auto" w:fill="auto"/>
            <w:noWrap/>
            <w:vAlign w:val="bottom"/>
            <w:hideMark/>
          </w:tcPr>
          <w:p w:rsidRPr="00990A09" w:rsidRDefault="00990A09" w:rsidR="00990A09" w:rsidP="00990A09" w14:paraId="760CCE8F" w14:textId="77777777">
            <w:pPr>
              <w:spacing w:line="240" w:after="0" w:lineRule="auto"/>
              <w:rPr>
                <w:rFonts w:eastAsia="Times New Roman"/>
                <w:color w:val="000000"/>
              </w:rPr>
            </w:pPr>
            <w:r w:rsidRPr="00990A09">
              <w:rPr>
                <w:rFonts w:eastAsia="Times New Roman"/>
                <w:color w:val="000000"/>
              </w:rPr>
              <w:t>Error típico</w:t>
            </w:r>
          </w:p>
        </w:tc>
        <w:tc>
          <w:tcPr>
            <w:tcW w:w="2226" w:type="dxa"/>
            <w:tcBorders>
              <w:top w:val="nil"/>
              <w:left w:val="nil"/>
              <w:bottom w:val="nil"/>
              <w:right w:val="nil"/>
            </w:tcBorders>
            <w:shd w:val="clear" w:color="auto" w:fill="auto"/>
            <w:noWrap/>
            <w:vAlign w:val="bottom"/>
            <w:hideMark/>
          </w:tcPr>
          <w:p w:rsidRPr="00990A09" w:rsidRDefault="00990A09" w:rsidR="00990A09" w:rsidP="00990A09" w14:paraId="645D4127" w14:textId="77777777">
            <w:pPr>
              <w:spacing w:line="240" w:after="0" w:lineRule="auto"/>
              <w:rPr>
                <w:rFonts w:eastAsia="Times New Roman"/>
                <w:color w:val="000000"/>
              </w:rPr>
            </w:pPr>
            <w:r w:rsidRPr="00990A09">
              <w:rPr>
                <w:rFonts w:eastAsia="Times New Roman"/>
                <w:color w:val="000000"/>
              </w:rPr>
              <w:t xml:space="preserve">                            2.901 </w:t>
            </w:r>
          </w:p>
        </w:tc>
        <w:tc>
          <w:tcPr>
            <w:tcW w:w="2325" w:type="dxa"/>
            <w:tcBorders>
              <w:top w:val="nil"/>
              <w:left w:val="nil"/>
              <w:bottom w:val="nil"/>
              <w:right w:val="nil"/>
            </w:tcBorders>
            <w:shd w:val="clear" w:color="auto" w:fill="auto"/>
            <w:noWrap/>
            <w:vAlign w:val="bottom"/>
            <w:hideMark/>
          </w:tcPr>
          <w:p w:rsidRPr="00990A09" w:rsidRDefault="00990A09" w:rsidR="00990A09" w:rsidP="00990A09" w14:paraId="68996316" w14:textId="77777777">
            <w:pPr>
              <w:spacing w:line="240" w:after="0" w:lineRule="auto"/>
              <w:rPr>
                <w:rFonts w:eastAsia="Times New Roman"/>
                <w:color w:val="000000"/>
              </w:rPr>
            </w:pPr>
            <w:r w:rsidRPr="00990A09">
              <w:rPr>
                <w:rFonts w:eastAsia="Times New Roman"/>
                <w:color w:val="000000"/>
              </w:rPr>
              <w:t xml:space="preserve">                            19.362 </w:t>
            </w:r>
          </w:p>
        </w:tc>
        <w:tc>
          <w:tcPr>
            <w:tcW w:w="2098" w:type="dxa"/>
            <w:tcBorders>
              <w:top w:val="nil"/>
              <w:left w:val="nil"/>
              <w:bottom w:val="nil"/>
              <w:right w:val="nil"/>
            </w:tcBorders>
            <w:shd w:val="clear" w:color="auto" w:fill="auto"/>
            <w:noWrap/>
            <w:vAlign w:val="bottom"/>
            <w:hideMark/>
          </w:tcPr>
          <w:p w:rsidRPr="00990A09" w:rsidRDefault="00990A09" w:rsidR="00990A09" w:rsidP="00990A09" w14:paraId="5F7B2EBD" w14:textId="77777777">
            <w:pPr>
              <w:spacing w:line="240" w:after="0" w:lineRule="auto"/>
              <w:rPr>
                <w:rFonts w:eastAsia="Times New Roman"/>
                <w:color w:val="000000"/>
              </w:rPr>
            </w:pPr>
            <w:r w:rsidRPr="00990A09">
              <w:rPr>
                <w:rFonts w:eastAsia="Times New Roman"/>
                <w:color w:val="000000"/>
              </w:rPr>
              <w:t xml:space="preserve">                        2.636 </w:t>
            </w:r>
          </w:p>
        </w:tc>
        <w:tc>
          <w:tcPr>
            <w:tcW w:w="1371" w:type="dxa"/>
            <w:tcBorders>
              <w:top w:val="nil"/>
              <w:left w:val="nil"/>
              <w:bottom w:val="nil"/>
              <w:right w:val="nil"/>
            </w:tcBorders>
            <w:shd w:val="clear" w:color="auto" w:fill="auto"/>
            <w:noWrap/>
            <w:vAlign w:val="bottom"/>
            <w:hideMark/>
          </w:tcPr>
          <w:p w:rsidRPr="00990A09" w:rsidRDefault="00990A09" w:rsidR="00990A09" w:rsidP="00990A09" w14:paraId="13BCEA25" w14:textId="77777777">
            <w:pPr>
              <w:spacing w:line="240" w:after="0" w:lineRule="auto"/>
              <w:rPr>
                <w:rFonts w:eastAsia="Times New Roman"/>
                <w:color w:val="000000"/>
              </w:rPr>
            </w:pPr>
            <w:r w:rsidRPr="00990A09">
              <w:rPr>
                <w:rFonts w:eastAsia="Times New Roman"/>
                <w:color w:val="000000"/>
              </w:rPr>
              <w:t xml:space="preserve">                     1 </w:t>
            </w:r>
          </w:p>
        </w:tc>
      </w:tr>
      <w:tr w:rsidRPr="00990A09" w:rsidTr="00990A09" w:rsidR="00990A09" w14:paraId="6A93280F" w14:textId="77777777">
        <w:trPr>
          <w:trHeight w:val="300"/>
        </w:trPr>
        <w:tc>
          <w:tcPr>
            <w:tcW w:w="2420" w:type="dxa"/>
            <w:tcBorders>
              <w:top w:val="nil"/>
              <w:left w:val="nil"/>
              <w:bottom w:val="nil"/>
              <w:right w:val="nil"/>
            </w:tcBorders>
            <w:shd w:val="clear" w:color="auto" w:fill="auto"/>
            <w:noWrap/>
            <w:vAlign w:val="bottom"/>
            <w:hideMark/>
          </w:tcPr>
          <w:p w:rsidRPr="00990A09" w:rsidRDefault="00990A09" w:rsidR="00990A09" w:rsidP="00990A09" w14:paraId="35E91439" w14:textId="77777777">
            <w:pPr>
              <w:spacing w:line="240" w:after="0" w:lineRule="auto"/>
              <w:rPr>
                <w:rFonts w:eastAsia="Times New Roman"/>
                <w:color w:val="000000"/>
              </w:rPr>
            </w:pPr>
            <w:r w:rsidRPr="00990A09">
              <w:rPr>
                <w:rFonts w:eastAsia="Times New Roman"/>
                <w:color w:val="000000"/>
              </w:rPr>
              <w:t>Mediana</w:t>
            </w:r>
          </w:p>
        </w:tc>
        <w:tc>
          <w:tcPr>
            <w:tcW w:w="2226" w:type="dxa"/>
            <w:tcBorders>
              <w:top w:val="nil"/>
              <w:left w:val="nil"/>
              <w:bottom w:val="nil"/>
              <w:right w:val="nil"/>
            </w:tcBorders>
            <w:shd w:val="clear" w:color="auto" w:fill="auto"/>
            <w:noWrap/>
            <w:vAlign w:val="bottom"/>
            <w:hideMark/>
          </w:tcPr>
          <w:p w:rsidRPr="00990A09" w:rsidRDefault="00990A09" w:rsidR="00990A09" w:rsidP="00990A09" w14:paraId="49B99CC8" w14:textId="77777777">
            <w:pPr>
              <w:spacing w:line="240" w:after="0" w:lineRule="auto"/>
              <w:rPr>
                <w:rFonts w:eastAsia="Times New Roman"/>
                <w:color w:val="000000"/>
              </w:rPr>
            </w:pPr>
            <w:r w:rsidRPr="00990A09">
              <w:rPr>
                <w:rFonts w:eastAsia="Times New Roman"/>
                <w:color w:val="000000"/>
              </w:rPr>
              <w:t xml:space="preserve">                                663 </w:t>
            </w:r>
          </w:p>
        </w:tc>
        <w:tc>
          <w:tcPr>
            <w:tcW w:w="2325" w:type="dxa"/>
            <w:tcBorders>
              <w:top w:val="nil"/>
              <w:left w:val="nil"/>
              <w:bottom w:val="nil"/>
              <w:right w:val="nil"/>
            </w:tcBorders>
            <w:shd w:val="clear" w:color="auto" w:fill="auto"/>
            <w:noWrap/>
            <w:vAlign w:val="bottom"/>
            <w:hideMark/>
          </w:tcPr>
          <w:p w:rsidRPr="00990A09" w:rsidRDefault="00990A09" w:rsidR="00990A09" w:rsidP="00990A09" w14:paraId="70C088D5" w14:textId="77777777">
            <w:pPr>
              <w:spacing w:line="240" w:after="0" w:lineRule="auto"/>
              <w:rPr>
                <w:rFonts w:eastAsia="Times New Roman"/>
                <w:color w:val="000000"/>
              </w:rPr>
            </w:pPr>
            <w:r w:rsidRPr="00990A09">
              <w:rPr>
                <w:rFonts w:eastAsia="Times New Roman"/>
                <w:color w:val="000000"/>
              </w:rPr>
              <w:t xml:space="preserve">                            14.502 </w:t>
            </w:r>
          </w:p>
        </w:tc>
        <w:tc>
          <w:tcPr>
            <w:tcW w:w="2098" w:type="dxa"/>
            <w:tcBorders>
              <w:top w:val="nil"/>
              <w:left w:val="nil"/>
              <w:bottom w:val="nil"/>
              <w:right w:val="nil"/>
            </w:tcBorders>
            <w:shd w:val="clear" w:color="auto" w:fill="auto"/>
            <w:noWrap/>
            <w:vAlign w:val="bottom"/>
            <w:hideMark/>
          </w:tcPr>
          <w:p w:rsidRPr="00990A09" w:rsidRDefault="00990A09" w:rsidR="00990A09" w:rsidP="00990A09" w14:paraId="254E4DF7" w14:textId="77777777">
            <w:pPr>
              <w:spacing w:line="240" w:after="0" w:lineRule="auto"/>
              <w:rPr>
                <w:rFonts w:eastAsia="Times New Roman"/>
                <w:color w:val="000000"/>
              </w:rPr>
            </w:pPr>
            <w:r w:rsidRPr="00990A09">
              <w:rPr>
                <w:rFonts w:eastAsia="Times New Roman"/>
                <w:color w:val="000000"/>
              </w:rPr>
              <w:t xml:space="preserve">                      51.110 </w:t>
            </w:r>
          </w:p>
        </w:tc>
        <w:tc>
          <w:tcPr>
            <w:tcW w:w="1371" w:type="dxa"/>
            <w:tcBorders>
              <w:top w:val="nil"/>
              <w:left w:val="nil"/>
              <w:bottom w:val="nil"/>
              <w:right w:val="nil"/>
            </w:tcBorders>
            <w:shd w:val="clear" w:color="auto" w:fill="auto"/>
            <w:noWrap/>
            <w:vAlign w:val="bottom"/>
            <w:hideMark/>
          </w:tcPr>
          <w:p w:rsidRPr="00990A09" w:rsidRDefault="00990A09" w:rsidR="00990A09" w:rsidP="00990A09" w14:paraId="4811B680" w14:textId="77777777">
            <w:pPr>
              <w:spacing w:line="240" w:after="0" w:lineRule="auto"/>
              <w:rPr>
                <w:rFonts w:eastAsia="Times New Roman"/>
                <w:color w:val="000000"/>
              </w:rPr>
            </w:pPr>
            <w:r w:rsidRPr="00990A09">
              <w:rPr>
                <w:rFonts w:eastAsia="Times New Roman"/>
                <w:color w:val="000000"/>
              </w:rPr>
              <w:t xml:space="preserve">                   13 </w:t>
            </w:r>
          </w:p>
        </w:tc>
      </w:tr>
      <w:tr w:rsidRPr="00990A09" w:rsidTr="00990A09" w:rsidR="00990A09" w14:paraId="7168BA4B" w14:textId="77777777">
        <w:trPr>
          <w:trHeight w:val="300"/>
        </w:trPr>
        <w:tc>
          <w:tcPr>
            <w:tcW w:w="2420" w:type="dxa"/>
            <w:tcBorders>
              <w:top w:val="nil"/>
              <w:left w:val="nil"/>
              <w:bottom w:val="nil"/>
              <w:right w:val="nil"/>
            </w:tcBorders>
            <w:shd w:val="clear" w:color="auto" w:fill="auto"/>
            <w:noWrap/>
            <w:vAlign w:val="bottom"/>
            <w:hideMark/>
          </w:tcPr>
          <w:p w:rsidRPr="00990A09" w:rsidRDefault="00990A09" w:rsidR="00990A09" w:rsidP="00990A09" w14:paraId="2A74C64E" w14:textId="77777777">
            <w:pPr>
              <w:spacing w:line="240" w:after="0" w:lineRule="auto"/>
              <w:rPr>
                <w:rFonts w:eastAsia="Times New Roman"/>
                <w:color w:val="000000"/>
              </w:rPr>
            </w:pPr>
            <w:r w:rsidRPr="00990A09">
              <w:rPr>
                <w:rFonts w:eastAsia="Times New Roman"/>
                <w:color w:val="000000"/>
              </w:rPr>
              <w:t>Desviación estándar</w:t>
            </w:r>
          </w:p>
        </w:tc>
        <w:tc>
          <w:tcPr>
            <w:tcW w:w="2226" w:type="dxa"/>
            <w:tcBorders>
              <w:top w:val="nil"/>
              <w:left w:val="nil"/>
              <w:bottom w:val="nil"/>
              <w:right w:val="nil"/>
            </w:tcBorders>
            <w:shd w:val="clear" w:color="auto" w:fill="auto"/>
            <w:noWrap/>
            <w:vAlign w:val="bottom"/>
            <w:hideMark/>
          </w:tcPr>
          <w:p w:rsidRPr="00990A09" w:rsidRDefault="00990A09" w:rsidR="00990A09" w:rsidP="00990A09" w14:paraId="5CE865AB" w14:textId="77777777">
            <w:pPr>
              <w:spacing w:line="240" w:after="0" w:lineRule="auto"/>
              <w:rPr>
                <w:rFonts w:eastAsia="Times New Roman"/>
                <w:color w:val="000000"/>
              </w:rPr>
            </w:pPr>
            <w:r w:rsidRPr="00990A09">
              <w:rPr>
                <w:rFonts w:eastAsia="Times New Roman"/>
                <w:color w:val="000000"/>
              </w:rPr>
              <w:t xml:space="preserve">                          32.436 </w:t>
            </w:r>
          </w:p>
        </w:tc>
        <w:tc>
          <w:tcPr>
            <w:tcW w:w="2325" w:type="dxa"/>
            <w:tcBorders>
              <w:top w:val="nil"/>
              <w:left w:val="nil"/>
              <w:bottom w:val="nil"/>
              <w:right w:val="nil"/>
            </w:tcBorders>
            <w:shd w:val="clear" w:color="auto" w:fill="auto"/>
            <w:noWrap/>
            <w:vAlign w:val="bottom"/>
            <w:hideMark/>
          </w:tcPr>
          <w:p w:rsidRPr="00990A09" w:rsidRDefault="00990A09" w:rsidR="00990A09" w:rsidP="00990A09" w14:paraId="5A9127F6" w14:textId="77777777">
            <w:pPr>
              <w:spacing w:line="240" w:after="0" w:lineRule="auto"/>
              <w:rPr>
                <w:rFonts w:eastAsia="Times New Roman"/>
                <w:color w:val="000000"/>
              </w:rPr>
            </w:pPr>
            <w:r w:rsidRPr="00990A09">
              <w:rPr>
                <w:rFonts w:eastAsia="Times New Roman"/>
                <w:color w:val="000000"/>
              </w:rPr>
              <w:t xml:space="preserve">                          216.478 </w:t>
            </w:r>
          </w:p>
        </w:tc>
        <w:tc>
          <w:tcPr>
            <w:tcW w:w="2098" w:type="dxa"/>
            <w:tcBorders>
              <w:top w:val="nil"/>
              <w:left w:val="nil"/>
              <w:bottom w:val="nil"/>
              <w:right w:val="nil"/>
            </w:tcBorders>
            <w:shd w:val="clear" w:color="auto" w:fill="auto"/>
            <w:noWrap/>
            <w:vAlign w:val="bottom"/>
            <w:hideMark/>
          </w:tcPr>
          <w:p w:rsidRPr="00990A09" w:rsidRDefault="00990A09" w:rsidR="00990A09" w:rsidP="00990A09" w14:paraId="0DB6F637" w14:textId="77777777">
            <w:pPr>
              <w:spacing w:line="240" w:after="0" w:lineRule="auto"/>
              <w:rPr>
                <w:rFonts w:eastAsia="Times New Roman"/>
                <w:color w:val="000000"/>
              </w:rPr>
            </w:pPr>
            <w:r w:rsidRPr="00990A09">
              <w:rPr>
                <w:rFonts w:eastAsia="Times New Roman"/>
                <w:color w:val="000000"/>
              </w:rPr>
              <w:t xml:space="preserve">                      29.468 </w:t>
            </w:r>
          </w:p>
        </w:tc>
        <w:tc>
          <w:tcPr>
            <w:tcW w:w="1371" w:type="dxa"/>
            <w:tcBorders>
              <w:top w:val="nil"/>
              <w:left w:val="nil"/>
              <w:bottom w:val="nil"/>
              <w:right w:val="nil"/>
            </w:tcBorders>
            <w:shd w:val="clear" w:color="auto" w:fill="auto"/>
            <w:noWrap/>
            <w:vAlign w:val="bottom"/>
            <w:hideMark/>
          </w:tcPr>
          <w:p w:rsidRPr="00990A09" w:rsidRDefault="00990A09" w:rsidR="00990A09" w:rsidP="00990A09" w14:paraId="3F105A65" w14:textId="77777777">
            <w:pPr>
              <w:spacing w:line="240" w:after="0" w:lineRule="auto"/>
              <w:rPr>
                <w:rFonts w:eastAsia="Times New Roman"/>
                <w:color w:val="000000"/>
              </w:rPr>
            </w:pPr>
            <w:r w:rsidRPr="00990A09">
              <w:rPr>
                <w:rFonts w:eastAsia="Times New Roman"/>
                <w:color w:val="000000"/>
              </w:rPr>
              <w:t xml:space="preserve">                   15 </w:t>
            </w:r>
          </w:p>
        </w:tc>
      </w:tr>
      <w:tr w:rsidRPr="00990A09" w:rsidTr="00990A09" w:rsidR="00990A09" w14:paraId="5BDD4325" w14:textId="77777777">
        <w:trPr>
          <w:trHeight w:val="300"/>
        </w:trPr>
        <w:tc>
          <w:tcPr>
            <w:tcW w:w="2420" w:type="dxa"/>
            <w:tcBorders>
              <w:top w:val="nil"/>
              <w:left w:val="nil"/>
              <w:bottom w:val="nil"/>
              <w:right w:val="nil"/>
            </w:tcBorders>
            <w:shd w:val="clear" w:color="auto" w:fill="auto"/>
            <w:noWrap/>
            <w:vAlign w:val="bottom"/>
            <w:hideMark/>
          </w:tcPr>
          <w:p w:rsidRPr="00990A09" w:rsidRDefault="00990A09" w:rsidR="00990A09" w:rsidP="00990A09" w14:paraId="59BFB4C6" w14:textId="77777777">
            <w:pPr>
              <w:spacing w:line="240" w:after="0" w:lineRule="auto"/>
              <w:rPr>
                <w:rFonts w:eastAsia="Times New Roman"/>
                <w:color w:val="000000"/>
              </w:rPr>
            </w:pPr>
            <w:r w:rsidRPr="00990A09">
              <w:rPr>
                <w:rFonts w:eastAsia="Times New Roman"/>
                <w:color w:val="000000"/>
              </w:rPr>
              <w:t>Curtosis</w:t>
            </w:r>
          </w:p>
        </w:tc>
        <w:tc>
          <w:tcPr>
            <w:tcW w:w="2226" w:type="dxa"/>
            <w:tcBorders>
              <w:top w:val="nil"/>
              <w:left w:val="nil"/>
              <w:bottom w:val="nil"/>
              <w:right w:val="nil"/>
            </w:tcBorders>
            <w:shd w:val="clear" w:color="auto" w:fill="auto"/>
            <w:noWrap/>
            <w:vAlign w:val="bottom"/>
            <w:hideMark/>
          </w:tcPr>
          <w:p w:rsidRPr="00990A09" w:rsidRDefault="00990A09" w:rsidR="00990A09" w:rsidP="00990A09" w14:paraId="2A86EE91" w14:textId="77777777">
            <w:pPr>
              <w:spacing w:line="240" w:after="0" w:lineRule="auto"/>
              <w:rPr>
                <w:rFonts w:eastAsia="Times New Roman"/>
                <w:color w:val="000000"/>
              </w:rPr>
            </w:pPr>
            <w:r w:rsidRPr="00990A09">
              <w:rPr>
                <w:rFonts w:eastAsia="Times New Roman"/>
                <w:color w:val="000000"/>
              </w:rPr>
              <w:t xml:space="preserve">                                122 </w:t>
            </w:r>
          </w:p>
        </w:tc>
        <w:tc>
          <w:tcPr>
            <w:tcW w:w="2325" w:type="dxa"/>
            <w:tcBorders>
              <w:top w:val="nil"/>
              <w:left w:val="nil"/>
              <w:bottom w:val="nil"/>
              <w:right w:val="nil"/>
            </w:tcBorders>
            <w:shd w:val="clear" w:color="auto" w:fill="auto"/>
            <w:noWrap/>
            <w:vAlign w:val="bottom"/>
            <w:hideMark/>
          </w:tcPr>
          <w:p w:rsidRPr="00990A09" w:rsidRDefault="00990A09" w:rsidR="00990A09" w:rsidP="00990A09" w14:paraId="157AF3F7" w14:textId="77777777">
            <w:pPr>
              <w:spacing w:line="240" w:after="0" w:lineRule="auto"/>
              <w:rPr>
                <w:rFonts w:eastAsia="Times New Roman"/>
                <w:color w:val="000000"/>
              </w:rPr>
            </w:pPr>
            <w:r w:rsidRPr="00990A09">
              <w:rPr>
                <w:rFonts w:eastAsia="Times New Roman"/>
                <w:color w:val="000000"/>
              </w:rPr>
              <w:t xml:space="preserve">                                  110 </w:t>
            </w:r>
          </w:p>
        </w:tc>
        <w:tc>
          <w:tcPr>
            <w:tcW w:w="2098" w:type="dxa"/>
            <w:tcBorders>
              <w:top w:val="nil"/>
              <w:left w:val="nil"/>
              <w:bottom w:val="nil"/>
              <w:right w:val="nil"/>
            </w:tcBorders>
            <w:shd w:val="clear" w:color="auto" w:fill="auto"/>
            <w:noWrap/>
            <w:vAlign w:val="bottom"/>
            <w:hideMark/>
          </w:tcPr>
          <w:p w:rsidRPr="00990A09" w:rsidRDefault="00990A09" w:rsidR="00990A09" w:rsidP="00990A09" w14:paraId="28EE028E" w14:textId="77777777">
            <w:pPr>
              <w:spacing w:line="240" w:after="0" w:lineRule="auto"/>
              <w:rPr>
                <w:rFonts w:eastAsia="Times New Roman"/>
                <w:color w:val="000000"/>
              </w:rPr>
            </w:pPr>
            <w:r w:rsidRPr="00990A09">
              <w:rPr>
                <w:rFonts w:eastAsia="Times New Roman"/>
                <w:color w:val="000000"/>
              </w:rPr>
              <w:t xml:space="preserve">                                 1 </w:t>
            </w:r>
          </w:p>
        </w:tc>
        <w:tc>
          <w:tcPr>
            <w:tcW w:w="1371" w:type="dxa"/>
            <w:tcBorders>
              <w:top w:val="nil"/>
              <w:left w:val="nil"/>
              <w:bottom w:val="nil"/>
              <w:right w:val="nil"/>
            </w:tcBorders>
            <w:shd w:val="clear" w:color="auto" w:fill="auto"/>
            <w:noWrap/>
            <w:vAlign w:val="bottom"/>
            <w:hideMark/>
          </w:tcPr>
          <w:p w:rsidRPr="00990A09" w:rsidRDefault="00990A09" w:rsidR="00990A09" w:rsidP="00990A09" w14:paraId="4DE4C16D" w14:textId="77777777">
            <w:pPr>
              <w:spacing w:line="240" w:after="0" w:lineRule="auto"/>
              <w:rPr>
                <w:rFonts w:eastAsia="Times New Roman"/>
                <w:color w:val="000000"/>
              </w:rPr>
            </w:pPr>
            <w:r w:rsidRPr="00990A09">
              <w:rPr>
                <w:rFonts w:eastAsia="Times New Roman"/>
                <w:color w:val="000000"/>
              </w:rPr>
              <w:t xml:space="preserve">                     5 </w:t>
            </w:r>
          </w:p>
        </w:tc>
      </w:tr>
      <w:tr w:rsidRPr="00990A09" w:rsidTr="00990A09" w:rsidR="00990A09" w14:paraId="4AAD6C08" w14:textId="77777777">
        <w:trPr>
          <w:trHeight w:val="300"/>
        </w:trPr>
        <w:tc>
          <w:tcPr>
            <w:tcW w:w="2420" w:type="dxa"/>
            <w:tcBorders>
              <w:top w:val="nil"/>
              <w:left w:val="nil"/>
              <w:bottom w:val="nil"/>
              <w:right w:val="nil"/>
            </w:tcBorders>
            <w:shd w:val="clear" w:color="auto" w:fill="auto"/>
            <w:noWrap/>
            <w:vAlign w:val="bottom"/>
            <w:hideMark/>
          </w:tcPr>
          <w:p w:rsidRPr="00990A09" w:rsidRDefault="00990A09" w:rsidR="00990A09" w:rsidP="00990A09" w14:paraId="5265C665" w14:textId="77777777">
            <w:pPr>
              <w:spacing w:line="240" w:after="0" w:lineRule="auto"/>
              <w:rPr>
                <w:rFonts w:eastAsia="Times New Roman"/>
                <w:color w:val="000000"/>
              </w:rPr>
            </w:pPr>
            <w:r w:rsidRPr="00990A09">
              <w:rPr>
                <w:rFonts w:eastAsia="Times New Roman"/>
                <w:color w:val="000000"/>
              </w:rPr>
              <w:t>Coeficiente de asimetría</w:t>
            </w:r>
          </w:p>
        </w:tc>
        <w:tc>
          <w:tcPr>
            <w:tcW w:w="2226" w:type="dxa"/>
            <w:tcBorders>
              <w:top w:val="nil"/>
              <w:left w:val="nil"/>
              <w:bottom w:val="nil"/>
              <w:right w:val="nil"/>
            </w:tcBorders>
            <w:shd w:val="clear" w:color="auto" w:fill="auto"/>
            <w:noWrap/>
            <w:vAlign w:val="bottom"/>
            <w:hideMark/>
          </w:tcPr>
          <w:p w:rsidRPr="00990A09" w:rsidRDefault="00990A09" w:rsidR="00990A09" w:rsidP="00990A09" w14:paraId="2578F65F" w14:textId="77777777">
            <w:pPr>
              <w:spacing w:line="240" w:after="0" w:lineRule="auto"/>
              <w:rPr>
                <w:rFonts w:eastAsia="Times New Roman"/>
                <w:color w:val="000000"/>
              </w:rPr>
            </w:pPr>
            <w:r w:rsidRPr="00990A09">
              <w:rPr>
                <w:rFonts w:eastAsia="Times New Roman"/>
                <w:color w:val="000000"/>
              </w:rPr>
              <w:t xml:space="preserve">                                  11 </w:t>
            </w:r>
          </w:p>
        </w:tc>
        <w:tc>
          <w:tcPr>
            <w:tcW w:w="2325" w:type="dxa"/>
            <w:tcBorders>
              <w:top w:val="nil"/>
              <w:left w:val="nil"/>
              <w:bottom w:val="nil"/>
              <w:right w:val="nil"/>
            </w:tcBorders>
            <w:shd w:val="clear" w:color="auto" w:fill="auto"/>
            <w:noWrap/>
            <w:vAlign w:val="bottom"/>
            <w:hideMark/>
          </w:tcPr>
          <w:p w:rsidRPr="00990A09" w:rsidRDefault="00990A09" w:rsidR="00990A09" w:rsidP="00990A09" w14:paraId="2C9060A5" w14:textId="77777777">
            <w:pPr>
              <w:spacing w:line="240" w:after="0" w:lineRule="auto"/>
              <w:rPr>
                <w:rFonts w:eastAsia="Times New Roman"/>
                <w:color w:val="000000"/>
              </w:rPr>
            </w:pPr>
            <w:r w:rsidRPr="00990A09">
              <w:rPr>
                <w:rFonts w:eastAsia="Times New Roman"/>
                <w:color w:val="000000"/>
              </w:rPr>
              <w:t xml:space="preserve">                                    10 </w:t>
            </w:r>
          </w:p>
        </w:tc>
        <w:tc>
          <w:tcPr>
            <w:tcW w:w="2098" w:type="dxa"/>
            <w:tcBorders>
              <w:top w:val="nil"/>
              <w:left w:val="nil"/>
              <w:bottom w:val="nil"/>
              <w:right w:val="nil"/>
            </w:tcBorders>
            <w:shd w:val="clear" w:color="auto" w:fill="auto"/>
            <w:noWrap/>
            <w:vAlign w:val="bottom"/>
            <w:hideMark/>
          </w:tcPr>
          <w:p w:rsidRPr="00990A09" w:rsidRDefault="00990A09" w:rsidR="00990A09" w:rsidP="00990A09" w14:paraId="39D87461" w14:textId="77777777">
            <w:pPr>
              <w:spacing w:line="240" w:after="0" w:lineRule="auto"/>
              <w:rPr>
                <w:rFonts w:eastAsia="Times New Roman"/>
                <w:color w:val="000000"/>
              </w:rPr>
            </w:pPr>
            <w:r w:rsidRPr="00990A09">
              <w:rPr>
                <w:rFonts w:eastAsia="Times New Roman"/>
                <w:color w:val="000000"/>
              </w:rPr>
              <w:t xml:space="preserve">                                 1 </w:t>
            </w:r>
          </w:p>
        </w:tc>
        <w:tc>
          <w:tcPr>
            <w:tcW w:w="1371" w:type="dxa"/>
            <w:tcBorders>
              <w:top w:val="nil"/>
              <w:left w:val="nil"/>
              <w:bottom w:val="nil"/>
              <w:right w:val="nil"/>
            </w:tcBorders>
            <w:shd w:val="clear" w:color="auto" w:fill="auto"/>
            <w:noWrap/>
            <w:vAlign w:val="bottom"/>
            <w:hideMark/>
          </w:tcPr>
          <w:p w:rsidRPr="00990A09" w:rsidRDefault="00990A09" w:rsidR="00990A09" w:rsidP="00990A09" w14:paraId="3FF5904B" w14:textId="77777777">
            <w:pPr>
              <w:spacing w:line="240" w:after="0" w:lineRule="auto"/>
              <w:rPr>
                <w:rFonts w:eastAsia="Times New Roman"/>
                <w:color w:val="000000"/>
              </w:rPr>
            </w:pPr>
            <w:r w:rsidRPr="00990A09">
              <w:rPr>
                <w:rFonts w:eastAsia="Times New Roman"/>
                <w:color w:val="000000"/>
              </w:rPr>
              <w:t xml:space="preserve">                     2 </w:t>
            </w:r>
          </w:p>
        </w:tc>
      </w:tr>
      <w:tr w:rsidRPr="00990A09" w:rsidTr="00990A09" w:rsidR="00990A09" w14:paraId="2F97D3CB" w14:textId="77777777">
        <w:trPr>
          <w:trHeight w:val="300"/>
        </w:trPr>
        <w:tc>
          <w:tcPr>
            <w:tcW w:w="2420" w:type="dxa"/>
            <w:tcBorders>
              <w:top w:val="nil"/>
              <w:left w:val="nil"/>
              <w:bottom w:val="nil"/>
              <w:right w:val="nil"/>
            </w:tcBorders>
            <w:shd w:val="clear" w:color="auto" w:fill="auto"/>
            <w:noWrap/>
            <w:vAlign w:val="bottom"/>
            <w:hideMark/>
          </w:tcPr>
          <w:p w:rsidRPr="00990A09" w:rsidRDefault="00990A09" w:rsidR="00990A09" w:rsidP="00990A09" w14:paraId="7A164020" w14:textId="77777777">
            <w:pPr>
              <w:spacing w:line="240" w:after="0" w:lineRule="auto"/>
              <w:rPr>
                <w:rFonts w:eastAsia="Times New Roman"/>
                <w:color w:val="000000"/>
              </w:rPr>
            </w:pPr>
            <w:r w:rsidRPr="00990A09">
              <w:rPr>
                <w:rFonts w:eastAsia="Times New Roman"/>
                <w:color w:val="000000"/>
              </w:rPr>
              <w:t>Mínimo</w:t>
            </w:r>
          </w:p>
        </w:tc>
        <w:tc>
          <w:tcPr>
            <w:tcW w:w="2226" w:type="dxa"/>
            <w:tcBorders>
              <w:top w:val="nil"/>
              <w:left w:val="nil"/>
              <w:bottom w:val="nil"/>
              <w:right w:val="nil"/>
            </w:tcBorders>
            <w:shd w:val="clear" w:color="auto" w:fill="auto"/>
            <w:noWrap/>
            <w:vAlign w:val="bottom"/>
            <w:hideMark/>
          </w:tcPr>
          <w:p w:rsidRPr="00990A09" w:rsidRDefault="00990A09" w:rsidR="00990A09" w:rsidP="00990A09" w14:paraId="42A707EE" w14:textId="77777777">
            <w:pPr>
              <w:spacing w:line="240" w:after="0" w:lineRule="auto"/>
              <w:rPr>
                <w:rFonts w:eastAsia="Times New Roman"/>
                <w:color w:val="000000"/>
              </w:rPr>
            </w:pPr>
            <w:r w:rsidRPr="00990A09">
              <w:rPr>
                <w:rFonts w:eastAsia="Times New Roman"/>
                <w:color w:val="000000"/>
              </w:rPr>
              <w:t xml:space="preserve">                                  23 </w:t>
            </w:r>
          </w:p>
        </w:tc>
        <w:tc>
          <w:tcPr>
            <w:tcW w:w="2325" w:type="dxa"/>
            <w:tcBorders>
              <w:top w:val="nil"/>
              <w:left w:val="nil"/>
              <w:bottom w:val="nil"/>
              <w:right w:val="nil"/>
            </w:tcBorders>
            <w:shd w:val="clear" w:color="auto" w:fill="auto"/>
            <w:noWrap/>
            <w:vAlign w:val="bottom"/>
            <w:hideMark/>
          </w:tcPr>
          <w:p w:rsidRPr="00990A09" w:rsidRDefault="00990A09" w:rsidR="00990A09" w:rsidP="00990A09" w14:paraId="1CE81C7D" w14:textId="77777777">
            <w:pPr>
              <w:spacing w:line="240" w:after="0" w:lineRule="auto"/>
              <w:rPr>
                <w:rFonts w:eastAsia="Times New Roman"/>
                <w:color w:val="000000"/>
              </w:rPr>
            </w:pPr>
            <w:r w:rsidRPr="00990A09">
              <w:rPr>
                <w:rFonts w:eastAsia="Times New Roman"/>
                <w:color w:val="000000"/>
              </w:rPr>
              <w:t xml:space="preserve">                              2.159 </w:t>
            </w:r>
          </w:p>
        </w:tc>
        <w:tc>
          <w:tcPr>
            <w:tcW w:w="2098" w:type="dxa"/>
            <w:tcBorders>
              <w:top w:val="nil"/>
              <w:left w:val="nil"/>
              <w:bottom w:val="nil"/>
              <w:right w:val="nil"/>
            </w:tcBorders>
            <w:shd w:val="clear" w:color="auto" w:fill="auto"/>
            <w:noWrap/>
            <w:vAlign w:val="bottom"/>
            <w:hideMark/>
          </w:tcPr>
          <w:p w:rsidRPr="00990A09" w:rsidRDefault="00990A09" w:rsidR="00990A09" w:rsidP="00990A09" w14:paraId="0F99B7E3" w14:textId="77777777">
            <w:pPr>
              <w:spacing w:line="240" w:after="0" w:lineRule="auto"/>
              <w:rPr>
                <w:rFonts w:eastAsia="Times New Roman"/>
                <w:color w:val="000000"/>
              </w:rPr>
            </w:pPr>
            <w:r w:rsidRPr="00990A09">
              <w:rPr>
                <w:rFonts w:eastAsia="Times New Roman"/>
                <w:color w:val="000000"/>
              </w:rPr>
              <w:t xml:space="preserve">                        4.610 </w:t>
            </w:r>
          </w:p>
        </w:tc>
        <w:tc>
          <w:tcPr>
            <w:tcW w:w="1371" w:type="dxa"/>
            <w:tcBorders>
              <w:top w:val="nil"/>
              <w:left w:val="nil"/>
              <w:bottom w:val="nil"/>
              <w:right w:val="nil"/>
            </w:tcBorders>
            <w:shd w:val="clear" w:color="auto" w:fill="auto"/>
            <w:noWrap/>
            <w:vAlign w:val="bottom"/>
            <w:hideMark/>
          </w:tcPr>
          <w:p w:rsidRPr="00990A09" w:rsidRDefault="00990A09" w:rsidR="00990A09" w:rsidP="00990A09" w14:paraId="17303617" w14:textId="77777777">
            <w:pPr>
              <w:spacing w:line="240" w:after="0" w:lineRule="auto"/>
              <w:rPr>
                <w:rFonts w:eastAsia="Times New Roman"/>
                <w:color w:val="000000"/>
              </w:rPr>
            </w:pPr>
            <w:r w:rsidRPr="00990A09">
              <w:rPr>
                <w:rFonts w:eastAsia="Times New Roman"/>
                <w:color w:val="000000"/>
              </w:rPr>
              <w:t xml:space="preserve">                     2 </w:t>
            </w:r>
          </w:p>
        </w:tc>
      </w:tr>
      <w:tr w:rsidRPr="00990A09" w:rsidTr="00990A09" w:rsidR="00990A09" w14:paraId="094D792C" w14:textId="77777777">
        <w:trPr>
          <w:trHeight w:val="300"/>
        </w:trPr>
        <w:tc>
          <w:tcPr>
            <w:tcW w:w="2420" w:type="dxa"/>
            <w:tcBorders>
              <w:top w:val="nil"/>
              <w:left w:val="nil"/>
              <w:bottom w:val="nil"/>
              <w:right w:val="nil"/>
            </w:tcBorders>
            <w:shd w:val="clear" w:color="auto" w:fill="auto"/>
            <w:noWrap/>
            <w:vAlign w:val="bottom"/>
            <w:hideMark/>
          </w:tcPr>
          <w:p w:rsidRPr="00990A09" w:rsidRDefault="00990A09" w:rsidR="00990A09" w:rsidP="00990A09" w14:paraId="6EA4D880" w14:textId="77777777">
            <w:pPr>
              <w:spacing w:line="240" w:after="0" w:lineRule="auto"/>
              <w:rPr>
                <w:rFonts w:eastAsia="Times New Roman"/>
                <w:color w:val="000000"/>
              </w:rPr>
            </w:pPr>
            <w:r w:rsidRPr="00990A09">
              <w:rPr>
                <w:rFonts w:eastAsia="Times New Roman"/>
                <w:color w:val="000000"/>
              </w:rPr>
              <w:t>Máximo</w:t>
            </w:r>
          </w:p>
        </w:tc>
        <w:tc>
          <w:tcPr>
            <w:tcW w:w="2226" w:type="dxa"/>
            <w:tcBorders>
              <w:top w:val="nil"/>
              <w:left w:val="nil"/>
              <w:bottom w:val="nil"/>
              <w:right w:val="nil"/>
            </w:tcBorders>
            <w:shd w:val="clear" w:color="auto" w:fill="auto"/>
            <w:noWrap/>
            <w:vAlign w:val="bottom"/>
            <w:hideMark/>
          </w:tcPr>
          <w:p w:rsidRPr="00990A09" w:rsidRDefault="00990A09" w:rsidR="00990A09" w:rsidP="00990A09" w14:paraId="4512AAD3" w14:textId="77777777">
            <w:pPr>
              <w:spacing w:line="240" w:after="0" w:lineRule="auto"/>
              <w:rPr>
                <w:rFonts w:eastAsia="Times New Roman"/>
                <w:color w:val="000000"/>
              </w:rPr>
            </w:pPr>
            <w:r w:rsidRPr="00990A09">
              <w:rPr>
                <w:rFonts w:eastAsia="Times New Roman"/>
                <w:color w:val="000000"/>
              </w:rPr>
              <w:t xml:space="preserve">                       362.491 </w:t>
            </w:r>
          </w:p>
        </w:tc>
        <w:tc>
          <w:tcPr>
            <w:tcW w:w="2325" w:type="dxa"/>
            <w:tcBorders>
              <w:top w:val="nil"/>
              <w:left w:val="nil"/>
              <w:bottom w:val="nil"/>
              <w:right w:val="nil"/>
            </w:tcBorders>
            <w:shd w:val="clear" w:color="auto" w:fill="auto"/>
            <w:noWrap/>
            <w:vAlign w:val="bottom"/>
            <w:hideMark/>
          </w:tcPr>
          <w:p w:rsidRPr="00990A09" w:rsidRDefault="00990A09" w:rsidR="00990A09" w:rsidP="00990A09" w14:paraId="78303219" w14:textId="77777777">
            <w:pPr>
              <w:spacing w:line="240" w:after="0" w:lineRule="auto"/>
              <w:rPr>
                <w:rFonts w:eastAsia="Times New Roman"/>
                <w:color w:val="000000"/>
              </w:rPr>
            </w:pPr>
            <w:r w:rsidRPr="00990A09">
              <w:rPr>
                <w:rFonts w:eastAsia="Times New Roman"/>
                <w:color w:val="000000"/>
              </w:rPr>
              <w:t xml:space="preserve">                      2.372.330 </w:t>
            </w:r>
          </w:p>
        </w:tc>
        <w:tc>
          <w:tcPr>
            <w:tcW w:w="2098" w:type="dxa"/>
            <w:tcBorders>
              <w:top w:val="nil"/>
              <w:left w:val="nil"/>
              <w:bottom w:val="nil"/>
              <w:right w:val="nil"/>
            </w:tcBorders>
            <w:shd w:val="clear" w:color="auto" w:fill="auto"/>
            <w:noWrap/>
            <w:vAlign w:val="bottom"/>
            <w:hideMark/>
          </w:tcPr>
          <w:p w:rsidRPr="00990A09" w:rsidRDefault="00990A09" w:rsidR="00990A09" w:rsidP="00990A09" w14:paraId="6BFED3ED" w14:textId="77777777">
            <w:pPr>
              <w:spacing w:line="240" w:after="0" w:lineRule="auto"/>
              <w:rPr>
                <w:rFonts w:eastAsia="Times New Roman"/>
                <w:color w:val="000000"/>
              </w:rPr>
            </w:pPr>
            <w:r w:rsidRPr="00990A09">
              <w:rPr>
                <w:rFonts w:eastAsia="Times New Roman"/>
                <w:color w:val="000000"/>
              </w:rPr>
              <w:t xml:space="preserve">                    155.596 </w:t>
            </w:r>
          </w:p>
        </w:tc>
        <w:tc>
          <w:tcPr>
            <w:tcW w:w="1371" w:type="dxa"/>
            <w:tcBorders>
              <w:top w:val="nil"/>
              <w:left w:val="nil"/>
              <w:bottom w:val="nil"/>
              <w:right w:val="nil"/>
            </w:tcBorders>
            <w:shd w:val="clear" w:color="auto" w:fill="auto"/>
            <w:noWrap/>
            <w:vAlign w:val="bottom"/>
            <w:hideMark/>
          </w:tcPr>
          <w:p w:rsidRPr="00990A09" w:rsidRDefault="00990A09" w:rsidR="00990A09" w:rsidP="00990A09" w14:paraId="2A152C33" w14:textId="77777777">
            <w:pPr>
              <w:spacing w:line="240" w:after="0" w:lineRule="auto"/>
              <w:rPr>
                <w:rFonts w:eastAsia="Times New Roman"/>
                <w:color w:val="000000"/>
              </w:rPr>
            </w:pPr>
            <w:r w:rsidRPr="00990A09">
              <w:rPr>
                <w:rFonts w:eastAsia="Times New Roman"/>
                <w:color w:val="000000"/>
              </w:rPr>
              <w:t xml:space="preserve">                   82 </w:t>
            </w:r>
          </w:p>
        </w:tc>
      </w:tr>
      <w:tr w:rsidRPr="00990A09" w:rsidTr="00990A09" w:rsidR="00990A09" w14:paraId="54A6A928" w14:textId="77777777">
        <w:trPr>
          <w:trHeight w:val="300"/>
        </w:trPr>
        <w:tc>
          <w:tcPr>
            <w:tcW w:w="2420" w:type="dxa"/>
            <w:tcBorders>
              <w:top w:val="nil"/>
              <w:left w:val="nil"/>
              <w:bottom w:val="nil"/>
              <w:right w:val="nil"/>
            </w:tcBorders>
            <w:shd w:val="clear" w:color="auto" w:fill="auto"/>
            <w:noWrap/>
            <w:vAlign w:val="bottom"/>
            <w:hideMark/>
          </w:tcPr>
          <w:p w:rsidRPr="00990A09" w:rsidRDefault="00990A09" w:rsidR="00990A09" w:rsidP="00990A09" w14:paraId="7C2E3BE3" w14:textId="77777777">
            <w:pPr>
              <w:spacing w:line="240" w:after="0" w:lineRule="auto"/>
              <w:rPr>
                <w:rFonts w:eastAsia="Times New Roman"/>
                <w:color w:val="000000"/>
              </w:rPr>
            </w:pPr>
            <w:r w:rsidRPr="00990A09">
              <w:rPr>
                <w:rFonts w:eastAsia="Times New Roman"/>
                <w:color w:val="000000"/>
              </w:rPr>
              <w:t>Suma</w:t>
            </w:r>
          </w:p>
        </w:tc>
        <w:tc>
          <w:tcPr>
            <w:tcW w:w="2226" w:type="dxa"/>
            <w:tcBorders>
              <w:top w:val="nil"/>
              <w:left w:val="nil"/>
              <w:bottom w:val="nil"/>
              <w:right w:val="nil"/>
            </w:tcBorders>
            <w:shd w:val="clear" w:color="auto" w:fill="auto"/>
            <w:noWrap/>
            <w:vAlign w:val="bottom"/>
            <w:hideMark/>
          </w:tcPr>
          <w:p w:rsidRPr="00990A09" w:rsidRDefault="00990A09" w:rsidR="00990A09" w:rsidP="00990A09" w14:paraId="14BC686E" w14:textId="77777777">
            <w:pPr>
              <w:spacing w:line="240" w:after="0" w:lineRule="auto"/>
              <w:rPr>
                <w:rFonts w:eastAsia="Times New Roman"/>
                <w:color w:val="000000"/>
              </w:rPr>
            </w:pPr>
            <w:r w:rsidRPr="00990A09">
              <w:rPr>
                <w:rFonts w:eastAsia="Times New Roman"/>
                <w:color w:val="000000"/>
              </w:rPr>
              <w:t xml:space="preserve">                       578.300 </w:t>
            </w:r>
          </w:p>
        </w:tc>
        <w:tc>
          <w:tcPr>
            <w:tcW w:w="2325" w:type="dxa"/>
            <w:tcBorders>
              <w:top w:val="nil"/>
              <w:left w:val="nil"/>
              <w:bottom w:val="nil"/>
              <w:right w:val="nil"/>
            </w:tcBorders>
            <w:shd w:val="clear" w:color="auto" w:fill="auto"/>
            <w:noWrap/>
            <w:vAlign w:val="bottom"/>
            <w:hideMark/>
          </w:tcPr>
          <w:p w:rsidRPr="00990A09" w:rsidRDefault="00990A09" w:rsidR="00990A09" w:rsidP="00990A09" w14:paraId="1AFF0C45" w14:textId="77777777">
            <w:pPr>
              <w:spacing w:line="240" w:after="0" w:lineRule="auto"/>
              <w:rPr>
                <w:rFonts w:eastAsia="Times New Roman"/>
                <w:color w:val="000000"/>
              </w:rPr>
            </w:pPr>
            <w:r w:rsidRPr="00990A09">
              <w:rPr>
                <w:rFonts w:eastAsia="Times New Roman"/>
                <w:color w:val="000000"/>
              </w:rPr>
              <w:t xml:space="preserve">                      5.974.788 </w:t>
            </w:r>
          </w:p>
        </w:tc>
        <w:tc>
          <w:tcPr>
            <w:tcW w:w="2098" w:type="dxa"/>
            <w:tcBorders>
              <w:top w:val="nil"/>
              <w:left w:val="nil"/>
              <w:bottom w:val="nil"/>
              <w:right w:val="nil"/>
            </w:tcBorders>
            <w:shd w:val="clear" w:color="auto" w:fill="auto"/>
            <w:noWrap/>
            <w:vAlign w:val="bottom"/>
            <w:hideMark/>
          </w:tcPr>
          <w:p w:rsidRPr="00990A09" w:rsidRDefault="00990A09" w:rsidR="00990A09" w:rsidP="00990A09" w14:paraId="45867168" w14:textId="77777777">
            <w:pPr>
              <w:spacing w:line="240" w:after="0" w:lineRule="auto"/>
              <w:rPr>
                <w:rFonts w:eastAsia="Times New Roman"/>
                <w:color w:val="000000"/>
              </w:rPr>
            </w:pPr>
            <w:r w:rsidRPr="00990A09">
              <w:rPr>
                <w:rFonts w:eastAsia="Times New Roman"/>
                <w:color w:val="000000"/>
              </w:rPr>
              <w:t xml:space="preserve">                6.717.117 </w:t>
            </w:r>
          </w:p>
        </w:tc>
        <w:tc>
          <w:tcPr>
            <w:tcW w:w="1371" w:type="dxa"/>
            <w:tcBorders>
              <w:top w:val="nil"/>
              <w:left w:val="nil"/>
              <w:bottom w:val="nil"/>
              <w:right w:val="nil"/>
            </w:tcBorders>
            <w:shd w:val="clear" w:color="auto" w:fill="auto"/>
            <w:noWrap/>
            <w:vAlign w:val="bottom"/>
            <w:hideMark/>
          </w:tcPr>
          <w:p w:rsidRPr="00990A09" w:rsidRDefault="00990A09" w:rsidR="00990A09" w:rsidP="00990A09" w14:paraId="51B9816A" w14:textId="77777777">
            <w:pPr>
              <w:spacing w:line="240" w:after="0" w:lineRule="auto"/>
              <w:rPr>
                <w:rFonts w:eastAsia="Times New Roman"/>
                <w:color w:val="000000"/>
              </w:rPr>
            </w:pPr>
            <w:r w:rsidRPr="00990A09">
              <w:rPr>
                <w:rFonts w:eastAsia="Times New Roman"/>
                <w:color w:val="000000"/>
              </w:rPr>
              <w:t xml:space="preserve">             2.295 </w:t>
            </w:r>
          </w:p>
        </w:tc>
      </w:tr>
      <w:tr w:rsidRPr="00990A09" w:rsidTr="00990A09" w:rsidR="00990A09" w14:paraId="560D7245" w14:textId="77777777">
        <w:trPr>
          <w:trHeight w:val="315"/>
        </w:trPr>
        <w:tc>
          <w:tcPr>
            <w:tcW w:w="2420" w:type="dxa"/>
            <w:tcBorders>
              <w:top w:val="nil"/>
              <w:left w:val="nil"/>
              <w:bottom w:val="single" w:sz="8" w:color="auto" w:space="0"/>
              <w:right w:val="nil"/>
            </w:tcBorders>
            <w:shd w:val="clear" w:color="auto" w:fill="auto"/>
            <w:noWrap/>
            <w:vAlign w:val="bottom"/>
            <w:hideMark/>
          </w:tcPr>
          <w:p w:rsidRPr="00990A09" w:rsidRDefault="00990A09" w:rsidR="00990A09" w:rsidP="00990A09" w14:paraId="18B441B8" w14:textId="77777777">
            <w:pPr>
              <w:spacing w:line="240" w:after="0" w:lineRule="auto"/>
              <w:rPr>
                <w:rFonts w:eastAsia="Times New Roman"/>
                <w:color w:val="000000"/>
              </w:rPr>
            </w:pPr>
            <w:r w:rsidRPr="00990A09">
              <w:rPr>
                <w:rFonts w:eastAsia="Times New Roman"/>
                <w:color w:val="000000"/>
              </w:rPr>
              <w:t>Cuenta</w:t>
            </w:r>
          </w:p>
        </w:tc>
        <w:tc>
          <w:tcPr>
            <w:tcW w:w="2226" w:type="dxa"/>
            <w:tcBorders>
              <w:top w:val="nil"/>
              <w:left w:val="nil"/>
              <w:bottom w:val="single" w:sz="8" w:color="auto" w:space="0"/>
              <w:right w:val="nil"/>
            </w:tcBorders>
            <w:shd w:val="clear" w:color="auto" w:fill="auto"/>
            <w:noWrap/>
            <w:vAlign w:val="bottom"/>
            <w:hideMark/>
          </w:tcPr>
          <w:p w:rsidRPr="00990A09" w:rsidRDefault="00990A09" w:rsidR="00990A09" w:rsidP="00990A09" w14:paraId="5649EFAE" w14:textId="77777777">
            <w:pPr>
              <w:spacing w:line="240" w:after="0" w:lineRule="auto"/>
              <w:rPr>
                <w:rFonts w:eastAsia="Times New Roman"/>
                <w:color w:val="000000"/>
              </w:rPr>
            </w:pPr>
            <w:r w:rsidRPr="00990A09">
              <w:rPr>
                <w:rFonts w:eastAsia="Times New Roman"/>
                <w:color w:val="000000"/>
              </w:rPr>
              <w:t xml:space="preserve">                                125 </w:t>
            </w:r>
          </w:p>
        </w:tc>
        <w:tc>
          <w:tcPr>
            <w:tcW w:w="2325" w:type="dxa"/>
            <w:tcBorders>
              <w:top w:val="nil"/>
              <w:left w:val="nil"/>
              <w:bottom w:val="single" w:sz="8" w:color="auto" w:space="0"/>
              <w:right w:val="nil"/>
            </w:tcBorders>
            <w:shd w:val="clear" w:color="auto" w:fill="auto"/>
            <w:noWrap/>
            <w:vAlign w:val="bottom"/>
            <w:hideMark/>
          </w:tcPr>
          <w:p w:rsidRPr="00990A09" w:rsidRDefault="00990A09" w:rsidR="00990A09" w:rsidP="00990A09" w14:paraId="6D7CDD1F" w14:textId="77777777">
            <w:pPr>
              <w:spacing w:line="240" w:after="0" w:lineRule="auto"/>
              <w:rPr>
                <w:rFonts w:eastAsia="Times New Roman"/>
                <w:color w:val="000000"/>
              </w:rPr>
            </w:pPr>
            <w:r w:rsidRPr="00990A09">
              <w:rPr>
                <w:rFonts w:eastAsia="Times New Roman"/>
                <w:color w:val="000000"/>
              </w:rPr>
              <w:t xml:space="preserve">                                  125 </w:t>
            </w:r>
          </w:p>
        </w:tc>
        <w:tc>
          <w:tcPr>
            <w:tcW w:w="2098" w:type="dxa"/>
            <w:tcBorders>
              <w:top w:val="nil"/>
              <w:left w:val="nil"/>
              <w:bottom w:val="single" w:sz="8" w:color="auto" w:space="0"/>
              <w:right w:val="nil"/>
            </w:tcBorders>
            <w:shd w:val="clear" w:color="auto" w:fill="auto"/>
            <w:noWrap/>
            <w:vAlign w:val="bottom"/>
            <w:hideMark/>
          </w:tcPr>
          <w:p w:rsidRPr="00990A09" w:rsidRDefault="00990A09" w:rsidR="00990A09" w:rsidP="00990A09" w14:paraId="6A3BD237" w14:textId="77777777">
            <w:pPr>
              <w:spacing w:line="240" w:after="0" w:lineRule="auto"/>
              <w:rPr>
                <w:rFonts w:eastAsia="Times New Roman"/>
                <w:color w:val="000000"/>
              </w:rPr>
            </w:pPr>
            <w:r w:rsidRPr="00990A09">
              <w:rPr>
                <w:rFonts w:eastAsia="Times New Roman"/>
                <w:color w:val="000000"/>
              </w:rPr>
              <w:t xml:space="preserve">                            125 </w:t>
            </w:r>
          </w:p>
        </w:tc>
        <w:tc>
          <w:tcPr>
            <w:tcW w:w="1371" w:type="dxa"/>
            <w:tcBorders>
              <w:top w:val="nil"/>
              <w:left w:val="nil"/>
              <w:bottom w:val="single" w:sz="8" w:color="auto" w:space="0"/>
              <w:right w:val="nil"/>
            </w:tcBorders>
            <w:shd w:val="clear" w:color="auto" w:fill="auto"/>
            <w:noWrap/>
            <w:vAlign w:val="bottom"/>
            <w:hideMark/>
          </w:tcPr>
          <w:p w:rsidRPr="00990A09" w:rsidRDefault="00990A09" w:rsidR="00990A09" w:rsidP="00990A09" w14:paraId="13FC6DD0" w14:textId="77777777">
            <w:pPr>
              <w:spacing w:line="240" w:after="0" w:lineRule="auto"/>
              <w:rPr>
                <w:rFonts w:eastAsia="Times New Roman"/>
                <w:color w:val="000000"/>
              </w:rPr>
            </w:pPr>
            <w:r w:rsidRPr="00990A09">
              <w:rPr>
                <w:rFonts w:eastAsia="Times New Roman"/>
                <w:color w:val="000000"/>
              </w:rPr>
              <w:t xml:space="preserve">                 125 </w:t>
            </w:r>
          </w:p>
        </w:tc>
      </w:tr>
    </w:tbl>
    <w:p w:rsidRPr="00594558" w:rsidRDefault="0075787E" w:rsidR="0075787E" w:rsidP="00594558" w14:paraId="45C07C07" w14:textId="57D1B151">
      <w:pPr>
        <w:pStyle w:val="Ttulo2"/>
        <w:rPr>
          <w:color w:val="002060"/>
          <w:sz w:val="32"/>
          <w:szCs w:val="32"/>
        </w:rPr>
      </w:pPr>
      <w:r w:rsidRPr="00594558">
        <w:rPr>
          <w:color w:val="002060"/>
          <w:sz w:val="32"/>
          <w:szCs w:val="32"/>
        </w:rPr>
        <w:t>Descripción de modelo</w:t>
      </w:r>
    </w:p>
    <w:p w:rsidRDefault="00160ADC" w:rsidR="00F20ED5" w:rsidP="00A126F6" w14:paraId="04749361" w14:textId="291F7628">
      <w:pPr>
        <w:jc w:val="both"/>
      </w:pPr>
      <w:r w:rsidRPr="00160ADC">
        <w:t>Se empleará un Análisis Exploratorio de Datos Espaciales (AEDE) que ofrece un conjunto de herramientas estadísticas -y gráficas- que permiten describir y visualizar aquellos espacios geográficos donde se presenten altos grados de autocorrelación espacial, que de paso a la formación de agrupaciones (</w:t>
      </w:r>
      <w:r w:rsidRPr="00160ADC" w:rsidR="00867700">
        <w:t>clúster</w:t>
      </w:r>
      <w:r w:rsidRPr="00160ADC">
        <w:t xml:space="preserve">) así como aquellas regiones atípicas. Dichos análisis pueden ser de manera global, es decir que identifique el grado de autocorrelación espacial derivado de toda la muestra </w:t>
      </w:r>
      <w:r w:rsidR="006238E2">
        <w:t>y</w:t>
      </w:r>
      <w:r w:rsidRPr="00160ADC">
        <w:t xml:space="preserve"> de manera local, que logre identificar la dependencia espacial de cada región de forma individual, esperando que, la suma de todas las correlaciones locales sea iguales a la Global. El AEDE puede ser aplicado desde una perspectiva univariante sobre un indicador geográfico, o bivariante, en donde se identifique el grado de dependencia entre </w:t>
      </w:r>
      <w:r w:rsidR="006238E2">
        <w:t>varias</w:t>
      </w:r>
      <w:r w:rsidRPr="00160ADC">
        <w:t xml:space="preserve"> variables en regiones diferentes.</w:t>
      </w:r>
    </w:p>
    <w:p w:rsidRDefault="00F20ED5" w:rsidR="00F20ED5" w:rsidP="00A126F6" w14:paraId="3B17BFC2" w14:textId="19244787">
      <w:pPr>
        <w:jc w:val="both"/>
      </w:pPr>
    </w:p>
    <w:p w:rsidRDefault="00F20ED5" w:rsidR="00F20ED5" w:rsidP="00A126F6" w14:paraId="1FD8B58D" w14:textId="77777777">
      <w:pPr>
        <w:jc w:val="both"/>
      </w:pPr>
    </w:p>
    <w:p w:rsidRDefault="00D85A0E" w:rsidR="00A126F6" w:rsidP="00A126F6" w14:paraId="408A0A5B" w14:textId="404483BC">
      <w:pPr>
        <w:jc w:val="both"/>
      </w:pPr>
      <w:r>
        <w:t xml:space="preserve">Con el análisis exploratorio de datos espaciales se pretende dar respuesta a la hipótesis, en la cual se busca </w:t>
      </w:r>
      <w:r w:rsidR="00A126F6">
        <w:t xml:space="preserve">comprobar </w:t>
      </w:r>
      <w:r>
        <w:t xml:space="preserve">la dependencia espacial que </w:t>
      </w:r>
      <w:r w:rsidR="00A126F6">
        <w:t>existe entre los municipios de Antioquia para detectar si la pobreza</w:t>
      </w:r>
      <w:r w:rsidR="006238E2">
        <w:t xml:space="preserve"> incide</w:t>
      </w:r>
      <w:r w:rsidR="00A126F6">
        <w:t xml:space="preserve"> en la propensión a comprar chance</w:t>
      </w:r>
      <w:r w:rsidR="00160ADC">
        <w:t>. P</w:t>
      </w:r>
      <w:r w:rsidR="00A126F6">
        <w:t>ara eso, además de detectar la autocorrelación espacial</w:t>
      </w:r>
      <w:r w:rsidR="00160ADC">
        <w:t>,</w:t>
      </w:r>
      <w:r w:rsidR="00A126F6">
        <w:t xml:space="preserve"> se calculará el estadístico</w:t>
      </w:r>
      <w:r w:rsidR="00C71581">
        <w:t xml:space="preserve"> univariado y</w:t>
      </w:r>
      <w:r w:rsidR="00A126F6">
        <w:t xml:space="preserve"> bivariado de Moran</w:t>
      </w:r>
      <w:r w:rsidR="00C71581">
        <w:t xml:space="preserve"> </w:t>
      </w:r>
      <w:r w:rsidR="00160ADC">
        <w:t>en el cual se logran analizar estas dos variables en</w:t>
      </w:r>
      <w:r w:rsidR="006238E2">
        <w:t xml:space="preserve">tre </w:t>
      </w:r>
      <w:r w:rsidR="00160ADC">
        <w:t xml:space="preserve">municipios diferentes </w:t>
      </w:r>
      <w:r w:rsidR="00A126F6">
        <w:t xml:space="preserve">para </w:t>
      </w:r>
      <w:r w:rsidR="00160ADC">
        <w:t>identificar</w:t>
      </w:r>
      <w:r w:rsidR="00A126F6">
        <w:t xml:space="preserve"> esta dependencia</w:t>
      </w:r>
      <w:r w:rsidR="006238E2">
        <w:t xml:space="preserve">, </w:t>
      </w:r>
      <w:r w:rsidR="00C71581">
        <w:t>además de sus respectivos indicadores de autocorrelación</w:t>
      </w:r>
      <w:r w:rsidR="00EF14AC">
        <w:t xml:space="preserve"> espacial</w:t>
      </w:r>
      <w:r w:rsidR="00C71581">
        <w:t xml:space="preserve"> local </w:t>
      </w:r>
      <w:r w:rsidR="00EF14AC">
        <w:t>(LISA).</w:t>
      </w:r>
    </w:p>
    <w:p w:rsidRPr="00C71581" w:rsidRDefault="00C71581" w:rsidR="00C71581" w:rsidP="00EF14AC" w14:paraId="3362F6C7" w14:textId="1BA5B71A">
      <w:pPr>
        <w:pStyle w:val="NormalWeb"/>
        <w:shd w:val="clear" w:color="auto" w:fill="FFFFFF"/>
        <w:spacing w:before="120" w:beforeAutospacing="0" w:after="90" w:afterAutospacing="0"/>
        <w:jc w:val="both"/>
        <w:rPr>
          <w:rFonts w:cstheme="minorHAnsi" w:asciiTheme="minorHAnsi" w:hAnsiTheme="minorHAnsi"/>
          <w:color w:val="212121"/>
          <w:sz w:val="22"/>
          <w:szCs w:val="22"/>
        </w:rPr>
      </w:pPr>
      <w:r w:rsidRPr="0003587A">
        <w:rPr>
          <w:rFonts w:hAnsi="Calibri" w:cs="Calibri" w:eastAsia="Calibri" w:ascii="Calibri"/>
          <w:sz w:val="22"/>
          <w:szCs w:val="22"/>
        </w:rPr>
        <w:t xml:space="preserve">Para calcular el índice global de Moran y los LISA, </w:t>
      </w:r>
      <w:r w:rsidRPr="0003587A" w:rsidR="00EF14AC">
        <w:rPr>
          <w:rFonts w:hAnsi="Calibri" w:cs="Calibri" w:eastAsia="Calibri" w:ascii="Calibri"/>
          <w:sz w:val="22"/>
          <w:szCs w:val="22"/>
        </w:rPr>
        <w:t>se debe calcular</w:t>
      </w:r>
      <w:r w:rsidRPr="0003587A">
        <w:rPr>
          <w:rFonts w:hAnsi="Calibri" w:cs="Calibri" w:eastAsia="Calibri" w:ascii="Calibri"/>
          <w:sz w:val="22"/>
          <w:szCs w:val="22"/>
        </w:rPr>
        <w:t xml:space="preserve"> el rezago espacial de la variable de interés</w:t>
      </w:r>
      <w:r w:rsidRPr="0003587A" w:rsidR="00EF14AC">
        <w:rPr>
          <w:rFonts w:hAnsi="Calibri" w:cs="Calibri" w:eastAsia="Calibri" w:ascii="Calibri"/>
          <w:sz w:val="22"/>
          <w:szCs w:val="22"/>
        </w:rPr>
        <w:t xml:space="preserve"> el cual </w:t>
      </w:r>
      <w:r w:rsidRPr="0003587A">
        <w:rPr>
          <w:rFonts w:hAnsi="Calibri" w:cs="Calibri" w:eastAsia="Calibri" w:ascii="Calibri"/>
          <w:sz w:val="22"/>
          <w:szCs w:val="22"/>
        </w:rPr>
        <w:t>da cuenta del comportamiento de la variable de interés en las unidades vecinas a la unidad espacial de referencia. Para calcular el rezago espacial se hace uso de la llamada matriz de pesos espaciales, denotada comúnmente como la matriz </w:t>
      </w:r>
      <m:oMath>
        <m:r>
          <w:rPr>
            <w:rFonts w:hAnsi="Cambria Math" w:cs="Calibri" w:eastAsia="Calibri" w:ascii="Cambria Math"/>
            <w:sz w:val="22"/>
            <w:szCs w:val="22"/>
          </w:rPr>
          <m:t>W</m:t>
        </m:r>
      </m:oMath>
      <w:r w:rsidRPr="0003587A">
        <w:rPr>
          <w:rFonts w:hAnsi="Calibri" w:cs="Calibri" w:eastAsia="Calibri" w:ascii="Calibri"/>
          <w:sz w:val="22"/>
          <w:szCs w:val="22"/>
        </w:rPr>
        <w:t>.</w:t>
      </w:r>
    </w:p>
    <w:p w:rsidRPr="0003587A" w:rsidRDefault="00C71581" w:rsidR="00C71581" w:rsidP="00EF14AC" w14:paraId="76A1F3E0" w14:textId="0A6C145A">
      <w:pPr>
        <w:pStyle w:val="NormalWeb"/>
        <w:shd w:val="clear" w:color="auto" w:fill="FFFFFF"/>
        <w:spacing w:before="120" w:beforeAutospacing="0" w:after="90" w:afterAutospacing="0"/>
        <w:jc w:val="both"/>
        <w:rPr>
          <w:rFonts w:cstheme="minorHAnsi" w:asciiTheme="minorHAnsi" w:hAnsiTheme="minorHAnsi"/>
          <w:sz w:val="22"/>
          <w:szCs w:val="22"/>
        </w:rPr>
      </w:pPr>
      <w:r w:rsidRPr="0003587A">
        <w:rPr>
          <w:rFonts w:cstheme="minorHAnsi" w:asciiTheme="minorHAnsi" w:hAnsiTheme="minorHAnsi"/>
          <w:sz w:val="22"/>
          <w:szCs w:val="22"/>
        </w:rPr>
        <w:t>Cuando la matriz </w:t>
      </w:r>
      <m:oMath>
        <m:r>
          <w:rPr>
            <w:rFonts w:hAnsi="Cambria Math" w:cstheme="minorHAnsi" w:ascii="Cambria Math"/>
            <w:sz w:val="22"/>
            <w:szCs w:val="22"/>
          </w:rPr>
          <m:t>W</m:t>
        </m:r>
      </m:oMath>
      <w:r w:rsidRPr="0003587A">
        <w:rPr>
          <w:rFonts w:cstheme="minorHAnsi" w:asciiTheme="minorHAnsi" w:hAnsiTheme="minorHAnsi"/>
          <w:sz w:val="22"/>
          <w:szCs w:val="22"/>
        </w:rPr>
        <w:t> es estandarizada por filas (la suma de las filas es igual a 1), el rezago espacial puede interpretarse como el valor promedio que toma una variable en las unidades vecinas de la unidad espacial de referencia.</w:t>
      </w:r>
    </w:p>
    <w:p w:rsidRPr="00C71581" w:rsidRDefault="00C71581" w:rsidR="00C71581" w:rsidP="00EF14AC" w14:paraId="5DC1D1E9" w14:textId="39538B7B">
      <w:pPr>
        <w:pStyle w:val="NormalWeb"/>
        <w:shd w:val="clear" w:color="auto" w:fill="FFFFFF"/>
        <w:spacing w:before="120" w:beforeAutospacing="0" w:after="90" w:afterAutospacing="0"/>
        <w:jc w:val="both"/>
        <w:rPr>
          <w:rFonts w:cstheme="minorHAnsi" w:asciiTheme="minorHAnsi" w:hAnsiTheme="minorHAnsi"/>
          <w:color w:val="212121"/>
          <w:sz w:val="22"/>
          <w:szCs w:val="22"/>
        </w:rPr>
      </w:pPr>
      <w:r w:rsidRPr="00C71581">
        <w:rPr>
          <w:rFonts w:cstheme="minorHAnsi" w:asciiTheme="minorHAnsi" w:hAnsiTheme="minorHAnsi"/>
          <w:color w:val="212121"/>
          <w:sz w:val="22"/>
          <w:szCs w:val="22"/>
        </w:rPr>
        <w:t xml:space="preserve">Con datos de tipo polígono, es práctica común computar la matriz de pesos espaciales según un criterio de vecindad o contigüidad geográfica. En este caso, se consideran como vecinas aquellas unidades espaciales que comparten frontera. Comúnmente se consideran dos tipos de vecindad: </w:t>
      </w:r>
      <w:sdt>
        <w:sdtPr>
          <w:tag w:val="goog_rdk_19"/>
          <w:id w:val="794411870"/>
        </w:sdtPr>
        <w:sdtEndPr/>
        <w:sdtContent/>
      </w:sdt>
      <w:sdt>
        <w:sdtPr>
          <w:tag w:val="goog_rdk_21"/>
          <w:id w:val="1684942420"/>
        </w:sdtPr>
        <w:sdtEndPr/>
        <w:sdtContent/>
      </w:sdt>
      <w:r w:rsidRPr="00C71581">
        <w:rPr>
          <w:rFonts w:cstheme="minorHAnsi" w:asciiTheme="minorHAnsi" w:hAnsiTheme="minorHAnsi"/>
          <w:color w:val="212121"/>
          <w:sz w:val="22"/>
          <w:szCs w:val="22"/>
        </w:rPr>
        <w:t>tipo </w:t>
      </w:r>
      <w:r w:rsidRPr="00C71581">
        <w:rPr>
          <w:rStyle w:val="Textoennegrita"/>
          <w:rFonts w:cstheme="minorHAnsi" w:asciiTheme="minorHAnsi" w:hAnsiTheme="minorHAnsi"/>
          <w:color w:val="212121"/>
          <w:sz w:val="22"/>
          <w:szCs w:val="22"/>
        </w:rPr>
        <w:t>Torre</w:t>
      </w:r>
      <w:r w:rsidRPr="00C71581">
        <w:rPr>
          <w:rFonts w:cstheme="minorHAnsi" w:asciiTheme="minorHAnsi" w:hAnsiTheme="minorHAnsi"/>
          <w:color w:val="212121"/>
          <w:sz w:val="22"/>
          <w:szCs w:val="22"/>
        </w:rPr>
        <w:t> (</w:t>
      </w:r>
      <w:proofErr w:type="spellStart"/>
      <w:r w:rsidRPr="00C71581">
        <w:rPr>
          <w:rStyle w:val="nfasis"/>
          <w:rFonts w:cstheme="minorHAnsi" w:asciiTheme="minorHAnsi" w:hAnsiTheme="minorHAnsi"/>
          <w:color w:val="212121"/>
          <w:sz w:val="22"/>
          <w:szCs w:val="22"/>
        </w:rPr>
        <w:t>Ro</w:t>
      </w:r>
      <w:r w:rsidR="00ED599C">
        <w:rPr>
          <w:rStyle w:val="nfasis"/>
          <w:rFonts w:cstheme="minorHAnsi" w:asciiTheme="minorHAnsi" w:hAnsiTheme="minorHAnsi"/>
          <w:color w:val="212121"/>
          <w:sz w:val="22"/>
          <w:szCs w:val="22"/>
        </w:rPr>
        <w:t>o</w:t>
      </w:r>
      <w:r w:rsidRPr="00C71581">
        <w:rPr>
          <w:rStyle w:val="nfasis"/>
          <w:rFonts w:cstheme="minorHAnsi" w:asciiTheme="minorHAnsi" w:hAnsiTheme="minorHAnsi"/>
          <w:color w:val="212121"/>
          <w:sz w:val="22"/>
          <w:szCs w:val="22"/>
        </w:rPr>
        <w:t>k</w:t>
      </w:r>
      <w:proofErr w:type="spellEnd"/>
      <w:r w:rsidRPr="00C71581">
        <w:rPr>
          <w:rFonts w:cstheme="minorHAnsi" w:asciiTheme="minorHAnsi" w:hAnsiTheme="minorHAnsi"/>
          <w:color w:val="212121"/>
          <w:sz w:val="22"/>
          <w:szCs w:val="22"/>
        </w:rPr>
        <w:t>) y tipo </w:t>
      </w:r>
      <w:r w:rsidRPr="00C71581">
        <w:rPr>
          <w:rStyle w:val="Textoennegrita"/>
          <w:rFonts w:cstheme="minorHAnsi" w:asciiTheme="minorHAnsi" w:hAnsiTheme="minorHAnsi"/>
          <w:color w:val="212121"/>
          <w:sz w:val="22"/>
          <w:szCs w:val="22"/>
        </w:rPr>
        <w:t>Reina</w:t>
      </w:r>
      <w:r w:rsidRPr="00C71581">
        <w:rPr>
          <w:rFonts w:cstheme="minorHAnsi" w:asciiTheme="minorHAnsi" w:hAnsiTheme="minorHAnsi"/>
          <w:color w:val="212121"/>
          <w:sz w:val="22"/>
          <w:szCs w:val="22"/>
        </w:rPr>
        <w:t> (</w:t>
      </w:r>
      <w:r w:rsidRPr="00C71581">
        <w:rPr>
          <w:rStyle w:val="nfasis"/>
          <w:rFonts w:cstheme="minorHAnsi" w:asciiTheme="minorHAnsi" w:hAnsiTheme="minorHAnsi"/>
          <w:color w:val="212121"/>
          <w:sz w:val="22"/>
          <w:szCs w:val="22"/>
        </w:rPr>
        <w:t>Queen</w:t>
      </w:r>
      <w:r w:rsidRPr="00C71581">
        <w:rPr>
          <w:rFonts w:cstheme="minorHAnsi" w:asciiTheme="minorHAnsi" w:hAnsiTheme="minorHAnsi"/>
          <w:color w:val="212121"/>
          <w:sz w:val="22"/>
          <w:szCs w:val="22"/>
        </w:rPr>
        <w:t>). En el criterio tipo </w:t>
      </w:r>
      <w:r w:rsidRPr="00C71581" w:rsidR="00EF14AC">
        <w:rPr>
          <w:rStyle w:val="Textoennegrita"/>
          <w:rFonts w:cstheme="minorHAnsi" w:asciiTheme="minorHAnsi" w:hAnsiTheme="minorHAnsi"/>
          <w:color w:val="212121"/>
          <w:sz w:val="22"/>
          <w:szCs w:val="22"/>
        </w:rPr>
        <w:t>Torre</w:t>
      </w:r>
      <w:r w:rsidRPr="00C71581">
        <w:rPr>
          <w:rFonts w:cstheme="minorHAnsi" w:asciiTheme="minorHAnsi" w:hAnsiTheme="minorHAnsi"/>
          <w:color w:val="212121"/>
          <w:sz w:val="22"/>
          <w:szCs w:val="22"/>
        </w:rPr>
        <w:t> dos</w:t>
      </w:r>
      <w:r w:rsidR="00EF14AC">
        <w:rPr>
          <w:rFonts w:cstheme="minorHAnsi" w:asciiTheme="minorHAnsi" w:hAnsiTheme="minorHAnsi"/>
          <w:color w:val="212121"/>
          <w:sz w:val="22"/>
          <w:szCs w:val="22"/>
        </w:rPr>
        <w:t xml:space="preserve"> </w:t>
      </w:r>
      <w:r w:rsidRPr="00C71581">
        <w:rPr>
          <w:rFonts w:cstheme="minorHAnsi" w:asciiTheme="minorHAnsi" w:hAnsiTheme="minorHAnsi"/>
          <w:color w:val="212121"/>
          <w:sz w:val="22"/>
          <w:szCs w:val="22"/>
        </w:rPr>
        <w:t>unidades espaciales son consideradas como vecinas si comparten al menos un vértice o punto de sus fronteras. En el criterio tipo </w:t>
      </w:r>
      <w:r w:rsidRPr="00C71581">
        <w:rPr>
          <w:rStyle w:val="Textoennegrita"/>
          <w:rFonts w:cstheme="minorHAnsi" w:asciiTheme="minorHAnsi" w:hAnsiTheme="minorHAnsi"/>
          <w:color w:val="212121"/>
          <w:sz w:val="22"/>
          <w:szCs w:val="22"/>
        </w:rPr>
        <w:t>Reina</w:t>
      </w:r>
      <w:r w:rsidRPr="00C71581">
        <w:rPr>
          <w:rFonts w:cstheme="minorHAnsi" w:asciiTheme="minorHAnsi" w:hAnsiTheme="minorHAnsi"/>
          <w:color w:val="212121"/>
          <w:sz w:val="22"/>
          <w:szCs w:val="22"/>
        </w:rPr>
        <w:t> deben compartir al menos dos vértices o puntos.</w:t>
      </w:r>
      <w:r w:rsidR="00EF14AC">
        <w:rPr>
          <w:rFonts w:cstheme="minorHAnsi" w:asciiTheme="minorHAnsi" w:hAnsiTheme="minorHAnsi"/>
          <w:color w:val="212121"/>
          <w:sz w:val="22"/>
          <w:szCs w:val="22"/>
        </w:rPr>
        <w:t xml:space="preserve"> En</w:t>
      </w:r>
      <w:r w:rsidRPr="00C71581">
        <w:rPr>
          <w:rFonts w:cstheme="minorHAnsi" w:asciiTheme="minorHAnsi" w:hAnsiTheme="minorHAnsi"/>
          <w:color w:val="212121"/>
          <w:sz w:val="22"/>
          <w:szCs w:val="22"/>
        </w:rPr>
        <w:t xml:space="preserve"> el </w:t>
      </w:r>
      <w:r w:rsidR="00EF14AC">
        <w:rPr>
          <w:rFonts w:cstheme="minorHAnsi" w:asciiTheme="minorHAnsi" w:hAnsiTheme="minorHAnsi"/>
          <w:color w:val="212121"/>
          <w:sz w:val="22"/>
          <w:szCs w:val="22"/>
        </w:rPr>
        <w:t>presente trabajo</w:t>
      </w:r>
      <w:r w:rsidRPr="00C71581">
        <w:rPr>
          <w:rFonts w:cstheme="minorHAnsi" w:asciiTheme="minorHAnsi" w:hAnsiTheme="minorHAnsi"/>
          <w:color w:val="212121"/>
          <w:sz w:val="22"/>
          <w:szCs w:val="22"/>
        </w:rPr>
        <w:t xml:space="preserve"> se utilizará una matriz de vecindades tipo </w:t>
      </w:r>
      <w:r w:rsidRPr="00C71581">
        <w:rPr>
          <w:rStyle w:val="Textoennegrita"/>
          <w:rFonts w:cstheme="minorHAnsi" w:asciiTheme="minorHAnsi" w:hAnsiTheme="minorHAnsi"/>
          <w:color w:val="212121"/>
          <w:sz w:val="22"/>
          <w:szCs w:val="22"/>
        </w:rPr>
        <w:t>Reina</w:t>
      </w:r>
      <w:r w:rsidRPr="00C71581">
        <w:rPr>
          <w:rFonts w:cstheme="minorHAnsi" w:asciiTheme="minorHAnsi" w:hAnsiTheme="minorHAnsi"/>
          <w:color w:val="212121"/>
          <w:sz w:val="22"/>
          <w:szCs w:val="22"/>
        </w:rPr>
        <w:t>. </w:t>
      </w:r>
    </w:p>
    <w:p w:rsidRPr="00594558" w:rsidRDefault="00956143" w:rsidR="00A126F6" w:rsidP="00594558" w14:paraId="5172EA0E" w14:textId="2E70B0AB">
      <w:pPr>
        <w:pStyle w:val="Ttulo3"/>
        <w:rPr>
          <w:color w:val="002060"/>
        </w:rPr>
      </w:pPr>
      <w:bookmarkStart w:id="2" w:name="_Hlk57507188"/>
      <w:r w:rsidRPr="00594558">
        <w:rPr>
          <w:color w:val="002060"/>
        </w:rPr>
        <w:t>Estadístic</w:t>
      </w:r>
      <w:r w:rsidRPr="00594558" w:rsidR="00630BE7">
        <w:rPr>
          <w:color w:val="002060"/>
        </w:rPr>
        <w:t>o Bivariado de Moran</w:t>
      </w:r>
    </w:p>
    <w:bookmarkEnd w:id="2"/>
    <w:p w:rsidRDefault="008916AB" w:rsidR="00F20ED5" w:rsidP="008916AB" w14:paraId="68B2CA1A" w14:textId="77777777">
      <w:pPr>
        <w:jc w:val="both"/>
      </w:pPr>
      <w:r>
        <w:t>Partiendo del Índice Global de Moran (I de Moran) y el Índice Local de Moran (LISA) los cuales son medidas de autocorrelación espacial que determina el grado en que un evento un área está asociada o se asemeja al mismo en lugares vecinos, se emplea el Índice de Bivariado de Moran a fin de encontrar el grado de correlación espacial entre una variable en cierta localización y otra variable en unidades geográficas vecinas.</w:t>
      </w:r>
    </w:p>
    <w:p w:rsidRDefault="008916AB" w:rsidR="00630BE7" w:rsidP="008916AB" w14:paraId="52D54FD1" w14:textId="2E0030F2">
      <w:pPr>
        <w:jc w:val="both"/>
      </w:pPr>
      <w:r>
        <w:t>La fórmula para calcular dichos coeficientes globales y locales de correlación espacial son represe</w:t>
      </w:r>
      <w:r w:rsidR="003E6AE5">
        <w:t>ntados a continuación:</w:t>
      </w:r>
    </w:p>
    <w:p w:rsidRPr="00594558" w:rsidRDefault="00630BE7" w:rsidR="00630BE7" w:rsidP="00594558" w14:paraId="459ED755" w14:textId="77777777">
      <w:pPr>
        <w:pStyle w:val="Ttulo4"/>
        <w:rPr>
          <w:color w:val="002060"/>
        </w:rPr>
      </w:pPr>
      <w:r w:rsidRPr="00594558">
        <w:rPr>
          <w:color w:val="002060"/>
        </w:rPr>
        <w:t>Global:</w:t>
      </w:r>
    </w:p>
    <w:p w:rsidRDefault="00630BE7" w:rsidR="00630BE7" w:rsidP="003E6AE5" w14:paraId="00EF79A7" w14:textId="64F11ECD">
      <w:pPr>
        <w:jc w:val="center"/>
      </w:pPr>
      <w:r w:rsidRPr="003E6AE5">
        <w:rPr>
          <w:noProof/>
          <w:sz w:val="14"/>
          <w:szCs w:val="14"/>
        </w:rPr>
        <w:drawing>
          <wp:inline distL="0" wp14:anchorId="158D83BF" distT="0" distB="0" distR="0" wp14:editId="7A9AEEB3">
            <wp:extent cx="3277590" cy="917493"/>
            <wp:effectExtent r="0" b="0" t="0" l="0"/>
            <wp:docPr name="Imagen 9" i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1" id="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1583" cy="946604"/>
                    </a:xfrm>
                    <a:prstGeom prst="rect">
                      <a:avLst/>
                    </a:prstGeom>
                    <a:noFill/>
                    <a:ln>
                      <a:noFill/>
                    </a:ln>
                  </pic:spPr>
                </pic:pic>
              </a:graphicData>
            </a:graphic>
          </wp:inline>
        </w:drawing>
      </w:r>
    </w:p>
    <w:p w:rsidRPr="00594558" w:rsidRDefault="00630BE7" w:rsidR="00630BE7" w:rsidP="00594558" w14:paraId="58DAB5C4" w14:textId="77777777">
      <w:pPr>
        <w:pStyle w:val="Ttulo4"/>
        <w:rPr>
          <w:color w:val="002060"/>
        </w:rPr>
      </w:pPr>
      <w:r w:rsidRPr="00594558">
        <w:rPr>
          <w:color w:val="002060"/>
        </w:rPr>
        <w:lastRenderedPageBreak/>
        <w:t>Local:</w:t>
      </w:r>
    </w:p>
    <w:p w:rsidRDefault="00630BE7" w:rsidR="00630BE7" w:rsidP="003E6AE5" w14:paraId="11377CBC" w14:textId="00FFD33E">
      <w:pPr>
        <w:jc w:val="center"/>
      </w:pPr>
      <w:r w:rsidRPr="00630BE7">
        <w:rPr>
          <w:rFonts w:hAnsi="Times New Roman" w:cs="Times New Roman" w:eastAsia="Times New Roman" w:ascii="Times New Roman"/>
          <w:noProof/>
          <w:sz w:val="24"/>
          <w:szCs w:val="24"/>
        </w:rPr>
        <w:drawing>
          <wp:inline distL="0" wp14:anchorId="27F0B84A" distT="0" distB="0" distR="0" wp14:editId="0C1FD5D3">
            <wp:extent cx="3467595" cy="1044075"/>
            <wp:effectExtent r="0" b="3810" t="0" l="0"/>
            <wp:docPr name="Imagen 10" i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3" id="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4679" cy="1070296"/>
                    </a:xfrm>
                    <a:prstGeom prst="rect">
                      <a:avLst/>
                    </a:prstGeom>
                    <a:noFill/>
                    <a:ln>
                      <a:noFill/>
                    </a:ln>
                  </pic:spPr>
                </pic:pic>
              </a:graphicData>
            </a:graphic>
          </wp:inline>
        </w:drawing>
      </w:r>
    </w:p>
    <w:p w:rsidRDefault="003E6AE5" w:rsidR="00630BE7" w:rsidP="00630BE7" w14:paraId="7157A632" w14:textId="62586B07">
      <w:pPr>
        <w:jc w:val="both"/>
      </w:pPr>
      <w:r>
        <w:t xml:space="preserve">Donde </w:t>
      </w:r>
      <m:oMath>
        <m:sSub>
          <m:sSubPr>
            <m:ctrlPr>
              <w:rPr>
                <w:rFonts w:hAnsi="Cambria Math" w:ascii="Cambria Math"/>
                <w:i/>
              </w:rPr>
            </m:ctrlPr>
          </m:sSubPr>
          <m:e>
            <m:r>
              <w:rPr>
                <w:rFonts w:hAnsi="Cambria Math" w:ascii="Cambria Math"/>
              </w:rPr>
              <m:t>X</m:t>
            </m:r>
          </m:e>
          <m:sub>
            <m:r>
              <w:rPr>
                <w:rFonts w:hAnsi="Cambria Math" w:ascii="Cambria Math"/>
              </w:rPr>
              <m:t>i</m:t>
            </m:r>
          </m:sub>
        </m:sSub>
      </m:oMath>
      <w:r>
        <w:t xml:space="preserve"> y </w:t>
      </w:r>
      <m:oMath>
        <m:sSub>
          <m:sSubPr>
            <m:ctrlPr>
              <w:rPr>
                <w:rFonts w:hAnsi="Cambria Math" w:ascii="Cambria Math"/>
                <w:i/>
              </w:rPr>
            </m:ctrlPr>
          </m:sSubPr>
          <m:e>
            <m:r>
              <w:rPr>
                <w:rFonts w:hAnsi="Cambria Math" w:ascii="Cambria Math"/>
              </w:rPr>
              <m:t>X</m:t>
            </m:r>
          </m:e>
          <m:sub>
            <m:r>
              <w:rPr>
                <w:rFonts w:hAnsi="Cambria Math" w:ascii="Cambria Math"/>
              </w:rPr>
              <m:t>j</m:t>
            </m:r>
          </m:sub>
        </m:sSub>
      </m:oMath>
      <w:r>
        <w:t xml:space="preserve"> representan los valores que toman las dos variables analizadas en las regiones i y j respectivamente. </w:t>
      </w:r>
      <m:oMath>
        <m:r>
          <w:rPr>
            <w:rFonts w:hAnsi="Cambria Math" w:ascii="Cambria Math"/>
          </w:rPr>
          <m:t>N</m:t>
        </m:r>
      </m:oMath>
      <w:r w:rsidR="00071303">
        <w:t xml:space="preserve"> </w:t>
      </w:r>
      <w:r>
        <w:t xml:space="preserve">equivale al número de regiones que en este caso son 125 pertenecientes a los municipios de Antioquia, y </w:t>
      </w:r>
      <m:oMath>
        <m:sSub>
          <m:sSubPr>
            <m:ctrlPr>
              <w:rPr>
                <w:rFonts w:hAnsi="Cambria Math" w:ascii="Cambria Math"/>
                <w:i/>
              </w:rPr>
            </m:ctrlPr>
          </m:sSubPr>
          <m:e>
            <m:r>
              <w:rPr>
                <w:rFonts w:hAnsi="Cambria Math" w:ascii="Cambria Math"/>
              </w:rPr>
              <m:t>W</m:t>
            </m:r>
          </m:e>
          <m:sub>
            <m:r>
              <w:rPr>
                <w:rFonts w:hAnsi="Cambria Math" w:ascii="Cambria Math"/>
              </w:rPr>
              <m:t>ij</m:t>
            </m:r>
          </m:sub>
        </m:sSub>
      </m:oMath>
      <w:r w:rsidR="00071303">
        <w:t xml:space="preserve"> </w:t>
      </w:r>
      <w:r>
        <w:t>equivale a la matriz de pesos espaciales tipo reina.</w:t>
      </w:r>
    </w:p>
    <w:p w:rsidRPr="00594558" w:rsidRDefault="00AF6547" w:rsidR="00AF6547" w:rsidP="00AF6547" w14:paraId="56CA36EF" w14:textId="529E8CE2">
      <w:pPr>
        <w:pStyle w:val="Ttulo3"/>
        <w:rPr>
          <w:color w:val="002060"/>
        </w:rPr>
      </w:pPr>
      <w:r>
        <w:rPr>
          <w:color w:val="002060"/>
        </w:rPr>
        <w:t>Otras variables para encontrar la dependencia espacial</w:t>
      </w:r>
    </w:p>
    <w:p w:rsidRDefault="0060241C" w:rsidR="0060241C" w:rsidP="00630BE7" w14:paraId="287B75DB" w14:textId="6FD7101D">
      <w:pPr>
        <w:jc w:val="both"/>
      </w:pPr>
      <w:r>
        <w:t xml:space="preserve">Una vez obtenidos los resultados </w:t>
      </w:r>
      <w:r w:rsidR="00213BFD">
        <w:t xml:space="preserve">se </w:t>
      </w:r>
      <w:sdt>
        <w:sdtPr>
          <w:tag w:val="goog_rdk_24"/>
        </w:sdtPr>
        <w:sdtContent/>
      </w:sdt>
      <w:r w:rsidR="00213BFD"/>
      <w:sdt>
        <w:sdtPr>
          <w:tag w:val="goog_rdk_25"/>
        </w:sdtPr>
        <w:sdtContent>
          <w:commentRangeStart w:id="0"/>
        </w:sdtContent>
      </w:sdt>
      <w:r w:rsidR="00213BFD">
        <w:t>analizará</w:t>
      </w:r>
      <w:r>
        <w:t xml:space="preserve"> su respectivo análisis,</w:t>
      </w:r>
      <w:commentRangeEnd w:id="0"/>
      <w:r>
        <w:rPr>
          <w:rStyle w:val="CommentReference"/>
        </w:rPr>
        <w:commentReference w:id="0"/>
      </w:r>
      <w:r>
        <w:t xml:space="preserve"> y con base en estos se procederá a buscar los motivos de la existencia o no de la dependencia espacial, a través del análisis de otras variables </w:t>
      </w:r>
      <w:r w:rsidR="00213BFD">
        <w:t>específicas</w:t>
      </w:r>
      <w:r>
        <w:t xml:space="preserve"> que hacen que una persona pobre, pese a tener un perfil para querer comprar chance lo haga</w:t>
      </w:r>
      <w:r w:rsidR="00AF6547">
        <w:t xml:space="preserve"> o no, como variables de accesibilidad a la adquisición de productos, o preocupaciones por otros gastos, ingresos, niveles sociales de educación, ingresos, gastos, empleos o transporte que limite su posibilidad de apostar. Esto último se hará con la medición de la correlación, el mapa </w:t>
      </w:r>
      <w:r w:rsidR="00ED6107">
        <w:t>coroplético</w:t>
      </w:r>
      <w:r w:rsidR="00AF6547">
        <w:t xml:space="preserve"> y el índice bivariado de Moran entre las variables de población rural, acceso a servicios públicos, educación, cantidad de empresas en la región (para medir su posibilidad de trabajo), el acceso (aéreo, terrestre, marítimo) y el PIB per cápita y las ventas de chance per cápita.</w:t>
      </w:r>
    </w:p>
    <w:p w:rsidRPr="00ED6107" w:rsidRDefault="00AF6547" w:rsidR="0060241C" w:rsidP="00ED6107" w14:paraId="1198DCBB" w14:textId="7A14D14E">
      <w:pPr>
        <w:jc w:val="both"/>
      </w:pPr>
      <w:r>
        <w:t>Por último, buscaremos encontrar la existencia o no de un patrón especifico de compra con respecto a las anteriores variables en los municipios, es decir, se harán agrupamientos de tipo clúster (k</w:t>
      </w:r>
      <w:r w:rsidR="00ED6107">
        <w:t>-</w:t>
      </w:r>
      <w:proofErr w:type="spellStart"/>
      <w:r>
        <w:t>means</w:t>
      </w:r>
      <w:proofErr w:type="spellEnd"/>
      <w:r>
        <w:t>) para agrupar los municipios según sus variables socioeconómicas anteriormente mencionadas y se comparará con la venta de chance per cápita en Antioquia a través de</w:t>
      </w:r>
      <w:r w:rsidR="00C9103D">
        <w:t xml:space="preserve">l análisis de sus respectivos mapas </w:t>
      </w:r>
      <w:r w:rsidR="00ED6107">
        <w:t>coropléticos</w:t>
      </w:r>
      <w:r w:rsidR="00C9103D">
        <w:t>.</w:t>
      </w:r>
    </w:p>
    <w:bookmarkEnd w:id="1"/>
    <w:p w:rsidRDefault="00F20ED5" w:rsidR="00071303" w:rsidP="00F20ED5" w14:paraId="76219035" w14:textId="7981BC4A">
      <w:pPr>
        <w:pStyle w:val="Ttulo1"/>
        <w:rPr>
          <w:b/>
          <w:bCs/>
        </w:rPr>
      </w:pPr>
      <w:r>
        <w:rPr>
          <w:b/>
          <w:bCs/>
        </w:rPr>
        <w:t xml:space="preserve">Resultados: </w:t>
      </w:r>
      <w:r w:rsidRPr="00F20ED5">
        <w:rPr>
          <w:b/>
          <w:bCs/>
        </w:rPr>
        <w:t>Análisis exploratorio de datos espaciales</w:t>
      </w:r>
    </w:p>
    <w:p w:rsidRDefault="00594558" w:rsidR="00594558" w:rsidP="00594558" w14:paraId="11D9DD6F" w14:textId="379F56E0">
      <w:pPr>
        <w:pStyle w:val="Ttulo2"/>
        <w:rPr>
          <w:color w:val="002060"/>
          <w:sz w:val="32"/>
          <w:szCs w:val="32"/>
        </w:rPr>
      </w:pPr>
      <w:r>
        <w:rPr>
          <w:color w:val="002060"/>
          <w:sz w:val="32"/>
          <w:szCs w:val="32"/>
        </w:rPr>
        <w:t>Análisis univariado</w:t>
      </w:r>
    </w:p>
    <w:p w:rsidRDefault="00E4359D" w:rsidR="00594558" w:rsidP="00B2788C" w14:paraId="7CBF6119" w14:textId="0FE2979A">
      <w:pPr>
        <w:jc w:val="both"/>
      </w:pPr>
      <w:r>
        <w:t>En la figura 1 se ilustran los mapas coropléticos de cada variable indicando los municipios de mayor venta de chance per cápita y las regiones de mayor tasa de necesidades básicas insatisfechas (NBI) en 2018 en Antioquia.</w:t>
      </w:r>
      <w:r w:rsidR="00B2788C">
        <w:t xml:space="preserve"> </w:t>
      </w:r>
      <w:r>
        <w:t>Cada una de las variables está clasificada en seis cuantiles, en donde a mayor venta per cápita y mayor NBI se representa en un tono color rojo y entre menor valor de estas se representa en color azul.</w:t>
      </w:r>
    </w:p>
    <w:p w:rsidRDefault="00E4359D" w:rsidR="00E4359D" w:rsidP="00B2788C" w14:paraId="385388D9" w14:textId="1A20D3F0">
      <w:pPr>
        <w:jc w:val="both"/>
      </w:pPr>
      <w:r>
        <w:t xml:space="preserve">Se logra identificar una alta concentración tanto de las ventas per </w:t>
      </w:r>
      <w:r w:rsidR="00B2788C">
        <w:t>cápita</w:t>
      </w:r>
      <w:r>
        <w:t xml:space="preserve"> </w:t>
      </w:r>
      <w:r w:rsidR="006238E2">
        <w:t xml:space="preserve">como de </w:t>
      </w:r>
      <w:r w:rsidR="00B2788C">
        <w:t>un menor nivel de NBI en la zona central del departamento correspondiente a los municipios aledaños a la capital Medellín, mientras que en el resto de la región se comporta en sentido inverso con menor venta y NBI. La única excepción evidente es la zona noroeste correspondiente a la región del Urabá la cual posee altas ventas y también tiene altos niveles de pobreza (NBI).</w:t>
      </w:r>
    </w:p>
    <w:p w:rsidRPr="008D22B8" w:rsidRDefault="001C2E0C" w:rsidR="001C2E0C" w:rsidP="008D22B8" w14:paraId="65ADE253" w14:textId="03AD2A93">
      <w:pPr>
        <w:spacing w:after="0"/>
        <w:jc w:val="center"/>
        <w:rPr>
          <w:b/>
          <w:bCs/>
          <w:sz w:val="16"/>
          <w:szCs w:val="16"/>
        </w:rPr>
      </w:pPr>
      <w:r w:rsidRPr="008D22B8">
        <w:rPr>
          <w:b/>
          <w:bCs/>
          <w:sz w:val="16"/>
          <w:szCs w:val="16"/>
        </w:rPr>
        <w:lastRenderedPageBreak/>
        <w:t>Figura 1: Mapa coroplético de ventas por chance per cápita y el NBI en Antioquia en 2018</w:t>
      </w:r>
    </w:p>
    <w:tbl>
      <w:tblPr>
        <w:tblStyle w:val="Tablaconcuadrcula"/>
        <w:tblW w:w="0" w:type="auto"/>
        <w:jc w:val="center"/>
        <w:tblLayout w:type="fixed"/>
        <w:tblLook w:firstRow="1" w:firstColumn="1" w:noHBand="0" w:val="04A0" w:lastRow="0" w:lastColumn="0" w:noVBand="1"/>
      </w:tblPr>
      <w:tblGrid>
        <w:gridCol w:w="4531"/>
        <w:gridCol w:w="4297"/>
      </w:tblGrid>
      <w:tr w:rsidTr="008D22B8" w:rsidR="008D22B8" w14:paraId="7B33A131" w14:textId="77777777">
        <w:trPr>
          <w:jc w:val="center"/>
        </w:trPr>
        <w:tc>
          <w:tcPr>
            <w:tcW w:w="4531" w:type="dxa"/>
            <w:vAlign w:val="center"/>
          </w:tcPr>
          <w:p w:rsidRDefault="008D22B8" w:rsidR="001C2E0C" w:rsidP="008D22B8" w14:paraId="370E8AD2" w14:textId="516D7E55">
            <w:pPr>
              <w:jc w:val="center"/>
            </w:pPr>
            <w:r>
              <w:rPr>
                <w:noProof/>
              </w:rPr>
              <w:drawing>
                <wp:inline distL="0" wp14:anchorId="5A8A1634" distT="0" distB="0" distR="0" wp14:editId="646A2ABC">
                  <wp:extent cx="2802577" cy="2134941"/>
                  <wp:effectExtent r="0" b="0" t="0" l="0"/>
                  <wp:docPr name="Imagen 1"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1" id="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190" cy="2147596"/>
                          </a:xfrm>
                          <a:prstGeom prst="rect">
                            <a:avLst/>
                          </a:prstGeom>
                          <a:noFill/>
                          <a:ln>
                            <a:noFill/>
                          </a:ln>
                        </pic:spPr>
                      </pic:pic>
                    </a:graphicData>
                  </a:graphic>
                </wp:inline>
              </w:drawing>
            </w:r>
          </w:p>
        </w:tc>
        <w:tc>
          <w:tcPr>
            <w:tcW w:w="4297" w:type="dxa"/>
            <w:vAlign w:val="center"/>
          </w:tcPr>
          <w:p w:rsidRDefault="001C2E0C" w:rsidR="001C2E0C" w:rsidP="008D22B8" w14:paraId="43F077E0" w14:textId="4430C3A9">
            <w:pPr>
              <w:jc w:val="center"/>
            </w:pPr>
            <w:r>
              <w:rPr>
                <w:noProof/>
              </w:rPr>
              <w:drawing>
                <wp:inline distL="0" wp14:anchorId="08210FD4" distT="0" distB="0" distR="0" wp14:editId="3F606B19">
                  <wp:extent cx="2667926" cy="2030680"/>
                  <wp:effectExtent r="0" b="8255" t="0" l="0"/>
                  <wp:docPr name="Imagen 12" i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7" id="0"/>
                          <pic:cNvPicPr>
                            <a:picLocks noChangeAspect="1" noChangeArrowheads="1"/>
                          </pic:cNvPicPr>
                        </pic:nvPicPr>
                        <pic:blipFill>
                          <a:blip cstate="print" r:embed="rId12">
                            <a:extLst>
                              <a:ext uri="{28A0092B-C50C-407E-A947-70E740481C1C}">
                                <a14:useLocalDpi xmlns:a14="http://schemas.microsoft.com/office/drawing/2010/main" val="0"/>
                              </a:ext>
                            </a:extLst>
                          </a:blip>
                          <a:srcRect/>
                          <a:stretch>
                            <a:fillRect/>
                          </a:stretch>
                        </pic:blipFill>
                        <pic:spPr bwMode="auto">
                          <a:xfrm>
                            <a:off x="0" y="0"/>
                            <a:ext cx="2736680" cy="2083012"/>
                          </a:xfrm>
                          <a:prstGeom prst="rect">
                            <a:avLst/>
                          </a:prstGeom>
                          <a:noFill/>
                          <a:ln>
                            <a:noFill/>
                          </a:ln>
                        </pic:spPr>
                      </pic:pic>
                    </a:graphicData>
                  </a:graphic>
                </wp:inline>
              </w:drawing>
            </w:r>
          </w:p>
        </w:tc>
      </w:tr>
      <w:tr w:rsidTr="00164648" w:rsidR="008D22B8" w14:paraId="6FBB1352" w14:textId="77777777">
        <w:trPr>
          <w:jc w:val="center"/>
        </w:trPr>
        <w:tc>
          <w:tcPr>
            <w:tcW w:w="8828" w:type="dxa"/>
            <w:gridSpan w:val="2"/>
            <w:vAlign w:val="center"/>
          </w:tcPr>
          <w:p w:rsidRPr="008D22B8" w:rsidRDefault="008D22B8" w:rsidR="008D22B8" w:rsidP="008D22B8" w14:paraId="68B0C1E5" w14:textId="77777777">
            <w:pPr>
              <w:jc w:val="center"/>
              <w:rPr>
                <w:i/>
                <w:iCs/>
                <w:noProof/>
                <w:sz w:val="16"/>
                <w:szCs w:val="16"/>
              </w:rPr>
            </w:pPr>
            <w:r w:rsidRPr="008D22B8">
              <w:rPr>
                <w:i/>
                <w:iCs/>
                <w:noProof/>
                <w:sz w:val="16"/>
                <w:szCs w:val="16"/>
              </w:rPr>
              <w:t>Fuente: Elaboración propia.</w:t>
            </w:r>
          </w:p>
          <w:p w:rsidRDefault="008D22B8" w:rsidR="008D22B8" w:rsidP="008D22B8" w14:paraId="24085BEB" w14:textId="6B313A97">
            <w:pPr>
              <w:jc w:val="center"/>
              <w:rPr>
                <w:noProof/>
              </w:rPr>
            </w:pPr>
            <w:r w:rsidRPr="008D22B8">
              <w:rPr>
                <w:i/>
                <w:iCs/>
                <w:noProof/>
                <w:sz w:val="16"/>
                <w:szCs w:val="16"/>
              </w:rPr>
              <w:t>Datos: Ventas chance Grupo Réditos 2018 &amp; NBI 2018 DANE</w:t>
            </w:r>
          </w:p>
        </w:tc>
      </w:tr>
    </w:tbl>
    <w:p w:rsidRDefault="008D22B8" w:rsidR="008D22B8" w:rsidP="008D22B8" w14:paraId="186DE22B" w14:textId="54C64B04">
      <w:pPr>
        <w:spacing w:after="0"/>
        <w:jc w:val="center"/>
        <w:rPr>
          <w:sz w:val="16"/>
          <w:szCs w:val="16"/>
        </w:rPr>
      </w:pPr>
    </w:p>
    <w:p w:rsidRDefault="00B2788C" w:rsidR="00B2788C" w:rsidP="00B2788C" w14:paraId="5638BFEE" w14:textId="2F901E9B">
      <w:pPr>
        <w:spacing w:after="0"/>
        <w:jc w:val="both"/>
        <w:rPr>
          <w:sz w:val="16"/>
          <w:szCs w:val="16"/>
        </w:rPr>
      </w:pPr>
      <w:r>
        <w:t xml:space="preserve">A continuación, y como parte de los análisis necesarios para </w:t>
      </w:r>
      <w:r w:rsidR="00B437D3">
        <w:t xml:space="preserve">el hallazgo </w:t>
      </w:r>
      <w:r>
        <w:t xml:space="preserve">de dependencia espacial, se </w:t>
      </w:r>
      <w:r w:rsidR="00B437D3">
        <w:t xml:space="preserve">identifican la matriz de vecindades. En la figura 2, se demuestra el histograma de vecindades en el cual se revela que, en mayor frecuencia, los municipios tienen entre 4 y 8 vecinos. La forma de identificar los municipios vecinos, es decir, el tipo de </w:t>
      </w:r>
      <w:r w:rsidR="008E6EFE">
        <w:t>contigüidad</w:t>
      </w:r>
      <w:r w:rsidR="00B437D3">
        <w:t xml:space="preserve"> se emplea a través del tipo reina de primer orden, la cual considera sus vecinos a aquellos con quienes comparte todos los tipos de frontera inmediata.</w:t>
      </w:r>
    </w:p>
    <w:p w:rsidRDefault="00B2788C" w:rsidR="00B2788C" w:rsidP="008D22B8" w14:paraId="0E8A1534" w14:textId="77777777">
      <w:pPr>
        <w:spacing w:after="0"/>
        <w:jc w:val="center"/>
        <w:rPr>
          <w:b/>
          <w:bCs/>
          <w:sz w:val="16"/>
          <w:szCs w:val="16"/>
        </w:rPr>
      </w:pPr>
    </w:p>
    <w:p w:rsidRPr="008D22B8" w:rsidRDefault="008D22B8" w:rsidR="008D22B8" w:rsidP="008D22B8" w14:paraId="771CFDCB" w14:textId="5AFF486B">
      <w:pPr>
        <w:spacing w:after="0"/>
        <w:jc w:val="center"/>
        <w:rPr>
          <w:b/>
          <w:bCs/>
          <w:sz w:val="16"/>
          <w:szCs w:val="16"/>
        </w:rPr>
      </w:pPr>
      <w:r w:rsidRPr="008D22B8">
        <w:rPr>
          <w:b/>
          <w:bCs/>
          <w:sz w:val="16"/>
          <w:szCs w:val="16"/>
        </w:rPr>
        <w:t>Figura 2: Histograma de vecindades</w:t>
      </w:r>
    </w:p>
    <w:tbl>
      <w:tblPr>
        <w:tblStyle w:val="Tablaconcuadrcula"/>
        <w:tblW w:w="0" w:type="auto"/>
        <w:tblLook w:firstRow="1" w:firstColumn="1" w:noHBand="0" w:val="04A0" w:lastRow="0" w:lastColumn="0" w:noVBand="1"/>
      </w:tblPr>
      <w:tblGrid>
        <w:gridCol w:w="8828"/>
      </w:tblGrid>
      <w:tr w:rsidTr="008D22B8" w:rsidR="008D22B8" w14:paraId="5E56E2C7" w14:textId="77777777">
        <w:tc>
          <w:tcPr>
            <w:tcW w:w="8828" w:type="dxa"/>
            <w:vAlign w:val="center"/>
          </w:tcPr>
          <w:p w:rsidRDefault="008D22B8" w:rsidR="008D22B8" w:rsidP="008D22B8" w14:paraId="48E04228" w14:textId="3756255A">
            <w:pPr>
              <w:jc w:val="center"/>
            </w:pPr>
            <w:r>
              <w:rPr>
                <w:noProof/>
              </w:rPr>
              <w:drawing>
                <wp:inline distL="0" wp14:anchorId="7EE3AE5B" distT="0" distB="0" distR="0" wp14:editId="4CF166E1">
                  <wp:extent cx="2973371" cy="2131621"/>
                  <wp:effectExtent r="0" b="2540" t="0" l="0"/>
                  <wp:docPr name="Imagen 15" i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13" id="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3385" cy="2181814"/>
                          </a:xfrm>
                          <a:prstGeom prst="rect">
                            <a:avLst/>
                          </a:prstGeom>
                          <a:noFill/>
                          <a:ln>
                            <a:noFill/>
                          </a:ln>
                        </pic:spPr>
                      </pic:pic>
                    </a:graphicData>
                  </a:graphic>
                </wp:inline>
              </w:drawing>
            </w:r>
          </w:p>
        </w:tc>
      </w:tr>
      <w:tr w:rsidTr="008D22B8" w:rsidR="008D22B8" w14:paraId="728ABB58" w14:textId="77777777">
        <w:tc>
          <w:tcPr>
            <w:tcW w:w="8828" w:type="dxa"/>
            <w:vAlign w:val="center"/>
          </w:tcPr>
          <w:p w:rsidRPr="008D22B8" w:rsidRDefault="008D22B8" w:rsidR="008D22B8" w:rsidP="008D22B8" w14:paraId="4F420DF0" w14:textId="77777777">
            <w:pPr>
              <w:jc w:val="center"/>
              <w:rPr>
                <w:i/>
                <w:iCs/>
                <w:noProof/>
                <w:sz w:val="16"/>
                <w:szCs w:val="16"/>
              </w:rPr>
            </w:pPr>
            <w:r w:rsidRPr="008D22B8">
              <w:rPr>
                <w:i/>
                <w:iCs/>
                <w:noProof/>
                <w:sz w:val="16"/>
                <w:szCs w:val="16"/>
              </w:rPr>
              <w:t>Fuente: Elaboración propia.</w:t>
            </w:r>
          </w:p>
          <w:p w:rsidRDefault="008D22B8" w:rsidR="008D22B8" w:rsidP="008D22B8" w14:paraId="21952A76" w14:textId="341D8A7A">
            <w:pPr>
              <w:jc w:val="center"/>
              <w:rPr>
                <w:noProof/>
              </w:rPr>
            </w:pPr>
            <w:r w:rsidRPr="008D22B8">
              <w:rPr>
                <w:i/>
                <w:iCs/>
                <w:noProof/>
                <w:sz w:val="16"/>
                <w:szCs w:val="16"/>
              </w:rPr>
              <w:t>Datos: Ventas chance Grupo Réditos 2018 &amp; NBI 2018 DANE</w:t>
            </w:r>
          </w:p>
        </w:tc>
      </w:tr>
    </w:tbl>
    <w:p w:rsidRDefault="00E4359D" w:rsidR="00E4359D" w:rsidP="00511823" w14:paraId="7100ECB4" w14:textId="50F200D1">
      <w:pPr>
        <w:spacing w:after="0"/>
        <w:jc w:val="center"/>
        <w:rPr>
          <w:b/>
          <w:bCs/>
          <w:sz w:val="16"/>
          <w:szCs w:val="16"/>
        </w:rPr>
      </w:pPr>
    </w:p>
    <w:p w:rsidRDefault="008E6EFE" w:rsidR="008E6EFE" w:rsidP="008E6EFE" w14:paraId="7641246C" w14:textId="01098B53">
      <w:pPr>
        <w:spacing w:after="0"/>
        <w:jc w:val="both"/>
      </w:pPr>
      <w:r>
        <w:t xml:space="preserve">Para establecer si la concentración de la distribución de las anteriores variables es significativa, se medirá el grado de autocorrelación de cada una de ellas en cada municipio, con los valores de estas en los municipios vecinos. Este análisis permitirá determinar la existencia o no de </w:t>
      </w:r>
      <w:proofErr w:type="spellStart"/>
      <w:r>
        <w:t>clúster</w:t>
      </w:r>
      <w:r w:rsidR="00177BAC">
        <w:t>s</w:t>
      </w:r>
      <w:proofErr w:type="spellEnd"/>
      <w:r>
        <w:t xml:space="preserve"> espaciales en el departamento.</w:t>
      </w:r>
    </w:p>
    <w:p w:rsidRDefault="008E6EFE" w:rsidR="008E6EFE" w:rsidP="008E6EFE" w14:paraId="1488B281" w14:textId="5B34B915">
      <w:pPr>
        <w:spacing w:after="0"/>
        <w:jc w:val="both"/>
      </w:pPr>
    </w:p>
    <w:p w:rsidRDefault="008E6EFE" w:rsidR="008E6EFE" w:rsidP="008E6EFE" w14:paraId="10AD39A4" w14:textId="12BAD106">
      <w:pPr>
        <w:spacing w:after="0"/>
        <w:jc w:val="both"/>
      </w:pPr>
      <w:r>
        <w:t xml:space="preserve">El índice global de Moran para la venta per </w:t>
      </w:r>
      <w:r w:rsidR="00F63FB9">
        <w:t>cápita</w:t>
      </w:r>
      <w:r>
        <w:t xml:space="preserve"> es 0.358</w:t>
      </w:r>
      <w:r w:rsidR="00F63FB9">
        <w:t xml:space="preserve"> observado e</w:t>
      </w:r>
      <w:r>
        <w:t xml:space="preserve">n la figura </w:t>
      </w:r>
      <w:r w:rsidR="00F63FB9">
        <w:t xml:space="preserve">3, refleja la existencia de una autocorrelación positiva de la distribución de esta variable en los municipios. No obstante, pese a ser positiva, no es muy alta, esto se revela en el diagrama de dispersión, en el cual no hay una concentración muy evidente en los cuadrantes, aunque si se puede comprobar un </w:t>
      </w:r>
      <w:r w:rsidR="00F63FB9">
        <w:lastRenderedPageBreak/>
        <w:t>cumulo en el cuadrante 1 que corresponden a aquellos municipios con alta venta per cápita de chance y que poseen vecinos también con alta venta, y en el cuadrante 3 que corresponde a municipios con bajas ventas y con vecinos también con baja venta. Lo anterior refleja -aunque en poco grado- clúster de municipios compradores de chances.</w:t>
      </w:r>
    </w:p>
    <w:p w:rsidRDefault="00F63FB9" w:rsidR="00F63FB9" w:rsidP="008E6EFE" w14:paraId="23F1860F" w14:textId="03B0ADBE">
      <w:pPr>
        <w:spacing w:after="0"/>
        <w:jc w:val="both"/>
      </w:pPr>
    </w:p>
    <w:p w:rsidRDefault="00F63FB9" w:rsidR="00F63FB9" w:rsidP="008E6EFE" w14:paraId="2C05FFA8" w14:textId="7B145229">
      <w:pPr>
        <w:spacing w:after="0"/>
        <w:jc w:val="both"/>
      </w:pPr>
      <w:r>
        <w:t xml:space="preserve">Por su parte, el índice global de Moran para el NBI es de 0.716 también observado en la figura 3 y refleja una alta autocorrelación positiva de la pobreza medida a través de este indicador en los municipios. En este caso, esta variable si es considerablemente alta con una muy alta concentración </w:t>
      </w:r>
      <w:r w:rsidR="00C71581">
        <w:t xml:space="preserve">y se identifica un clúster </w:t>
      </w:r>
      <w:r>
        <w:t>en el cuadrante 3 de municipios de baja pobreza con vecinos también con baja pobreza.</w:t>
      </w:r>
    </w:p>
    <w:p w:rsidRDefault="00F63FB9" w:rsidR="00F63FB9" w:rsidP="008E6EFE" w14:paraId="6B2BAD20" w14:textId="059D9E76">
      <w:pPr>
        <w:spacing w:after="0"/>
        <w:jc w:val="both"/>
      </w:pPr>
    </w:p>
    <w:p w:rsidRPr="00511823" w:rsidRDefault="00511823" w:rsidR="00594558" w:rsidP="00511823" w14:paraId="4033BDAD" w14:textId="68B48937">
      <w:pPr>
        <w:spacing w:after="0"/>
        <w:jc w:val="center"/>
        <w:rPr>
          <w:b/>
          <w:bCs/>
          <w:sz w:val="16"/>
          <w:szCs w:val="16"/>
        </w:rPr>
      </w:pPr>
      <w:r w:rsidRPr="008D22B8">
        <w:rPr>
          <w:b/>
          <w:bCs/>
          <w:sz w:val="16"/>
          <w:szCs w:val="16"/>
        </w:rPr>
      </w:r>
      <w:sdt>
        <w:sdtPr>
          <w:tag w:val="goog_rdk_26"/>
        </w:sdtPr>
        <w:sdtContent>
          <w:commentRangeStart w:id="1"/>
        </w:sdtContent>
      </w:sdt>
      <w:r w:rsidRPr="008D22B8">
        <w:rPr>
          <w:b/>
          <w:bCs/>
          <w:sz w:val="16"/>
          <w:szCs w:val="16"/>
        </w:rPr>
        <w:t xml:space="preserve">Figura</w:t>
      </w:r>
      <w:commentRangeEnd w:id="1"/>
      <w:r>
        <w:rPr>
          <w:rStyle w:val="CommentReference"/>
        </w:rPr>
        <w:commentReference w:id="1"/>
      </w:r>
      <w:r w:rsidRPr="008D22B8">
        <w:rPr>
          <w:b/>
          <w:bCs/>
          <w:sz w:val="16"/>
          <w:szCs w:val="16"/>
        </w:rPr>
        <w:t xml:space="preserve"> </w:t>
      </w:r>
      <w:r>
        <w:rPr>
          <w:b/>
          <w:bCs/>
          <w:sz w:val="16"/>
          <w:szCs w:val="16"/>
        </w:rPr>
        <w:t>3</w:t>
      </w:r>
      <w:r w:rsidRPr="008D22B8">
        <w:rPr>
          <w:b/>
          <w:bCs/>
          <w:sz w:val="16"/>
          <w:szCs w:val="16"/>
        </w:rPr>
        <w:t xml:space="preserve">: </w:t>
      </w:r>
      <w:r>
        <w:rPr>
          <w:b/>
          <w:bCs/>
          <w:sz w:val="16"/>
          <w:szCs w:val="16"/>
        </w:rPr>
        <w:t>Diagramas de dispersión de Moran</w:t>
      </w:r>
    </w:p>
    <w:tbl>
      <w:tblPr>
        <w:tblStyle w:val="Tablaconcuadrcula"/>
        <w:tblW w:w="0" w:type="auto"/>
        <w:tblLook w:firstRow="1" w:firstColumn="1" w:noHBand="0" w:val="04A0" w:lastRow="0" w:lastColumn="0" w:noVBand="1"/>
      </w:tblPr>
      <w:tblGrid>
        <w:gridCol w:w="4414"/>
        <w:gridCol w:w="4414"/>
      </w:tblGrid>
      <w:tr w:rsidTr="001C2E0C" w:rsidR="001C2E0C" w14:paraId="07241ABC" w14:textId="77777777">
        <w:tc>
          <w:tcPr>
            <w:tcW w:w="4414" w:type="dxa"/>
          </w:tcPr>
          <w:p w:rsidRDefault="001C2E0C" w:rsidR="001C2E0C" w:rsidP="00594558" w14:paraId="3FABB206" w14:textId="7F8F971E">
            <w:r>
              <w:rPr>
                <w:noProof/>
              </w:rPr>
              <w:drawing>
                <wp:inline distL="0" wp14:anchorId="42A564E5" distT="0" distB="0" distR="0" wp14:editId="42D32076">
                  <wp:extent cx="2636323" cy="2411409"/>
                  <wp:effectExtent r="0" b="8255" t="0" l="0"/>
                  <wp:docPr name="Imagen 16" i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15" id="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7005" cy="2457768"/>
                          </a:xfrm>
                          <a:prstGeom prst="rect">
                            <a:avLst/>
                          </a:prstGeom>
                          <a:noFill/>
                          <a:ln>
                            <a:noFill/>
                          </a:ln>
                        </pic:spPr>
                      </pic:pic>
                    </a:graphicData>
                  </a:graphic>
                </wp:inline>
              </w:drawing>
            </w:r>
          </w:p>
        </w:tc>
        <w:tc>
          <w:tcPr>
            <w:tcW w:w="4414" w:type="dxa"/>
          </w:tcPr>
          <w:p w:rsidRDefault="001C2E0C" w:rsidR="001C2E0C" w:rsidP="00594558" w14:paraId="38D965D3" w14:textId="6EBE3DA1">
            <w:r>
              <w:rPr>
                <w:noProof/>
              </w:rPr>
              <w:drawing>
                <wp:inline distL="0" wp14:anchorId="36A68199" distT="0" distB="0" distR="0" wp14:editId="2CC6924A">
                  <wp:extent cx="2576946" cy="2598522"/>
                  <wp:effectExtent r="0" b="0" t="0" l="0"/>
                  <wp:docPr name="Imagen 17" id="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17" id="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8053" cy="2629890"/>
                          </a:xfrm>
                          <a:prstGeom prst="rect">
                            <a:avLst/>
                          </a:prstGeom>
                          <a:noFill/>
                          <a:ln>
                            <a:noFill/>
                          </a:ln>
                        </pic:spPr>
                      </pic:pic>
                    </a:graphicData>
                  </a:graphic>
                </wp:inline>
              </w:drawing>
            </w:r>
          </w:p>
        </w:tc>
      </w:tr>
      <w:tr w:rsidTr="00164648" w:rsidR="008D22B8" w14:paraId="067FDCD1" w14:textId="77777777">
        <w:tc>
          <w:tcPr>
            <w:tcW w:w="8828" w:type="dxa"/>
            <w:gridSpan w:val="2"/>
          </w:tcPr>
          <w:p w:rsidRPr="008D22B8" w:rsidRDefault="008D22B8" w:rsidR="008D22B8" w:rsidP="008D22B8" w14:paraId="3EE31238" w14:textId="77777777">
            <w:pPr>
              <w:jc w:val="center"/>
              <w:rPr>
                <w:i/>
                <w:iCs/>
                <w:noProof/>
                <w:sz w:val="16"/>
                <w:szCs w:val="16"/>
              </w:rPr>
            </w:pPr>
            <w:r w:rsidRPr="008D22B8">
              <w:rPr>
                <w:i/>
                <w:iCs/>
                <w:noProof/>
                <w:sz w:val="16"/>
                <w:szCs w:val="16"/>
              </w:rPr>
              <w:t>Fuente: Elaboración propia.</w:t>
            </w:r>
          </w:p>
          <w:p w:rsidRDefault="008D22B8" w:rsidR="008D22B8" w:rsidP="008D22B8" w14:paraId="2322BB80" w14:textId="36842E84">
            <w:pPr>
              <w:jc w:val="center"/>
              <w:rPr>
                <w:noProof/>
              </w:rPr>
            </w:pPr>
            <w:r w:rsidRPr="008D22B8">
              <w:rPr>
                <w:i/>
                <w:iCs/>
                <w:noProof/>
                <w:sz w:val="16"/>
                <w:szCs w:val="16"/>
              </w:rPr>
              <w:t>Datos: Ventas chance</w:t>
            </w:r>
            <w:r w:rsidR="00511823">
              <w:rPr>
                <w:i/>
                <w:iCs/>
                <w:noProof/>
                <w:sz w:val="16"/>
                <w:szCs w:val="16"/>
              </w:rPr>
              <w:t>,</w:t>
            </w:r>
            <w:r w:rsidRPr="008D22B8">
              <w:rPr>
                <w:i/>
                <w:iCs/>
                <w:noProof/>
                <w:sz w:val="16"/>
                <w:szCs w:val="16"/>
              </w:rPr>
              <w:t xml:space="preserve"> Grupo Réditos 2018 &amp; NBI 2018 DANE</w:t>
            </w:r>
            <w:r w:rsidR="00511823">
              <w:rPr>
                <w:i/>
                <w:iCs/>
                <w:noProof/>
                <w:sz w:val="16"/>
                <w:szCs w:val="16"/>
              </w:rPr>
              <w:t>.</w:t>
            </w:r>
          </w:p>
        </w:tc>
      </w:tr>
    </w:tbl>
    <w:p w:rsidRDefault="00511823" w:rsidR="00511823" w:rsidP="00511823" w14:paraId="1BCEB024" w14:textId="55A0DD43">
      <w:pPr>
        <w:spacing w:after="0"/>
        <w:jc w:val="center"/>
        <w:rPr>
          <w:b/>
          <w:bCs/>
          <w:sz w:val="16"/>
          <w:szCs w:val="16"/>
        </w:rPr>
      </w:pPr>
    </w:p>
    <w:p w:rsidRPr="00DC193D" w:rsidRDefault="00DC193D" w:rsidR="00DC193D" w:rsidP="00DC193D" w14:paraId="685F0903" w14:textId="00EF8DB5">
      <w:pPr>
        <w:pStyle w:val="NormalWeb"/>
        <w:shd w:val="clear" w:color="auto" w:fill="FFFFFF"/>
        <w:spacing w:before="120" w:beforeAutospacing="0" w:after="90" w:afterAutospacing="0"/>
        <w:jc w:val="both"/>
        <w:rPr>
          <w:rFonts w:cstheme="minorHAnsi" w:asciiTheme="minorHAnsi" w:hAnsiTheme="minorHAnsi"/>
          <w:color w:val="212121"/>
        </w:rPr>
      </w:pPr>
      <w:r>
        <w:rPr>
          <w:rFonts w:cstheme="minorHAnsi" w:asciiTheme="minorHAnsi" w:hAnsiTheme="minorHAnsi"/>
        </w:rPr>
        <w:t>En la figura 4 se ilustran l</w:t>
      </w:r>
      <w:r w:rsidRPr="00DC193D">
        <w:rPr>
          <w:rFonts w:cstheme="minorHAnsi" w:asciiTheme="minorHAnsi" w:hAnsiTheme="minorHAnsi"/>
          <w:color w:val="212121"/>
        </w:rPr>
        <w:t xml:space="preserve">os indicadores locales de asociación espacial </w:t>
      </w:r>
      <w:r>
        <w:rPr>
          <w:rFonts w:cstheme="minorHAnsi" w:asciiTheme="minorHAnsi" w:hAnsiTheme="minorHAnsi"/>
          <w:color w:val="212121"/>
        </w:rPr>
        <w:t xml:space="preserve">que </w:t>
      </w:r>
      <w:r w:rsidRPr="00DC193D">
        <w:rPr>
          <w:rFonts w:cstheme="minorHAnsi" w:asciiTheme="minorHAnsi" w:hAnsiTheme="minorHAnsi"/>
          <w:color w:val="212121"/>
        </w:rPr>
        <w:t xml:space="preserve">permiten </w:t>
      </w:r>
      <w:r>
        <w:rPr>
          <w:rFonts w:cstheme="minorHAnsi" w:asciiTheme="minorHAnsi" w:hAnsiTheme="minorHAnsi"/>
          <w:color w:val="212121"/>
        </w:rPr>
        <w:t>detallar</w:t>
      </w:r>
      <w:r w:rsidRPr="00DC193D">
        <w:rPr>
          <w:rFonts w:cstheme="minorHAnsi" w:asciiTheme="minorHAnsi" w:hAnsiTheme="minorHAnsi"/>
          <w:color w:val="212121"/>
        </w:rPr>
        <w:t xml:space="preserve"> del comportamiento de la dependencia espacial. </w:t>
      </w:r>
      <w:r>
        <w:rPr>
          <w:rFonts w:cstheme="minorHAnsi" w:asciiTheme="minorHAnsi" w:hAnsiTheme="minorHAnsi"/>
          <w:color w:val="212121"/>
        </w:rPr>
        <w:t>Estos LISA calculan</w:t>
      </w:r>
      <w:r w:rsidRPr="00DC193D">
        <w:rPr>
          <w:rFonts w:cstheme="minorHAnsi" w:asciiTheme="minorHAnsi" w:hAnsiTheme="minorHAnsi"/>
          <w:color w:val="212121"/>
        </w:rPr>
        <w:t xml:space="preserve"> un índice para cada unidad espacial, en el cual se compara el valor de la variable en la unidad espacial de referencia con respecto a las vecinas.</w:t>
      </w:r>
    </w:p>
    <w:p w:rsidRDefault="00FB2FDA" w:rsidR="00DC193D" w:rsidP="00DC193D" w14:paraId="20E9B9CB" w14:textId="6632B296">
      <w:pPr>
        <w:pStyle w:val="NormalWeb"/>
        <w:shd w:val="clear" w:color="auto" w:fill="FFFFFF"/>
        <w:spacing w:before="120" w:beforeAutospacing="0" w:after="90" w:afterAutospacing="0"/>
        <w:jc w:val="both"/>
        <w:rPr>
          <w:rFonts w:cstheme="minorHAnsi" w:asciiTheme="minorHAnsi" w:hAnsiTheme="minorHAnsi"/>
          <w:color w:val="212121"/>
        </w:rPr>
      </w:pPr>
      <w:r>
        <w:rPr>
          <w:rFonts w:cstheme="minorHAnsi" w:asciiTheme="minorHAnsi" w:hAnsiTheme="minorHAnsi"/>
          <w:color w:val="212121"/>
        </w:rPr>
        <w:t>L</w:t>
      </w:r>
      <w:r w:rsidRPr="00DC193D" w:rsidR="00DC193D">
        <w:rPr>
          <w:rFonts w:cstheme="minorHAnsi" w:asciiTheme="minorHAnsi" w:hAnsiTheme="minorHAnsi"/>
          <w:color w:val="212121"/>
        </w:rPr>
        <w:t xml:space="preserve">os LISA detectan </w:t>
      </w:r>
      <w:proofErr w:type="spellStart"/>
      <w:r w:rsidR="00DC193D">
        <w:rPr>
          <w:rFonts w:cstheme="minorHAnsi" w:asciiTheme="minorHAnsi" w:hAnsiTheme="minorHAnsi"/>
          <w:color w:val="212121"/>
        </w:rPr>
        <w:t>clústers</w:t>
      </w:r>
      <w:proofErr w:type="spellEnd"/>
      <w:r w:rsidR="00DC193D">
        <w:rPr>
          <w:rFonts w:cstheme="minorHAnsi" w:asciiTheme="minorHAnsi" w:hAnsiTheme="minorHAnsi"/>
          <w:color w:val="212121"/>
        </w:rPr>
        <w:t xml:space="preserve"> espaciales </w:t>
      </w:r>
      <w:r w:rsidRPr="00DC193D" w:rsidR="00DC193D">
        <w:rPr>
          <w:rFonts w:cstheme="minorHAnsi" w:asciiTheme="minorHAnsi" w:hAnsiTheme="minorHAnsi"/>
          <w:color w:val="212121"/>
        </w:rPr>
        <w:t>atípico</w:t>
      </w:r>
      <w:r w:rsidR="00DC193D">
        <w:rPr>
          <w:rFonts w:cstheme="minorHAnsi" w:asciiTheme="minorHAnsi" w:hAnsiTheme="minorHAnsi"/>
          <w:color w:val="212121"/>
        </w:rPr>
        <w:t>s</w:t>
      </w:r>
      <w:r w:rsidRPr="00DC193D" w:rsidR="00DC193D">
        <w:rPr>
          <w:rFonts w:cstheme="minorHAnsi" w:asciiTheme="minorHAnsi" w:hAnsiTheme="minorHAnsi"/>
          <w:color w:val="212121"/>
        </w:rPr>
        <w:t>, esto es, unidades espaciales que poseen un nivel de depen</w:t>
      </w:r>
      <w:r w:rsidR="00DC193D">
        <w:rPr>
          <w:rFonts w:cstheme="minorHAnsi" w:asciiTheme="minorHAnsi" w:hAnsiTheme="minorHAnsi"/>
          <w:color w:val="212121"/>
        </w:rPr>
        <w:t>den</w:t>
      </w:r>
      <w:r w:rsidRPr="00DC193D" w:rsidR="00DC193D">
        <w:rPr>
          <w:rFonts w:cstheme="minorHAnsi" w:asciiTheme="minorHAnsi" w:hAnsiTheme="minorHAnsi"/>
          <w:color w:val="212121"/>
        </w:rPr>
        <w:t>cia espacial que supera la dependencia promedio, o en su defecto cuya dirección de dependencia es contraria a la tendencia general.</w:t>
      </w:r>
    </w:p>
    <w:p w:rsidRDefault="00FB2FDA" w:rsidR="00FB2FDA" w:rsidP="00DC193D" w14:paraId="463F4BB1" w14:textId="671F4978">
      <w:pPr>
        <w:pStyle w:val="NormalWeb"/>
        <w:shd w:val="clear" w:color="auto" w:fill="FFFFFF"/>
        <w:spacing w:before="120" w:beforeAutospacing="0" w:after="90" w:afterAutospacing="0"/>
        <w:jc w:val="both"/>
        <w:rPr>
          <w:rFonts w:cstheme="minorHAnsi" w:asciiTheme="minorHAnsi" w:hAnsiTheme="minorHAnsi"/>
          <w:color w:val="212121"/>
        </w:rPr>
      </w:pPr>
      <w:r>
        <w:rPr>
          <w:rFonts w:cstheme="minorHAnsi" w:asciiTheme="minorHAnsi" w:hAnsiTheme="minorHAnsi"/>
          <w:color w:val="212121"/>
        </w:rPr>
        <w:t xml:space="preserve">Nuevamente, en la figura 4, se identifican los LISA de la venta per cápita y del NBI, en este último no se observan municipios atípicos, concentrándose en los cuadrantes 1 y 3 explicado anteriormente. Sin embargo, la venta per cápita si identifica algunas agrupaciones que se escapan de la autocorrelación espacial, identificando algunos municipios ubicados en el cuadrante 2 que corresponde a municipios con baja venta rodeado de vecinos con mucha venta per cápita y en el cuadrante 4 donde vecinos donde hay altas ventas de chance </w:t>
      </w:r>
      <w:proofErr w:type="spellStart"/>
      <w:r>
        <w:rPr>
          <w:rFonts w:cstheme="minorHAnsi" w:asciiTheme="minorHAnsi" w:hAnsiTheme="minorHAnsi"/>
          <w:color w:val="212121"/>
        </w:rPr>
        <w:t>esta</w:t>
      </w:r>
      <w:proofErr w:type="spellEnd"/>
      <w:r>
        <w:rPr>
          <w:rFonts w:cstheme="minorHAnsi" w:asciiTheme="minorHAnsi" w:hAnsiTheme="minorHAnsi"/>
          <w:color w:val="212121"/>
        </w:rPr>
        <w:t xml:space="preserve"> rodeado de vecinos con baja demanda de este producto.</w:t>
      </w:r>
    </w:p>
    <w:p w:rsidRDefault="00C71581" w:rsidR="00C71581" w:rsidP="00DC193D" w14:paraId="580C48B8" w14:textId="4EDAE493">
      <w:pPr>
        <w:spacing w:after="0"/>
        <w:jc w:val="both"/>
        <w:rPr>
          <w:b/>
          <w:bCs/>
          <w:sz w:val="16"/>
          <w:szCs w:val="16"/>
        </w:rPr>
      </w:pPr>
    </w:p>
    <w:p w:rsidRPr="00511823" w:rsidRDefault="00511823" w:rsidR="00511823" w:rsidP="00511823" w14:paraId="4DEC4629" w14:textId="55B02078">
      <w:pPr>
        <w:spacing w:after="0"/>
        <w:jc w:val="center"/>
        <w:rPr>
          <w:b/>
          <w:bCs/>
          <w:sz w:val="16"/>
          <w:szCs w:val="16"/>
        </w:rPr>
      </w:pPr>
      <w:r w:rsidRPr="008D22B8">
        <w:rPr>
          <w:b/>
          <w:bCs/>
          <w:sz w:val="16"/>
          <w:szCs w:val="16"/>
        </w:rPr>
        <w:lastRenderedPageBreak/>
        <w:t xml:space="preserve">Figura </w:t>
      </w:r>
      <w:r w:rsidR="00E4359D">
        <w:rPr>
          <w:b/>
          <w:bCs/>
          <w:sz w:val="16"/>
          <w:szCs w:val="16"/>
        </w:rPr>
        <w:t>4</w:t>
      </w:r>
      <w:r w:rsidRPr="008D22B8">
        <w:rPr>
          <w:b/>
          <w:bCs/>
          <w:sz w:val="16"/>
          <w:szCs w:val="16"/>
        </w:rPr>
        <w:t xml:space="preserve">: </w:t>
      </w:r>
      <w:r w:rsidR="00E4359D">
        <w:rPr>
          <w:b/>
          <w:bCs/>
          <w:sz w:val="16"/>
          <w:szCs w:val="16"/>
        </w:rPr>
        <w:t>Indicadores Locales de Asociación espacial LISA</w:t>
      </w:r>
    </w:p>
    <w:tbl>
      <w:tblPr>
        <w:tblStyle w:val="Tablaconcuadrcula"/>
        <w:tblW w:w="0" w:type="auto"/>
        <w:tblLook w:firstRow="1" w:firstColumn="1" w:noHBand="0" w:val="04A0" w:lastRow="0" w:lastColumn="0" w:noVBand="1"/>
      </w:tblPr>
      <w:tblGrid>
        <w:gridCol w:w="4716"/>
        <w:gridCol w:w="4112"/>
      </w:tblGrid>
      <w:tr w:rsidTr="008D22B8" w:rsidR="001C2E0C" w14:paraId="41A070B2" w14:textId="77777777">
        <w:tc>
          <w:tcPr>
            <w:tcW w:w="4716" w:type="dxa"/>
          </w:tcPr>
          <w:p w:rsidRDefault="001C2E0C" w:rsidR="001C2E0C" w:rsidP="00594558" w14:paraId="4A8DAB8F" w14:textId="134F316B">
            <w:r>
              <w:rPr>
                <w:noProof/>
              </w:rPr>
              <w:drawing>
                <wp:inline distL="0" wp14:anchorId="602786F3" distT="0" distB="0" distR="0" wp14:editId="1E9A6755">
                  <wp:extent cx="2849880" cy="2036618"/>
                  <wp:effectExtent r="7620" b="1905" t="0" l="0"/>
                  <wp:docPr name="Imagen 18" id="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19" id="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7998" cy="2113883"/>
                          </a:xfrm>
                          <a:prstGeom prst="rect">
                            <a:avLst/>
                          </a:prstGeom>
                          <a:noFill/>
                          <a:ln>
                            <a:noFill/>
                          </a:ln>
                        </pic:spPr>
                      </pic:pic>
                    </a:graphicData>
                  </a:graphic>
                </wp:inline>
              </w:drawing>
            </w:r>
          </w:p>
        </w:tc>
        <w:tc>
          <w:tcPr>
            <w:tcW w:w="4112" w:type="dxa"/>
            <w:vAlign w:val="center"/>
          </w:tcPr>
          <w:p w:rsidRDefault="001C2E0C" w:rsidR="001C2E0C" w:rsidP="001C2E0C" w14:paraId="37FB600C" w14:textId="305BD686">
            <w:pPr>
              <w:jc w:val="center"/>
            </w:pPr>
            <w:r>
              <w:rPr>
                <w:noProof/>
              </w:rPr>
              <w:drawing>
                <wp:inline distL="0" wp14:anchorId="4E41A15B" distT="0" distB="0" distR="0" wp14:editId="46D7EF42">
                  <wp:extent cx="2428503" cy="2050956"/>
                  <wp:effectExtent r="0" b="6985" t="0" l="0"/>
                  <wp:docPr name="Imagen 19" 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1" id="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3393" cy="2071977"/>
                          </a:xfrm>
                          <a:prstGeom prst="rect">
                            <a:avLst/>
                          </a:prstGeom>
                          <a:noFill/>
                          <a:ln>
                            <a:noFill/>
                          </a:ln>
                        </pic:spPr>
                      </pic:pic>
                    </a:graphicData>
                  </a:graphic>
                </wp:inline>
              </w:drawing>
            </w:r>
          </w:p>
        </w:tc>
      </w:tr>
      <w:tr w:rsidTr="00164648" w:rsidR="008D22B8" w14:paraId="4BE07570" w14:textId="77777777">
        <w:tc>
          <w:tcPr>
            <w:tcW w:w="8828" w:type="dxa"/>
            <w:gridSpan w:val="2"/>
          </w:tcPr>
          <w:p w:rsidRPr="008D22B8" w:rsidRDefault="008D22B8" w:rsidR="008D22B8" w:rsidP="008D22B8" w14:paraId="7307FC62" w14:textId="77777777">
            <w:pPr>
              <w:jc w:val="center"/>
              <w:rPr>
                <w:i/>
                <w:iCs/>
                <w:noProof/>
                <w:sz w:val="16"/>
                <w:szCs w:val="16"/>
              </w:rPr>
            </w:pPr>
            <w:r w:rsidRPr="008D22B8">
              <w:rPr>
                <w:i/>
                <w:iCs/>
                <w:noProof/>
                <w:sz w:val="16"/>
                <w:szCs w:val="16"/>
              </w:rPr>
              <w:t>Fuente: Elaboración propia.</w:t>
            </w:r>
          </w:p>
          <w:p w:rsidRDefault="008D22B8" w:rsidR="008D22B8" w:rsidP="008D22B8" w14:paraId="590264C3" w14:textId="04171EF9">
            <w:pPr>
              <w:jc w:val="center"/>
              <w:rPr>
                <w:noProof/>
              </w:rPr>
            </w:pPr>
            <w:r w:rsidRPr="008D22B8">
              <w:rPr>
                <w:i/>
                <w:iCs/>
                <w:noProof/>
                <w:sz w:val="16"/>
                <w:szCs w:val="16"/>
              </w:rPr>
              <w:t>Datos: Ventas chance</w:t>
            </w:r>
            <w:r w:rsidR="00511823">
              <w:rPr>
                <w:i/>
                <w:iCs/>
                <w:noProof/>
                <w:sz w:val="16"/>
                <w:szCs w:val="16"/>
              </w:rPr>
              <w:t>,</w:t>
            </w:r>
            <w:r w:rsidRPr="008D22B8">
              <w:rPr>
                <w:i/>
                <w:iCs/>
                <w:noProof/>
                <w:sz w:val="16"/>
                <w:szCs w:val="16"/>
              </w:rPr>
              <w:t xml:space="preserve"> Grupo Réditos 2018 &amp; NBI 2018</w:t>
            </w:r>
            <w:r w:rsidR="00511823">
              <w:rPr>
                <w:i/>
                <w:iCs/>
                <w:noProof/>
                <w:sz w:val="16"/>
                <w:szCs w:val="16"/>
              </w:rPr>
              <w:t>,</w:t>
            </w:r>
            <w:r w:rsidRPr="008D22B8">
              <w:rPr>
                <w:i/>
                <w:iCs/>
                <w:noProof/>
                <w:sz w:val="16"/>
                <w:szCs w:val="16"/>
              </w:rPr>
              <w:t xml:space="preserve"> DANE</w:t>
            </w:r>
            <w:r w:rsidR="00511823">
              <w:rPr>
                <w:i/>
                <w:iCs/>
                <w:noProof/>
                <w:sz w:val="16"/>
                <w:szCs w:val="16"/>
              </w:rPr>
              <w:t>.</w:t>
            </w:r>
          </w:p>
        </w:tc>
      </w:tr>
    </w:tbl>
    <w:p w:rsidRDefault="00FA3B0B" w:rsidR="00FA3B0B" w:rsidP="002E1F7F" w14:paraId="12AA85CA" w14:textId="77777777">
      <w:pPr>
        <w:pStyle w:val="NormalWeb"/>
        <w:shd w:val="clear" w:color="auto" w:fill="FFFFFF"/>
        <w:spacing w:before="120" w:beforeAutospacing="0" w:after="90" w:afterAutospacing="0"/>
        <w:jc w:val="both"/>
        <w:rPr>
          <w:rFonts w:cstheme="minorHAnsi" w:asciiTheme="minorHAnsi" w:hAnsiTheme="minorHAnsi"/>
          <w:color w:val="212121"/>
        </w:rPr>
      </w:pPr>
    </w:p>
    <w:p w:rsidRDefault="002E1F7F" w:rsidR="002E1F7F" w:rsidP="002E1F7F" w14:paraId="1E7C84E6" w14:textId="2B951DF2">
      <w:pPr>
        <w:pStyle w:val="NormalWeb"/>
        <w:shd w:val="clear" w:color="auto" w:fill="FFFFFF"/>
        <w:spacing w:before="120" w:beforeAutospacing="0" w:after="90" w:afterAutospacing="0"/>
        <w:jc w:val="both"/>
        <w:rPr>
          <w:rFonts w:cstheme="minorHAnsi" w:asciiTheme="minorHAnsi" w:hAnsiTheme="minorHAnsi"/>
          <w:color w:val="212121"/>
        </w:rPr>
      </w:pPr>
      <w:r>
        <w:rPr>
          <w:rFonts w:cstheme="minorHAnsi" w:asciiTheme="minorHAnsi" w:hAnsiTheme="minorHAnsi"/>
          <w:color w:val="212121"/>
        </w:rPr>
        <w:t>En la figura 5, se ilustran los municipios normales y atípicos tanto para las ventas como para el NBI. Aquellos municipios de altas ventas y vecinos con altas ventas (cuadrante 1 llamado Alto-Alto (HH)) está de color rojo, aquellos con bajas ventas y vecinos con bajas ventas (cuadrante 3 bajo-bajo (LL)) está de color azul oscuro, aquellos con altas ventas y con vecinos con bajas ventas (cuadrante 4 alto-bajo (HL)) está de color amarillo y por último aquellos con bajas ventas rodeado de vecinos con altas ventas (cuadrante 2 Bajo-Alto (LH)) está de color azul claro.</w:t>
      </w:r>
    </w:p>
    <w:p w:rsidRPr="00177BAC" w:rsidRDefault="002E1F7F" w:rsidR="002E1F7F" w:rsidP="00594558" w14:paraId="3331F479" w14:textId="19B6097C">
      <w:pPr>
        <w:rPr>
          <w:rFonts w:cstheme="minorHAnsi" w:eastAsia="Times New Roman" w:asciiTheme="minorHAnsi" w:hAnsiTheme="minorHAnsi"/>
          <w:color w:val="212121"/>
          <w:sz w:val="24"/>
          <w:szCs w:val="24"/>
        </w:rPr>
      </w:pPr>
      <w:r w:rsidRPr="00177BAC">
        <w:rPr>
          <w:rFonts w:cstheme="minorHAnsi" w:eastAsia="Times New Roman" w:asciiTheme="minorHAnsi" w:hAnsiTheme="minorHAnsi"/>
          <w:color w:val="212121"/>
          <w:sz w:val="24"/>
          <w:szCs w:val="24"/>
        </w:rPr>
        <w:t>Como lo comentamos anteriormente, para el NBI no hay datos atípicos y únicamente se identifican las agrupaciones Alto-Alto (Rojo) y Bajo-Bajo Azul).</w:t>
      </w:r>
    </w:p>
    <w:p w:rsidRPr="00511823" w:rsidRDefault="00E4359D" w:rsidR="00E4359D" w:rsidP="00E4359D" w14:paraId="4FB1CF56" w14:textId="4E6738FD">
      <w:pPr>
        <w:spacing w:after="0"/>
        <w:jc w:val="center"/>
        <w:rPr>
          <w:b/>
          <w:bCs/>
          <w:sz w:val="16"/>
          <w:szCs w:val="16"/>
        </w:rPr>
      </w:pPr>
      <w:r w:rsidRPr="008D22B8">
        <w:rPr>
          <w:b/>
          <w:bCs/>
          <w:sz w:val="16"/>
          <w:szCs w:val="16"/>
        </w:rPr>
        <w:t xml:space="preserve">Figura </w:t>
      </w:r>
      <w:r>
        <w:rPr>
          <w:b/>
          <w:bCs/>
          <w:sz w:val="16"/>
          <w:szCs w:val="16"/>
        </w:rPr>
        <w:t>5</w:t>
      </w:r>
      <w:r w:rsidRPr="008D22B8">
        <w:rPr>
          <w:b/>
          <w:bCs/>
          <w:sz w:val="16"/>
          <w:szCs w:val="16"/>
        </w:rPr>
        <w:t xml:space="preserve">: </w:t>
      </w:r>
      <w:sdt>
        <w:sdtPr>
          <w:tag w:val="goog_rdk_23"/>
          <w:id w:val="-370306376"/>
        </w:sdtPr>
        <w:sdtEndPr/>
        <w:sdtContent/>
      </w:sdt>
      <w:r>
        <w:rPr>
          <w:b/>
          <w:bCs/>
          <w:sz w:val="16"/>
          <w:szCs w:val="16"/>
        </w:rPr>
        <w:t>Mapa de clúster LISA</w:t>
      </w:r>
    </w:p>
    <w:tbl>
      <w:tblPr>
        <w:tblStyle w:val="Tablaconcuadrcula"/>
        <w:tblW w:w="0" w:type="auto"/>
        <w:tblLook w:firstRow="1" w:firstColumn="1" w:noHBand="0" w:val="04A0" w:lastRow="0" w:lastColumn="0" w:noVBand="1"/>
      </w:tblPr>
      <w:tblGrid>
        <w:gridCol w:w="4414"/>
        <w:gridCol w:w="4414"/>
      </w:tblGrid>
      <w:tr w:rsidTr="001C2E0C" w:rsidR="001C2E0C" w14:paraId="3E3FFFAB" w14:textId="77777777">
        <w:tc>
          <w:tcPr>
            <w:tcW w:w="4414" w:type="dxa"/>
          </w:tcPr>
          <w:p w:rsidRDefault="001C2E0C" w:rsidR="001C2E0C" w:rsidP="00FB2FDA" w14:paraId="4CE4B55F" w14:textId="0D9A8A02">
            <w:pPr>
              <w:jc w:val="center"/>
            </w:pPr>
            <w:r>
              <w:rPr>
                <w:noProof/>
              </w:rPr>
              <w:drawing>
                <wp:inline distL="0" wp14:anchorId="7CAD16E2" distT="0" distB="0" distR="0" wp14:editId="26879DAE">
                  <wp:extent cx="1947554" cy="2155866"/>
                  <wp:effectExtent r="0" b="0" t="0" l="0"/>
                  <wp:docPr name="Imagen 20" i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3" id="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1563" cy="2182444"/>
                          </a:xfrm>
                          <a:prstGeom prst="rect">
                            <a:avLst/>
                          </a:prstGeom>
                          <a:noFill/>
                          <a:ln>
                            <a:noFill/>
                          </a:ln>
                        </pic:spPr>
                      </pic:pic>
                    </a:graphicData>
                  </a:graphic>
                </wp:inline>
              </w:drawing>
            </w:r>
          </w:p>
        </w:tc>
        <w:tc>
          <w:tcPr>
            <w:tcW w:w="4414" w:type="dxa"/>
          </w:tcPr>
          <w:p w:rsidRDefault="001C2E0C" w:rsidR="001C2E0C" w:rsidP="00FB2FDA" w14:paraId="7D0EDCF8" w14:textId="71D94B30">
            <w:pPr>
              <w:jc w:val="center"/>
            </w:pPr>
            <w:r>
              <w:rPr>
                <w:noProof/>
              </w:rPr>
              <w:drawing>
                <wp:inline distL="0" wp14:anchorId="38265BD0" distT="0" distB="0" distR="0" wp14:editId="49C29E8B">
                  <wp:extent cx="1923803" cy="2129575"/>
                  <wp:effectExtent r="635" b="4445" t="0" l="0"/>
                  <wp:docPr name="Imagen 21" id="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5" id="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3803" cy="2129575"/>
                          </a:xfrm>
                          <a:prstGeom prst="rect">
                            <a:avLst/>
                          </a:prstGeom>
                          <a:noFill/>
                          <a:ln>
                            <a:noFill/>
                          </a:ln>
                        </pic:spPr>
                      </pic:pic>
                    </a:graphicData>
                  </a:graphic>
                </wp:inline>
              </w:drawing>
            </w:r>
          </w:p>
        </w:tc>
      </w:tr>
      <w:tr w:rsidTr="00164648" w:rsidR="008D22B8" w14:paraId="0D7FDAF4" w14:textId="77777777">
        <w:tc>
          <w:tcPr>
            <w:tcW w:w="8828" w:type="dxa"/>
            <w:gridSpan w:val="2"/>
          </w:tcPr>
          <w:p w:rsidRPr="008D22B8" w:rsidRDefault="008D22B8" w:rsidR="008D22B8" w:rsidP="008D22B8" w14:paraId="73015E51" w14:textId="77777777">
            <w:pPr>
              <w:jc w:val="center"/>
              <w:rPr>
                <w:i/>
                <w:iCs/>
                <w:noProof/>
                <w:sz w:val="16"/>
                <w:szCs w:val="16"/>
              </w:rPr>
            </w:pPr>
            <w:r w:rsidRPr="008D22B8">
              <w:rPr>
                <w:i/>
                <w:iCs/>
                <w:noProof/>
                <w:sz w:val="16"/>
                <w:szCs w:val="16"/>
              </w:rPr>
              <w:t>Fuente: Elaboración propia.</w:t>
            </w:r>
          </w:p>
          <w:p w:rsidRDefault="008D22B8" w:rsidR="008D22B8" w:rsidP="008D22B8" w14:paraId="647F94E4" w14:textId="060BDE53">
            <w:pPr>
              <w:jc w:val="center"/>
              <w:rPr>
                <w:noProof/>
              </w:rPr>
            </w:pPr>
            <w:r w:rsidRPr="008D22B8">
              <w:rPr>
                <w:i/>
                <w:iCs/>
                <w:noProof/>
                <w:sz w:val="16"/>
                <w:szCs w:val="16"/>
              </w:rPr>
              <w:t>Datos: Ventas chance</w:t>
            </w:r>
            <w:r w:rsidR="00511823">
              <w:rPr>
                <w:i/>
                <w:iCs/>
                <w:noProof/>
                <w:sz w:val="16"/>
                <w:szCs w:val="16"/>
              </w:rPr>
              <w:t>,</w:t>
            </w:r>
            <w:r w:rsidRPr="008D22B8">
              <w:rPr>
                <w:i/>
                <w:iCs/>
                <w:noProof/>
                <w:sz w:val="16"/>
                <w:szCs w:val="16"/>
              </w:rPr>
              <w:t xml:space="preserve"> Grupo Réditos</w:t>
            </w:r>
            <w:r w:rsidR="00511823">
              <w:rPr>
                <w:i/>
                <w:iCs/>
                <w:noProof/>
                <w:sz w:val="16"/>
                <w:szCs w:val="16"/>
              </w:rPr>
              <w:t>,</w:t>
            </w:r>
            <w:r w:rsidRPr="008D22B8">
              <w:rPr>
                <w:i/>
                <w:iCs/>
                <w:noProof/>
                <w:sz w:val="16"/>
                <w:szCs w:val="16"/>
              </w:rPr>
              <w:t xml:space="preserve"> 2018 &amp; NBI 2018</w:t>
            </w:r>
            <w:r w:rsidR="00511823">
              <w:rPr>
                <w:i/>
                <w:iCs/>
                <w:noProof/>
                <w:sz w:val="16"/>
                <w:szCs w:val="16"/>
              </w:rPr>
              <w:t xml:space="preserve">, </w:t>
            </w:r>
            <w:r w:rsidRPr="008D22B8">
              <w:rPr>
                <w:i/>
                <w:iCs/>
                <w:noProof/>
                <w:sz w:val="16"/>
                <w:szCs w:val="16"/>
              </w:rPr>
              <w:t>DANE</w:t>
            </w:r>
            <w:r w:rsidR="00511823">
              <w:rPr>
                <w:i/>
                <w:iCs/>
                <w:noProof/>
                <w:sz w:val="16"/>
                <w:szCs w:val="16"/>
              </w:rPr>
              <w:t>.</w:t>
            </w:r>
          </w:p>
        </w:tc>
      </w:tr>
    </w:tbl>
    <w:p w:rsidRDefault="00E4359D" w:rsidR="00E4359D" w:rsidP="00E4359D" w14:paraId="0DC6BD9D" w14:textId="57B16C79">
      <w:pPr>
        <w:pStyle w:val="Ttulo2"/>
        <w:rPr>
          <w:color w:val="002060"/>
          <w:sz w:val="32"/>
          <w:szCs w:val="32"/>
        </w:rPr>
      </w:pPr>
      <w:r>
        <w:rPr>
          <w:color w:val="002060"/>
          <w:sz w:val="32"/>
          <w:szCs w:val="32"/>
        </w:rPr>
        <w:lastRenderedPageBreak/>
        <w:t>Análisis bivariado</w:t>
      </w:r>
    </w:p>
    <w:p w:rsidRDefault="00F20A9A" w:rsidR="00F20A9A" w:rsidP="00F20A9A" w14:paraId="4C9B468E" w14:textId="3DAECC5B">
      <w:pPr>
        <w:jc w:val="both"/>
      </w:pPr>
      <w:r>
        <w:t xml:space="preserve">Basado en lo anterior, se calculará el grado de correlación entre la venta per cápita de chance y el nivel de pobreza medido a través del NBI para cada municipio del departamento de Antioquia en 2018. Para </w:t>
      </w:r>
      <w:r w:rsidR="004A0020">
        <w:t>esto</w:t>
      </w:r>
      <w:r>
        <w:t xml:space="preserve"> se utiliza el indicador bivariado de Moran.</w:t>
      </w:r>
    </w:p>
    <w:p w:rsidRDefault="004A0020" w:rsidR="004A0020" w:rsidP="00F20A9A" w14:paraId="75E29573" w14:textId="2E405C5B">
      <w:pPr>
        <w:jc w:val="both"/>
      </w:pPr>
      <w:r>
        <w:t>En la figura 6 se observa</w:t>
      </w:r>
      <w:r w:rsidR="007E35F6">
        <w:t xml:space="preserve"> el diagrama de dispersión del índice bivariado de Moran, en el cual se revelan una gran cantidad de </w:t>
      </w:r>
      <w:r w:rsidR="00177BAC">
        <w:t>puntos</w:t>
      </w:r>
      <w:r w:rsidR="007E35F6">
        <w:t xml:space="preserve"> </w:t>
      </w:r>
      <w:r w:rsidR="00177BAC">
        <w:t>en</w:t>
      </w:r>
      <w:r w:rsidR="007E35F6">
        <w:t xml:space="preserve"> los cuadrantes 2, 3 y 4 lo cual no </w:t>
      </w:r>
      <w:r w:rsidR="00177BAC">
        <w:t>permite</w:t>
      </w:r>
      <w:r w:rsidR="007E35F6">
        <w:t xml:space="preserve"> una interpretación clara de agrupaciones, aunque se detecta la presencia de correlación espacial negativa entre ambas variables </w:t>
      </w:r>
      <w:r w:rsidR="00177BAC">
        <w:t xml:space="preserve">dado que </w:t>
      </w:r>
      <w:r w:rsidR="007E35F6">
        <w:t xml:space="preserve">el índice de Morán </w:t>
      </w:r>
      <w:r w:rsidR="00177BAC">
        <w:t>es</w:t>
      </w:r>
      <w:r w:rsidR="007E35F6">
        <w:t xml:space="preserve"> -0</w:t>
      </w:r>
      <w:r w:rsidR="00EF4AC5">
        <w:t>.</w:t>
      </w:r>
      <w:r w:rsidR="007E35F6">
        <w:t xml:space="preserve">334. </w:t>
      </w:r>
    </w:p>
    <w:p w:rsidRDefault="007E35F6" w:rsidR="009C0949" w:rsidP="009C0949" w14:paraId="60A30208" w14:textId="767B942B">
      <w:pPr>
        <w:jc w:val="both"/>
      </w:pPr>
      <w:r>
        <w:t xml:space="preserve">Los municipios reflejados en el cuadrante 2 (Bajo-Alto) se caracterizan por presentar bajas ventas per cápita de chance </w:t>
      </w:r>
      <w:r w:rsidR="00E0040E">
        <w:t xml:space="preserve">con un nivel de pobreza (NBI) alto, estos municipios se ubican en las subregiones del occidente, norte, bajo cauca y algunas regiones del Urabá, esto último es atípico puesto que en esta misma región se encuentran los únicos municipios ubicados en el cuadrante 1 (Alto-Alto), los cuales son lugares con altas ventas per cápita de chance y también con alta pobreza. Los cuadrantes 3 (Bajo-Bajo) y 4 (Alto-Bajo) se concentran en la zona central del departamento, en las zonas del Valle de Aburrá, el oriente, el suroeste y algunos municipios cercanos a la capital del occidente y del norte. </w:t>
      </w:r>
      <w:r w:rsidR="00823EBA">
        <w:t>Estos no tienen</w:t>
      </w:r>
      <w:r w:rsidR="00E0040E">
        <w:t xml:space="preserve"> un patrón en </w:t>
      </w:r>
      <w:r w:rsidR="00ED599C">
        <w:t>específico</w:t>
      </w:r>
      <w:r w:rsidR="00E0040E">
        <w:t xml:space="preserve"> y están repartidos por la parte del departamento mencionado, lo cual </w:t>
      </w:r>
      <w:r w:rsidR="00BD7D75">
        <w:t xml:space="preserve">no </w:t>
      </w:r>
      <w:r w:rsidR="00E0040E">
        <w:t xml:space="preserve">demuestra alguna consideración relevante que correlacione la </w:t>
      </w:r>
      <w:r w:rsidR="00823EBA">
        <w:t>incidencia espacial de la pobreza en la propensión de las personas a apostar en chances buscando mejorar sus necesidades básicas insatisfechas.</w:t>
      </w:r>
    </w:p>
    <w:p w:rsidRPr="008D22B8" w:rsidRDefault="009C0949" w:rsidR="009C0949" w:rsidP="009C0949" w14:paraId="5B0DEC72" w14:textId="77777777">
      <w:pPr>
        <w:spacing w:after="0"/>
        <w:jc w:val="center"/>
        <w:rPr>
          <w:b/>
          <w:bCs/>
          <w:sz w:val="16"/>
          <w:szCs w:val="16"/>
        </w:rPr>
      </w:pPr>
      <w:r w:rsidRPr="008D22B8">
        <w:rPr>
          <w:b/>
          <w:bCs/>
          <w:sz w:val="16"/>
          <w:szCs w:val="16"/>
        </w:rPr>
        <w:t xml:space="preserve">Figura </w:t>
      </w:r>
      <w:r>
        <w:rPr>
          <w:b/>
          <w:bCs/>
          <w:sz w:val="16"/>
          <w:szCs w:val="16"/>
        </w:rPr>
        <w:t>6</w:t>
      </w:r>
      <w:r w:rsidRPr="008D22B8">
        <w:rPr>
          <w:b/>
          <w:bCs/>
          <w:sz w:val="16"/>
          <w:szCs w:val="16"/>
        </w:rPr>
        <w:t>: Mapa coroplético de ventas por chance per cápita y el NBI en Antioquia en 2018</w:t>
      </w:r>
    </w:p>
    <w:tbl>
      <w:tblPr>
        <w:tblStyle w:val="Tablaconcuadrcula"/>
        <w:tblW w:w="0" w:type="auto"/>
        <w:tblLook w:firstRow="1" w:firstColumn="1" w:noHBand="0" w:val="04A0" w:lastRow="0" w:lastColumn="0" w:noVBand="1"/>
      </w:tblPr>
      <w:tblGrid>
        <w:gridCol w:w="4414"/>
        <w:gridCol w:w="4414"/>
      </w:tblGrid>
      <w:tr w:rsidTr="0057263B" w:rsidR="009C0949" w14:paraId="65178A5D" w14:textId="77777777">
        <w:tc>
          <w:tcPr>
            <w:tcW w:w="4414" w:type="dxa"/>
          </w:tcPr>
          <w:p w:rsidRDefault="009C0949" w:rsidR="009C0949" w:rsidP="0057263B" w14:paraId="4034B06C" w14:textId="77777777">
            <w:pPr>
              <w:jc w:val="center"/>
            </w:pPr>
            <w:r>
              <w:rPr>
                <w:noProof/>
              </w:rPr>
              <w:drawing>
                <wp:inline distL="0" wp14:anchorId="2D795C41" distT="0" distB="0" distR="0" wp14:editId="23D4E46F">
                  <wp:extent cx="2173184" cy="2106548"/>
                  <wp:effectExtent r="0" b="8255" t="0" l="0"/>
                  <wp:docPr name="Imagen 23" id="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9" id="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5167" cy="2127857"/>
                          </a:xfrm>
                          <a:prstGeom prst="rect">
                            <a:avLst/>
                          </a:prstGeom>
                          <a:noFill/>
                          <a:ln>
                            <a:noFill/>
                          </a:ln>
                        </pic:spPr>
                      </pic:pic>
                    </a:graphicData>
                  </a:graphic>
                </wp:inline>
              </w:drawing>
            </w:r>
          </w:p>
        </w:tc>
        <w:tc>
          <w:tcPr>
            <w:tcW w:w="4414" w:type="dxa"/>
          </w:tcPr>
          <w:p w:rsidRDefault="009C0949" w:rsidR="009C0949" w:rsidP="0057263B" w14:paraId="4061055D" w14:textId="77777777">
            <w:pPr>
              <w:jc w:val="center"/>
            </w:pPr>
            <w:r>
              <w:rPr>
                <w:noProof/>
              </w:rPr>
              <w:drawing>
                <wp:inline distL="0" wp14:anchorId="394C405B" distT="0" distB="0" distR="0" wp14:editId="3D4DA838">
                  <wp:extent cx="1923802" cy="2107737"/>
                  <wp:effectExtent r="635" b="6985" t="0" l="0"/>
                  <wp:docPr name="Imagen 26" id="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44" id="0"/>
                          <pic:cNvPicPr>
                            <a:picLocks noChangeAspect="1" noChangeArrowheads="1"/>
                          </pic:cNvPicPr>
                        </pic:nvPicPr>
                        <pic:blipFill>
                          <a:blip cstate="print" r:embed="rId21">
                            <a:extLst>
                              <a:ext uri="{28A0092B-C50C-407E-A947-70E740481C1C}">
                                <a14:useLocalDpi xmlns:a14="http://schemas.microsoft.com/office/drawing/2010/main" val="0"/>
                              </a:ext>
                            </a:extLst>
                          </a:blip>
                          <a:srcRect/>
                          <a:stretch>
                            <a:fillRect/>
                          </a:stretch>
                        </pic:blipFill>
                        <pic:spPr bwMode="auto">
                          <a:xfrm>
                            <a:off x="0" y="0"/>
                            <a:ext cx="1947301" cy="2133482"/>
                          </a:xfrm>
                          <a:prstGeom prst="rect">
                            <a:avLst/>
                          </a:prstGeom>
                          <a:noFill/>
                          <a:ln>
                            <a:noFill/>
                          </a:ln>
                        </pic:spPr>
                      </pic:pic>
                    </a:graphicData>
                  </a:graphic>
                </wp:inline>
              </w:drawing>
            </w:r>
          </w:p>
        </w:tc>
      </w:tr>
      <w:tr w:rsidTr="0057263B" w:rsidR="009C0949" w14:paraId="66A044B9" w14:textId="77777777">
        <w:tc>
          <w:tcPr>
            <w:tcW w:w="8828" w:type="dxa"/>
            <w:gridSpan w:val="2"/>
            <w:vAlign w:val="center"/>
          </w:tcPr>
          <w:p w:rsidRPr="008D22B8" w:rsidRDefault="009C0949" w:rsidR="009C0949" w:rsidP="0057263B" w14:paraId="5323F9DC" w14:textId="77777777">
            <w:pPr>
              <w:jc w:val="center"/>
              <w:rPr>
                <w:i/>
                <w:iCs/>
                <w:noProof/>
                <w:sz w:val="16"/>
                <w:szCs w:val="16"/>
              </w:rPr>
            </w:pPr>
            <w:r w:rsidRPr="008D22B8">
              <w:rPr>
                <w:i/>
                <w:iCs/>
                <w:noProof/>
                <w:sz w:val="16"/>
                <w:szCs w:val="16"/>
              </w:rPr>
              <w:t>Fuente: Elaboración propia.</w:t>
            </w:r>
          </w:p>
          <w:p w:rsidRDefault="009C0949" w:rsidR="009C0949" w:rsidP="0057263B" w14:paraId="2635523A" w14:textId="77777777">
            <w:pPr>
              <w:jc w:val="center"/>
              <w:rPr>
                <w:noProof/>
              </w:rPr>
            </w:pPr>
            <w:r w:rsidRPr="008D22B8">
              <w:rPr>
                <w:i/>
                <w:iCs/>
                <w:noProof/>
                <w:sz w:val="16"/>
                <w:szCs w:val="16"/>
              </w:rPr>
              <w:t>Datos: Ventas chance</w:t>
            </w:r>
            <w:r>
              <w:rPr>
                <w:i/>
                <w:iCs/>
                <w:noProof/>
                <w:sz w:val="16"/>
                <w:szCs w:val="16"/>
              </w:rPr>
              <w:t>,</w:t>
            </w:r>
            <w:r w:rsidRPr="008D22B8">
              <w:rPr>
                <w:i/>
                <w:iCs/>
                <w:noProof/>
                <w:sz w:val="16"/>
                <w:szCs w:val="16"/>
              </w:rPr>
              <w:t xml:space="preserve"> Grupo Réditos 2018 &amp; NBI 2018</w:t>
            </w:r>
            <w:r>
              <w:rPr>
                <w:i/>
                <w:iCs/>
                <w:noProof/>
                <w:sz w:val="16"/>
                <w:szCs w:val="16"/>
              </w:rPr>
              <w:t>,</w:t>
            </w:r>
            <w:r w:rsidRPr="008D22B8">
              <w:rPr>
                <w:i/>
                <w:iCs/>
                <w:noProof/>
                <w:sz w:val="16"/>
                <w:szCs w:val="16"/>
              </w:rPr>
              <w:t xml:space="preserve"> DANE</w:t>
            </w:r>
            <w:r>
              <w:rPr>
                <w:i/>
                <w:iCs/>
                <w:noProof/>
                <w:sz w:val="16"/>
                <w:szCs w:val="16"/>
              </w:rPr>
              <w:t>.</w:t>
            </w:r>
          </w:p>
        </w:tc>
      </w:tr>
    </w:tbl>
    <w:p w:rsidRPr="00F70FA5" w:rsidRDefault="009C0949" w:rsidR="009C0949" w:rsidP="00F70FA5" w14:paraId="253BEE7F" w14:textId="0AB48508">
      <w:pPr>
        <w:pStyle w:val="Ttulo2"/>
        <w:rPr>
          <w:color w:val="002060"/>
          <w:sz w:val="32"/>
          <w:szCs w:val="32"/>
        </w:rPr>
      </w:pPr>
      <w:r w:rsidRPr="00F70FA5">
        <w:rPr>
          <w:color w:val="002060"/>
          <w:sz w:val="32"/>
          <w:szCs w:val="32"/>
        </w:rPr>
        <w:t>Otras variables que pueden incidir en la compra de chance</w:t>
      </w:r>
    </w:p>
    <w:p w:rsidRDefault="00BD7D75" w:rsidR="00BD7D75" w:rsidP="00BD7D75" w14:paraId="5E191A06" w14:textId="2EA7C6BA">
      <w:pPr>
        <w:jc w:val="both"/>
      </w:pPr>
      <w:r>
        <w:t>Del índice de Bivariado de Moran se encontró una correlación espacial negativa entre la propensión a comprar chance dada la situación de pobreza, lo cual indica que la pobreza en sí no es una característica importante a la hora de querer aumentar su suerte a través del azar. Sin embargo, esta medida puede verse sesgada a que quizá, dada esa misma situación de pobreza, las personas pobres no tienen la posibilidad de comprar chance pese a querer y tener el perfil para hacerlo.</w:t>
      </w:r>
    </w:p>
    <w:p w:rsidRDefault="00BD7D75" w:rsidR="00BD7D75" w:rsidP="00BD7D75" w14:paraId="179690BD" w14:textId="1D219DC2">
      <w:pPr>
        <w:jc w:val="both"/>
      </w:pPr>
      <w:r>
        <w:lastRenderedPageBreak/>
        <w:t>Bajo esta premisa, se considerará explorar a la población en cuestión de algunos factores que pueden incidir en que no compren</w:t>
      </w:r>
      <w:r w:rsidR="00213BFD">
        <w:t xml:space="preserve">. Estos factores están en </w:t>
      </w:r>
      <w:r>
        <w:t xml:space="preserve">función de la accesibilidad en las personas pueden </w:t>
      </w:r>
      <w:r w:rsidR="0060241C">
        <w:t xml:space="preserve">acercarse a un punto a comprar un chance o si sus niveles de ingreso, gastos u otra situación social les limita sus posibilidades de compra. </w:t>
      </w:r>
      <w:r>
        <w:t xml:space="preserve">Para esto se analizará del acceso que tienen para comprar chance medido a través de la cantidad de personas que viven en la ruralidad, </w:t>
      </w:r>
      <w:r w:rsidR="0060241C">
        <w:t xml:space="preserve">el PIB per cápita, el acceso a servicios públicos, la educación, la cantidad de empresas que hay en la región (para medir la posibilidad de empleo de estas personas) y por último el acceso (terrestre, marítimo, aéreo) que tienen estos municipios. Se modelará nuevamente a través de la correlación, el mapa </w:t>
      </w:r>
      <w:r w:rsidR="0003587A">
        <w:t xml:space="preserve">coroplético </w:t>
      </w:r>
      <w:r w:rsidR="0060241C">
        <w:t>y el índice bivariado de Moran entre estas variables y las ventas de chance per cápita.</w:t>
      </w:r>
    </w:p>
    <w:p w:rsidRPr="00594558" w:rsidRDefault="00F70FA5" w:rsidR="00F70FA5" w:rsidP="00F70FA5" w14:paraId="0F9AE5EF" w14:textId="22348EBD">
      <w:pPr>
        <w:pStyle w:val="Ttulo3"/>
        <w:rPr>
          <w:color w:val="002060"/>
        </w:rPr>
      </w:pPr>
      <w:r>
        <w:rPr>
          <w:color w:val="002060"/>
        </w:rPr>
        <w:t xml:space="preserve">Poco acceso a chance por alta población </w:t>
      </w:r>
      <w:r w:rsidR="00E22915">
        <w:rPr>
          <w:color w:val="002060"/>
        </w:rPr>
        <w:t>r</w:t>
      </w:r>
      <w:r>
        <w:rPr>
          <w:color w:val="002060"/>
        </w:rPr>
        <w:t>ural</w:t>
      </w:r>
    </w:p>
    <w:p w:rsidRDefault="00F70FA5" w:rsidR="009C0949" w:rsidP="009C0949" w14:paraId="382E45D6" w14:textId="04FB9510">
      <w:pPr>
        <w:jc w:val="both"/>
      </w:pPr>
      <w:r>
        <w:t>Se plantea la hipotesis de que pese a querer tener la oportunidad en el azar</w:t>
      </w:r>
      <w:r w:rsidR="00E22915">
        <w:t xml:space="preserve"> y ser pobres, estos realmente no pueden acceder a comprarlo puesto que hay alta ruralidad en el municipio y por ende hay baja accesibilidad a estos servicios.</w:t>
      </w:r>
    </w:p>
    <w:p w:rsidRDefault="00E22915" w:rsidR="0092096B" w:rsidP="009C0949" w14:paraId="4497C5E0" w14:textId="77777777">
      <w:pPr>
        <w:jc w:val="both"/>
      </w:pPr>
      <w:r>
        <w:t>En la figura 7 se ilustra el análisis entre la población rural y la venta per cápita de chance</w:t>
      </w:r>
      <w:r w:rsidR="003821D0">
        <w:t>, y pese a ser tener una correlación considerable, el índice bivariado de Moran muestra una dependencia espacial negativa, además tampoco se observa algún patrón regional entre los municipios con alta ruralidad y baja venta de chance excepto en la zona del norte y el occidente del departamento identificado a través de los indicadores LISA</w:t>
      </w:r>
      <w:r w:rsidR="0092096B">
        <w:t>.</w:t>
      </w:r>
    </w:p>
    <w:p w:rsidRDefault="0092096B" w:rsidR="0092096B" w:rsidP="009C0949" w14:paraId="716D64BF" w14:textId="4292F25C">
      <w:pPr>
        <w:jc w:val="both"/>
      </w:pPr>
      <w:r>
        <w:t xml:space="preserve">Por </w:t>
      </w:r>
      <w:r w:rsidR="005D5A64">
        <w:t>ende,</w:t>
      </w:r>
      <w:r>
        <w:t xml:space="preserve"> se puede descartar la hipotesis de que no compran chance porque no tienen acceso a este debido a su alta ruralidad. </w:t>
      </w:r>
    </w:p>
    <w:p w:rsidRPr="008D22B8" w:rsidRDefault="005D5A64" w:rsidR="005D5A64" w:rsidP="005D5A64" w14:paraId="3A81182C" w14:textId="210035B5">
      <w:pPr>
        <w:spacing w:after="0"/>
        <w:jc w:val="center"/>
        <w:rPr>
          <w:b/>
          <w:bCs/>
          <w:sz w:val="16"/>
          <w:szCs w:val="16"/>
        </w:rPr>
      </w:pPr>
      <w:r w:rsidRPr="008D22B8">
        <w:rPr>
          <w:b/>
          <w:bCs/>
          <w:sz w:val="16"/>
          <w:szCs w:val="16"/>
        </w:rPr>
        <w:t xml:space="preserve">Figura </w:t>
      </w:r>
      <w:r>
        <w:rPr>
          <w:b/>
          <w:bCs/>
          <w:sz w:val="16"/>
          <w:szCs w:val="16"/>
        </w:rPr>
        <w:t>7</w:t>
      </w:r>
      <w:r w:rsidRPr="008D22B8">
        <w:rPr>
          <w:b/>
          <w:bCs/>
          <w:sz w:val="16"/>
          <w:szCs w:val="16"/>
        </w:rPr>
        <w:t>: Mapa coroplético</w:t>
      </w:r>
      <w:r>
        <w:rPr>
          <w:b/>
          <w:bCs/>
          <w:sz w:val="16"/>
          <w:szCs w:val="16"/>
        </w:rPr>
        <w:t>, índice bivariado de Moran</w:t>
      </w:r>
      <w:r w:rsidRPr="008D22B8">
        <w:rPr>
          <w:b/>
          <w:bCs/>
          <w:sz w:val="16"/>
          <w:szCs w:val="16"/>
        </w:rPr>
        <w:t xml:space="preserve"> de ventas</w:t>
      </w:r>
      <w:r>
        <w:rPr>
          <w:b/>
          <w:bCs/>
          <w:sz w:val="16"/>
          <w:szCs w:val="16"/>
        </w:rPr>
        <w:t xml:space="preserve"> y LISA</w:t>
      </w:r>
      <w:r w:rsidRPr="008D22B8">
        <w:rPr>
          <w:b/>
          <w:bCs/>
          <w:sz w:val="16"/>
          <w:szCs w:val="16"/>
        </w:rPr>
        <w:t xml:space="preserve"> por chance per cápita y el NBI en Antioquia en 2018</w:t>
      </w:r>
    </w:p>
    <w:tbl>
      <w:tblPr>
        <w:tblStyle w:val="Tablaconcuadrcula"/>
        <w:tblW w:w="8828" w:type="dxa"/>
        <w:tblLook w:firstRow="1" w:firstColumn="1" w:noHBand="0" w:val="04A0" w:lastRow="0" w:lastColumn="0" w:noVBand="1"/>
      </w:tblPr>
      <w:tblGrid>
        <w:gridCol w:w="4426"/>
        <w:gridCol w:w="2467"/>
        <w:gridCol w:w="1935"/>
      </w:tblGrid>
      <w:tr w:rsidTr="005D5A64" w:rsidR="003821D0" w14:paraId="1AD18D46" w14:textId="65F87BBF">
        <w:tc>
          <w:tcPr>
            <w:tcW w:w="4425" w:type="dxa"/>
          </w:tcPr>
          <w:p w:rsidRDefault="003821D0" w:rsidR="003821D0" w:rsidP="009C0949" w14:paraId="716D64ED" w14:textId="5058D79A">
            <w:pPr>
              <w:jc w:val="both"/>
            </w:pPr>
            <w:r>
              <w:t>Correlación: -0.53</w:t>
            </w:r>
          </w:p>
        </w:tc>
        <w:tc>
          <w:tcPr>
            <w:tcW w:w="2488" w:type="dxa"/>
          </w:tcPr>
          <w:p w:rsidRDefault="003821D0" w:rsidR="003821D0" w:rsidP="009C0949" w14:paraId="0CC5C98B" w14:textId="7D2AEB39">
            <w:pPr>
              <w:jc w:val="both"/>
            </w:pPr>
            <w:r>
              <w:t xml:space="preserve">Índice BV Moran: </w:t>
            </w:r>
            <w:r w:rsidRPr="003821D0">
              <w:t>-0.161</w:t>
            </w:r>
            <w:r>
              <w:t xml:space="preserve"> </w:t>
            </w:r>
            <w:r w:rsidRPr="003821D0">
              <w:t xml:space="preserve"> </w:t>
            </w:r>
          </w:p>
        </w:tc>
        <w:tc>
          <w:tcPr>
            <w:tcW w:w="1915" w:type="dxa"/>
          </w:tcPr>
          <w:p w:rsidRDefault="003821D0" w:rsidR="003821D0" w:rsidP="003821D0" w14:paraId="08B02F93" w14:textId="728EF2D3">
            <w:pPr>
              <w:jc w:val="both"/>
            </w:pPr>
            <w:r w:rsidRPr="003821D0">
              <w:t>p-valor:  0.001</w:t>
            </w:r>
          </w:p>
        </w:tc>
      </w:tr>
      <w:tr w:rsidTr="005D5A64" w:rsidR="003821D0" w14:paraId="7CD3C559" w14:textId="61C9A50B">
        <w:tc>
          <w:tcPr>
            <w:tcW w:w="4425" w:type="dxa"/>
          </w:tcPr>
          <w:p w:rsidRDefault="003821D0" w:rsidR="003821D0" w:rsidP="00E22915" w14:paraId="74257D9C" w14:textId="5093BD37">
            <w:pPr>
              <w:jc w:val="center"/>
            </w:pPr>
            <w:r>
              <w:rPr>
                <w:noProof/>
              </w:rPr>
              <w:drawing>
                <wp:inline distL="0" wp14:anchorId="68B1CFF1" distT="0" distB="0" distR="0" wp14:editId="61780C6F">
                  <wp:extent cx="2743200" cy="2110940"/>
                  <wp:effectExtent r="0" b="3810" t="0" l="0"/>
                  <wp:docPr name="Imagen 4" i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8" id="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6345" cy="2136445"/>
                          </a:xfrm>
                          <a:prstGeom prst="rect">
                            <a:avLst/>
                          </a:prstGeom>
                          <a:noFill/>
                          <a:ln>
                            <a:noFill/>
                          </a:ln>
                        </pic:spPr>
                      </pic:pic>
                    </a:graphicData>
                  </a:graphic>
                </wp:inline>
              </w:drawing>
            </w:r>
          </w:p>
        </w:tc>
        <w:tc>
          <w:tcPr>
            <w:tcW w:w="4403" w:type="dxa"/>
            <w:gridSpan w:val="2"/>
          </w:tcPr>
          <w:p w:rsidRDefault="003821D0" w:rsidR="003821D0" w:rsidP="00E22915" w14:paraId="0FCD92A2" w14:textId="7AC91D4D">
            <w:pPr>
              <w:jc w:val="right"/>
            </w:pPr>
            <w:r>
              <w:rPr>
                <w:noProof/>
              </w:rPr>
              <w:drawing>
                <wp:inline distL="0" wp14:anchorId="7DF8DF39" distT="0" distB="0" distR="0" wp14:editId="00E6C5A7">
                  <wp:extent cx="2717357" cy="2091055"/>
                  <wp:effectExtent r="6985" b="4445" t="0" l="0"/>
                  <wp:docPr name="Imagen 3" i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6" id="0"/>
                          <pic:cNvPicPr>
                            <a:picLocks noChangeAspect="1" noChangeArrowheads="1"/>
                          </pic:cNvPicPr>
                        </pic:nvPicPr>
                        <pic:blipFill>
                          <a:blip cstate="print" r:embed="rId23">
                            <a:extLst>
                              <a:ext uri="{28A0092B-C50C-407E-A947-70E740481C1C}">
                                <a14:useLocalDpi xmlns:a14="http://schemas.microsoft.com/office/drawing/2010/main" val="0"/>
                              </a:ext>
                            </a:extLst>
                          </a:blip>
                          <a:srcRect/>
                          <a:stretch>
                            <a:fillRect/>
                          </a:stretch>
                        </pic:blipFill>
                        <pic:spPr bwMode="auto">
                          <a:xfrm>
                            <a:off x="0" y="0"/>
                            <a:ext cx="2723778" cy="2095996"/>
                          </a:xfrm>
                          <a:prstGeom prst="rect">
                            <a:avLst/>
                          </a:prstGeom>
                          <a:noFill/>
                          <a:ln>
                            <a:noFill/>
                          </a:ln>
                        </pic:spPr>
                      </pic:pic>
                    </a:graphicData>
                  </a:graphic>
                </wp:inline>
              </w:drawing>
            </w:r>
          </w:p>
        </w:tc>
      </w:tr>
      <w:tr w:rsidTr="005D5A64" w:rsidR="003821D0" w14:paraId="25D06D62" w14:textId="77777777">
        <w:tc>
          <w:tcPr>
            <w:tcW w:w="4425" w:type="dxa"/>
          </w:tcPr>
          <w:p w:rsidRDefault="003821D0" w:rsidR="00E22915" w:rsidP="003821D0" w14:paraId="6346D254" w14:textId="65A369AB">
            <w:pPr>
              <w:jc w:val="center"/>
            </w:pPr>
            <w:r>
              <w:rPr>
                <w:noProof/>
              </w:rPr>
              <w:lastRenderedPageBreak/>
              <w:drawing>
                <wp:inline distL="0" wp14:anchorId="6D6854EC" distT="0" distB="0" distR="0" wp14:editId="4401AD32">
                  <wp:extent cx="2478316" cy="2741627"/>
                  <wp:effectExtent r="0" b="1905" t="0" l="0"/>
                  <wp:docPr name="Imagen 5" 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10" id="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5437" cy="2760567"/>
                          </a:xfrm>
                          <a:prstGeom prst="rect">
                            <a:avLst/>
                          </a:prstGeom>
                          <a:noFill/>
                          <a:ln>
                            <a:noFill/>
                          </a:ln>
                        </pic:spPr>
                      </pic:pic>
                    </a:graphicData>
                  </a:graphic>
                </wp:inline>
              </w:drawing>
            </w:r>
          </w:p>
        </w:tc>
        <w:tc>
          <w:tcPr>
            <w:tcW w:w="4403" w:type="dxa"/>
            <w:gridSpan w:val="2"/>
          </w:tcPr>
          <w:p w:rsidRDefault="003821D0" w:rsidR="00E22915" w:rsidP="003821D0" w14:paraId="2EFFC90B" w14:textId="7733C8D1">
            <w:pPr>
              <w:jc w:val="center"/>
            </w:pPr>
            <w:r>
              <w:rPr>
                <w:noProof/>
              </w:rPr>
              <w:drawing>
                <wp:inline distL="0" wp14:anchorId="48C11F16" distT="0" distB="0" distR="0" wp14:editId="6DE28CFA">
                  <wp:extent cx="2488758" cy="2753178"/>
                  <wp:effectExtent r="6985" b="9525" t="0" l="0"/>
                  <wp:docPr name="Imagen 7" i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17" id="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4298" cy="2792493"/>
                          </a:xfrm>
                          <a:prstGeom prst="rect">
                            <a:avLst/>
                          </a:prstGeom>
                          <a:noFill/>
                          <a:ln>
                            <a:noFill/>
                          </a:ln>
                        </pic:spPr>
                      </pic:pic>
                    </a:graphicData>
                  </a:graphic>
                </wp:inline>
              </w:drawing>
            </w:r>
          </w:p>
        </w:tc>
      </w:tr>
      <w:tr w:rsidTr="003821D0" w:rsidR="003821D0" w14:paraId="7FC5B364" w14:textId="77777777">
        <w:tc>
          <w:tcPr>
            <w:tcW w:w="8828" w:type="dxa"/>
            <w:gridSpan w:val="3"/>
            <w:vAlign w:val="center"/>
          </w:tcPr>
          <w:p w:rsidRPr="008D22B8" w:rsidRDefault="00E72BF9" w:rsidR="003821D0" w:rsidP="0057263B" w14:paraId="58CB0683" w14:textId="5F30C28C">
            <w:pPr>
              <w:jc w:val="center"/>
              <w:rPr>
                <w:i/>
                <w:iCs/>
                <w:noProof/>
                <w:sz w:val="16"/>
                <w:szCs w:val="16"/>
              </w:rPr>
            </w:pPr>
            <w:r>
              <w:rPr>
                <w:i/>
                <w:iCs/>
                <w:noProof/>
                <w:sz w:val="16"/>
                <w:szCs w:val="16"/>
              </w:rPr>
              <w:drawing>
                <wp:inline distL="0" wp14:anchorId="13B0A3B5" distT="0" distB="0" distR="0" wp14:editId="743791FD">
                  <wp:extent cx="3228230" cy="3539072"/>
                  <wp:effectExtent r="0" b="4445" t="0" l="0"/>
                  <wp:docPr name="Imagen 87" id="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87" id="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4343" cy="3545773"/>
                          </a:xfrm>
                          <a:prstGeom prst="rect">
                            <a:avLst/>
                          </a:prstGeom>
                          <a:noFill/>
                          <a:ln>
                            <a:noFill/>
                          </a:ln>
                        </pic:spPr>
                      </pic:pic>
                    </a:graphicData>
                  </a:graphic>
                </wp:inline>
              </w:drawing>
            </w:r>
          </w:p>
        </w:tc>
      </w:tr>
      <w:tr w:rsidTr="003821D0" w:rsidR="00E22915" w14:paraId="5DCBBA00" w14:textId="77777777">
        <w:tc>
          <w:tcPr>
            <w:tcW w:w="8828" w:type="dxa"/>
            <w:gridSpan w:val="3"/>
            <w:vAlign w:val="center"/>
          </w:tcPr>
          <w:p w:rsidRPr="008D22B8" w:rsidRDefault="00E22915" w:rsidR="00E22915" w:rsidP="0057263B" w14:paraId="062D290C" w14:textId="77777777">
            <w:pPr>
              <w:jc w:val="center"/>
              <w:rPr>
                <w:i/>
                <w:iCs/>
                <w:noProof/>
                <w:sz w:val="16"/>
                <w:szCs w:val="16"/>
              </w:rPr>
            </w:pPr>
            <w:r w:rsidRPr="008D22B8">
              <w:rPr>
                <w:i/>
                <w:iCs/>
                <w:noProof/>
                <w:sz w:val="16"/>
                <w:szCs w:val="16"/>
              </w:rPr>
              <w:t>Fuente: Elaboración propia.</w:t>
            </w:r>
          </w:p>
          <w:p w:rsidRDefault="00E22915" w:rsidR="00E22915" w:rsidP="0057263B" w14:paraId="0D8C6357" w14:textId="47AF0E15">
            <w:pPr>
              <w:jc w:val="center"/>
              <w:rPr>
                <w:noProof/>
              </w:rPr>
            </w:pPr>
            <w:r w:rsidRPr="008D22B8">
              <w:rPr>
                <w:i/>
                <w:iCs/>
                <w:noProof/>
                <w:sz w:val="16"/>
                <w:szCs w:val="16"/>
              </w:rPr>
              <w:t>Datos: Ventas chance</w:t>
            </w:r>
            <w:r>
              <w:rPr>
                <w:i/>
                <w:iCs/>
                <w:noProof/>
                <w:sz w:val="16"/>
                <w:szCs w:val="16"/>
              </w:rPr>
              <w:t>,</w:t>
            </w:r>
            <w:r w:rsidRPr="008D22B8">
              <w:rPr>
                <w:i/>
                <w:iCs/>
                <w:noProof/>
                <w:sz w:val="16"/>
                <w:szCs w:val="16"/>
              </w:rPr>
              <w:t xml:space="preserve"> Grupo Réditos 2018 &amp; </w:t>
            </w:r>
            <w:r w:rsidR="00F37C64">
              <w:rPr>
                <w:i/>
                <w:iCs/>
                <w:noProof/>
                <w:sz w:val="16"/>
                <w:szCs w:val="16"/>
              </w:rPr>
              <w:t>Población Rural</w:t>
            </w:r>
            <w:r w:rsidRPr="008D22B8">
              <w:rPr>
                <w:i/>
                <w:iCs/>
                <w:noProof/>
                <w:sz w:val="16"/>
                <w:szCs w:val="16"/>
              </w:rPr>
              <w:t xml:space="preserve"> 2018</w:t>
            </w:r>
            <w:r>
              <w:rPr>
                <w:i/>
                <w:iCs/>
                <w:noProof/>
                <w:sz w:val="16"/>
                <w:szCs w:val="16"/>
              </w:rPr>
              <w:t>,</w:t>
            </w:r>
            <w:r w:rsidRPr="008D22B8">
              <w:rPr>
                <w:i/>
                <w:iCs/>
                <w:noProof/>
                <w:sz w:val="16"/>
                <w:szCs w:val="16"/>
              </w:rPr>
              <w:t xml:space="preserve"> </w:t>
            </w:r>
            <w:r w:rsidRPr="00461898" w:rsidR="00461898">
              <w:rPr>
                <w:i/>
                <w:iCs/>
                <w:noProof/>
                <w:sz w:val="16"/>
                <w:szCs w:val="16"/>
              </w:rPr>
              <w:t xml:space="preserve">Censo Nacional de Población y Vivienda </w:t>
            </w:r>
            <w:r w:rsidR="00461898">
              <w:rPr>
                <w:i/>
                <w:iCs/>
                <w:noProof/>
                <w:sz w:val="16"/>
                <w:szCs w:val="16"/>
              </w:rPr>
              <w:t>–</w:t>
            </w:r>
            <w:r w:rsidRPr="00461898" w:rsidR="00461898">
              <w:rPr>
                <w:i/>
                <w:iCs/>
                <w:noProof/>
                <w:sz w:val="16"/>
                <w:szCs w:val="16"/>
              </w:rPr>
              <w:t xml:space="preserve"> CNPV</w:t>
            </w:r>
            <w:r w:rsidR="00461898">
              <w:rPr>
                <w:i/>
                <w:iCs/>
                <w:noProof/>
                <w:sz w:val="16"/>
                <w:szCs w:val="16"/>
              </w:rPr>
              <w:t>, DANE</w:t>
            </w:r>
            <w:r w:rsidRPr="00461898" w:rsidR="00461898">
              <w:rPr>
                <w:i/>
                <w:iCs/>
                <w:noProof/>
                <w:sz w:val="16"/>
                <w:szCs w:val="16"/>
              </w:rPr>
              <w:t xml:space="preserve"> 2018</w:t>
            </w:r>
            <w:r>
              <w:rPr>
                <w:i/>
                <w:iCs/>
                <w:noProof/>
                <w:sz w:val="16"/>
                <w:szCs w:val="16"/>
              </w:rPr>
              <w:t>.</w:t>
            </w:r>
          </w:p>
        </w:tc>
      </w:tr>
    </w:tbl>
    <w:p w:rsidRPr="00594558" w:rsidRDefault="005D5A64" w:rsidR="005D5A64" w:rsidP="005D5A64" w14:paraId="30DF104F" w14:textId="596A3176">
      <w:pPr>
        <w:pStyle w:val="Ttulo3"/>
        <w:rPr>
          <w:color w:val="002060"/>
        </w:rPr>
      </w:pPr>
      <w:r>
        <w:rPr>
          <w:color w:val="002060"/>
        </w:rPr>
        <w:t>Insatisfacción de necesidades les limita su apetito de comprar</w:t>
      </w:r>
    </w:p>
    <w:p w:rsidRDefault="005D5A64" w:rsidR="00F70FA5" w:rsidP="009C0949" w14:paraId="5439889F" w14:textId="62925F37">
      <w:pPr>
        <w:jc w:val="both"/>
      </w:pPr>
      <w:r>
        <w:t>Se plantea la hipotesis de que, con motivo de su baja satisfacción de necesidades, cómo es con contar con servicios públicos básicos les limita su apetito por comprar chance puesto que sus preocupaciones están destinados a otros gastos de supervivencia, es decir, si no tienen cubierto mínimamente sus servicios públicos básicos, no tienen intención ni posibilidad de apostar.</w:t>
      </w:r>
    </w:p>
    <w:p w:rsidRDefault="005D5A64" w:rsidR="005D5A64" w:rsidP="009C0949" w14:paraId="0ECF0160" w14:textId="090C1194">
      <w:pPr>
        <w:jc w:val="both"/>
      </w:pPr>
      <w:r>
        <w:t>Por ende, en la figura 8, se analiza la relación entre la venta de chance y los servicios públicos de agua potable, alcantarillado, acueducto y energía eléctrica.</w:t>
      </w:r>
      <w:r w:rsidR="007B5F9C">
        <w:t xml:space="preserve"> En esta se evidencia una dependencia </w:t>
      </w:r>
      <w:r w:rsidR="007B5F9C">
        <w:lastRenderedPageBreak/>
        <w:t>espacial positiva en todos los servicios públicos, a la vez que una correlación positiva. Con este indicio se puede confirmar la hipotesis, y a medida que las personas tengan cubiertas sus necesidades básicas van a tener una mayor posibilidad de destinar sus recursos a otros gastos como el juego de azar. En general los índices LISA muestran una coincidencia en la Zona de Occidente, el Norte y un poco del Urabá y el Bajo Cauca en relación de bajas ventas y baja cobertura de servicios públicos y alta venta; y alta cobertura de servicios públicos en la Zona del Valle de Aburrá, la Zona cerca del Occidente y del Oriente. Sólo en la zona del Urabá baja, se observa un patrón diferente de baja cobertura de servicios públicos pero un comportamiento promedio de venta de chance.</w:t>
      </w:r>
    </w:p>
    <w:p w:rsidRPr="008D22B8" w:rsidRDefault="00F37C64" w:rsidR="00F37C64" w:rsidP="00F37C64" w14:paraId="42CA605B" w14:textId="6A46D32A">
      <w:pPr>
        <w:spacing w:after="0"/>
        <w:jc w:val="center"/>
        <w:rPr>
          <w:b/>
          <w:bCs/>
          <w:sz w:val="16"/>
          <w:szCs w:val="16"/>
        </w:rPr>
      </w:pPr>
      <w:r w:rsidRPr="008D22B8">
        <w:rPr>
          <w:b/>
          <w:bCs/>
          <w:sz w:val="16"/>
          <w:szCs w:val="16"/>
        </w:rPr>
        <w:t xml:space="preserve">Figura </w:t>
      </w:r>
      <w:r>
        <w:rPr>
          <w:b/>
          <w:bCs/>
          <w:sz w:val="16"/>
          <w:szCs w:val="16"/>
        </w:rPr>
        <w:t>8</w:t>
      </w:r>
      <w:r w:rsidRPr="008D22B8">
        <w:rPr>
          <w:b/>
          <w:bCs/>
          <w:sz w:val="16"/>
          <w:szCs w:val="16"/>
        </w:rPr>
        <w:t xml:space="preserve">: </w:t>
      </w:r>
      <w:r>
        <w:rPr>
          <w:b/>
          <w:bCs/>
          <w:sz w:val="16"/>
          <w:szCs w:val="16"/>
        </w:rPr>
        <w:t>índice bivariado de Moran</w:t>
      </w:r>
      <w:r w:rsidRPr="008D22B8">
        <w:rPr>
          <w:b/>
          <w:bCs/>
          <w:sz w:val="16"/>
          <w:szCs w:val="16"/>
        </w:rPr>
        <w:t xml:space="preserve"> de ventas</w:t>
      </w:r>
      <w:r>
        <w:rPr>
          <w:b/>
          <w:bCs/>
          <w:sz w:val="16"/>
          <w:szCs w:val="16"/>
        </w:rPr>
        <w:t xml:space="preserve"> y LISA</w:t>
      </w:r>
      <w:r w:rsidRPr="008D22B8">
        <w:rPr>
          <w:b/>
          <w:bCs/>
          <w:sz w:val="16"/>
          <w:szCs w:val="16"/>
        </w:rPr>
        <w:t xml:space="preserve"> por chance per cápita y </w:t>
      </w:r>
      <w:r>
        <w:rPr>
          <w:b/>
          <w:bCs/>
          <w:sz w:val="16"/>
          <w:szCs w:val="16"/>
        </w:rPr>
        <w:t xml:space="preserve">la cobertura de agua potable, alcantarillado, acueducto y energía eléctrica </w:t>
      </w:r>
      <w:r w:rsidRPr="008D22B8">
        <w:rPr>
          <w:b/>
          <w:bCs/>
          <w:sz w:val="16"/>
          <w:szCs w:val="16"/>
        </w:rPr>
        <w:t>en Antioquia en 2018</w:t>
      </w:r>
    </w:p>
    <w:tbl>
      <w:tblPr>
        <w:tblStyle w:val="Tablaconcuadrcula"/>
        <w:tblW w:w="8784" w:type="dxa"/>
        <w:tblLayout w:type="fixed"/>
        <w:tblLook w:firstRow="1" w:firstColumn="1" w:noHBand="0" w:val="04A0" w:lastRow="0" w:lastColumn="0" w:noVBand="1"/>
      </w:tblPr>
      <w:tblGrid>
        <w:gridCol w:w="2830"/>
        <w:gridCol w:w="3261"/>
        <w:gridCol w:w="2693"/>
      </w:tblGrid>
      <w:tr w:rsidTr="00CC1A15" w:rsidR="00F37C64" w14:paraId="7B5D8630" w14:textId="77777777">
        <w:tc>
          <w:tcPr>
            <w:tcW w:w="8784" w:type="dxa"/>
            <w:gridSpan w:val="3"/>
            <w:shd w:val="clear" w:color="auto" w:fill="002060"/>
            <w:vAlign w:val="center"/>
          </w:tcPr>
          <w:p w:rsidRPr="003821D0" w:rsidRDefault="00F37C64" w:rsidR="00F37C64" w:rsidP="009C3FC0" w14:paraId="61F7D2C4" w14:textId="4C4FA06A">
            <w:pPr>
              <w:jc w:val="center"/>
            </w:pPr>
            <w:r>
              <w:t>Cobertura de agua potable</w:t>
            </w:r>
          </w:p>
        </w:tc>
      </w:tr>
      <w:tr w:rsidTr="00CC1A15" w:rsidR="00F37C64" w14:paraId="2F718C32" w14:textId="162829C7">
        <w:tc>
          <w:tcPr>
            <w:tcW w:w="2830" w:type="dxa"/>
            <w:vAlign w:val="center"/>
          </w:tcPr>
          <w:p w:rsidRDefault="00F37C64" w:rsidR="00F37C64" w:rsidP="009C3FC0" w14:paraId="05AF7C0F" w14:textId="34F25EF9">
            <w:pPr>
              <w:jc w:val="center"/>
            </w:pPr>
            <w:r>
              <w:t>Correlación: 0.20</w:t>
            </w:r>
            <w:r w:rsidR="00461898">
              <w:t>8</w:t>
            </w:r>
          </w:p>
        </w:tc>
        <w:tc>
          <w:tcPr>
            <w:tcW w:w="3261" w:type="dxa"/>
            <w:vAlign w:val="center"/>
          </w:tcPr>
          <w:p w:rsidRDefault="00F37C64" w:rsidR="00F37C64" w:rsidP="009C3FC0" w14:paraId="3836F569" w14:textId="64DDD587">
            <w:pPr>
              <w:jc w:val="center"/>
            </w:pPr>
            <w:r>
              <w:t xml:space="preserve">Índice BV Moran: </w:t>
            </w:r>
            <w:r w:rsidRPr="00F37C64">
              <w:t>0.221</w:t>
            </w:r>
          </w:p>
        </w:tc>
        <w:tc>
          <w:tcPr>
            <w:tcW w:w="2693" w:type="dxa"/>
            <w:vAlign w:val="center"/>
          </w:tcPr>
          <w:p w:rsidRDefault="00F37C64" w:rsidR="00F37C64" w:rsidP="009C3FC0" w14:paraId="1DD7709E" w14:textId="746BA956">
            <w:pPr>
              <w:jc w:val="center"/>
            </w:pPr>
            <w:r w:rsidRPr="003821D0">
              <w:t>p-valor:  0.001</w:t>
            </w:r>
          </w:p>
        </w:tc>
      </w:tr>
      <w:tr w:rsidTr="00CC1A15" w:rsidR="00F37C64" w14:paraId="19D065DB" w14:textId="133A33AF">
        <w:tc>
          <w:tcPr>
            <w:tcW w:w="2830" w:type="dxa"/>
            <w:vAlign w:val="center"/>
          </w:tcPr>
          <w:p w:rsidRDefault="00F37C64" w:rsidR="00F37C64" w:rsidP="009C3FC0" w14:paraId="780315B7" w14:textId="2A5BE7D1">
            <w:pPr>
              <w:jc w:val="center"/>
            </w:pPr>
            <w:r>
              <w:rPr>
                <w:noProof/>
              </w:rPr>
              <w:drawing>
                <wp:inline distL="0" wp14:anchorId="0E3A4835" distT="0" distB="0" distR="0" wp14:editId="6EEF4B19">
                  <wp:extent cx="1534602" cy="1697653"/>
                  <wp:effectExtent r="8890" b="0" t="0" l="0"/>
                  <wp:docPr name="Imagen 24" i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1" id="0"/>
                          <pic:cNvPicPr>
                            <a:picLocks noChangeAspect="1" noChangeArrowheads="1"/>
                          </pic:cNvPicPr>
                        </pic:nvPicPr>
                        <pic:blipFill>
                          <a:blip cstate="print" r:embed="rId27">
                            <a:extLst>
                              <a:ext uri="{28A0092B-C50C-407E-A947-70E740481C1C}">
                                <a14:useLocalDpi xmlns:a14="http://schemas.microsoft.com/office/drawing/2010/main" val="0"/>
                              </a:ext>
                            </a:extLst>
                          </a:blip>
                          <a:srcRect/>
                          <a:stretch>
                            <a:fillRect/>
                          </a:stretch>
                        </pic:blipFill>
                        <pic:spPr bwMode="auto">
                          <a:xfrm>
                            <a:off x="0" y="0"/>
                            <a:ext cx="1554647" cy="1719828"/>
                          </a:xfrm>
                          <a:prstGeom prst="rect">
                            <a:avLst/>
                          </a:prstGeom>
                          <a:noFill/>
                          <a:ln>
                            <a:noFill/>
                          </a:ln>
                        </pic:spPr>
                      </pic:pic>
                    </a:graphicData>
                  </a:graphic>
                </wp:inline>
              </w:drawing>
            </w:r>
          </w:p>
        </w:tc>
        <w:tc>
          <w:tcPr>
            <w:tcW w:w="3261" w:type="dxa"/>
            <w:vAlign w:val="center"/>
          </w:tcPr>
          <w:p w:rsidRPr="003821D0" w:rsidRDefault="00F37C64" w:rsidR="00F37C64" w:rsidP="009C3FC0" w14:paraId="24382AD8" w14:textId="70B7F865">
            <w:pPr>
              <w:jc w:val="center"/>
            </w:pPr>
            <w:r>
              <w:rPr>
                <w:noProof/>
              </w:rPr>
              <w:drawing>
                <wp:inline distL="0" wp14:anchorId="645DFCDE" distT="0" distB="0" distR="0" wp14:editId="6D08CCFA">
                  <wp:extent cx="1688605" cy="1868091"/>
                  <wp:effectExtent r="6985" b="0" t="0" l="0"/>
                  <wp:docPr name="Imagen 25" id="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3" id="0"/>
                          <pic:cNvPicPr>
                            <a:picLocks noChangeAspect="1" noChangeArrowheads="1"/>
                          </pic:cNvPicPr>
                        </pic:nvPicPr>
                        <pic:blipFill>
                          <a:blip cstate="print" r:embed="rId28">
                            <a:extLst>
                              <a:ext uri="{28A0092B-C50C-407E-A947-70E740481C1C}">
                                <a14:useLocalDpi xmlns:a14="http://schemas.microsoft.com/office/drawing/2010/main" val="0"/>
                              </a:ext>
                            </a:extLst>
                          </a:blip>
                          <a:srcRect/>
                          <a:stretch>
                            <a:fillRect/>
                          </a:stretch>
                        </pic:blipFill>
                        <pic:spPr bwMode="auto">
                          <a:xfrm>
                            <a:off x="0" y="0"/>
                            <a:ext cx="1736699" cy="1921297"/>
                          </a:xfrm>
                          <a:prstGeom prst="rect">
                            <a:avLst/>
                          </a:prstGeom>
                          <a:noFill/>
                          <a:ln>
                            <a:noFill/>
                          </a:ln>
                        </pic:spPr>
                      </pic:pic>
                    </a:graphicData>
                  </a:graphic>
                </wp:inline>
              </w:drawing>
            </w:r>
          </w:p>
        </w:tc>
        <w:tc>
          <w:tcPr>
            <w:tcW w:w="2693" w:type="dxa"/>
            <w:vAlign w:val="center"/>
          </w:tcPr>
          <w:p w:rsidRPr="00F37C64" w:rsidRDefault="00461898" w:rsidR="00F37C64" w:rsidP="009C3FC0" w14:paraId="3ADD6E6F" w14:textId="07AB1057">
            <w:pPr>
              <w:jc w:val="center"/>
            </w:pPr>
            <w:r>
              <w:rPr>
                <w:noProof/>
              </w:rPr>
              <w:drawing>
                <wp:inline distL="0" wp14:anchorId="75FFBC62" distT="0" distB="0" distR="0" wp14:editId="53888CFC">
                  <wp:extent cx="1590261" cy="1743320"/>
                  <wp:effectExtent r="0" b="9525" t="0" l="0"/>
                  <wp:docPr name="Imagen 41" id="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38" id="0"/>
                          <pic:cNvPicPr>
                            <a:picLocks noChangeAspect="1" noChangeArrowheads="1"/>
                          </pic:cNvPicPr>
                        </pic:nvPicPr>
                        <pic:blipFill>
                          <a:blip cstate="print" r:embed="rId29">
                            <a:extLst>
                              <a:ext uri="{28A0092B-C50C-407E-A947-70E740481C1C}">
                                <a14:useLocalDpi xmlns:a14="http://schemas.microsoft.com/office/drawing/2010/main" val="0"/>
                              </a:ext>
                            </a:extLst>
                          </a:blip>
                          <a:srcRect/>
                          <a:stretch>
                            <a:fillRect/>
                          </a:stretch>
                        </pic:blipFill>
                        <pic:spPr bwMode="auto">
                          <a:xfrm>
                            <a:off x="0" y="0"/>
                            <a:ext cx="1594144" cy="1747577"/>
                          </a:xfrm>
                          <a:prstGeom prst="rect">
                            <a:avLst/>
                          </a:prstGeom>
                          <a:noFill/>
                          <a:ln>
                            <a:noFill/>
                          </a:ln>
                        </pic:spPr>
                      </pic:pic>
                    </a:graphicData>
                  </a:graphic>
                </wp:inline>
              </w:drawing>
            </w:r>
          </w:p>
        </w:tc>
      </w:tr>
      <w:tr w:rsidTr="00CC1A15" w:rsidR="00F37C64" w14:paraId="3A493EB9" w14:textId="77777777">
        <w:tc>
          <w:tcPr>
            <w:tcW w:w="8784" w:type="dxa"/>
            <w:gridSpan w:val="3"/>
            <w:shd w:val="clear" w:color="auto" w:fill="002060"/>
            <w:vAlign w:val="center"/>
          </w:tcPr>
          <w:p w:rsidRPr="003821D0" w:rsidRDefault="00F37C64" w:rsidR="00F37C64" w:rsidP="009C3FC0" w14:paraId="6E7C86B8" w14:textId="7472BB2C">
            <w:pPr>
              <w:jc w:val="center"/>
            </w:pPr>
            <w:r>
              <w:t>Cobertura de alcantarillado</w:t>
            </w:r>
          </w:p>
        </w:tc>
      </w:tr>
      <w:tr w:rsidTr="00CC1A15" w:rsidR="00F37C64" w14:paraId="2954290F" w14:textId="77777777">
        <w:tc>
          <w:tcPr>
            <w:tcW w:w="2830" w:type="dxa"/>
            <w:vAlign w:val="center"/>
          </w:tcPr>
          <w:p w:rsidRDefault="00F37C64" w:rsidR="00F37C64" w:rsidP="009C3FC0" w14:paraId="26F81F0B" w14:textId="1FDE79C6">
            <w:pPr>
              <w:jc w:val="center"/>
            </w:pPr>
            <w:r>
              <w:t>Correlación: 0.2</w:t>
            </w:r>
            <w:r w:rsidR="00461898">
              <w:t>24</w:t>
            </w:r>
          </w:p>
        </w:tc>
        <w:tc>
          <w:tcPr>
            <w:tcW w:w="3261" w:type="dxa"/>
            <w:vAlign w:val="center"/>
          </w:tcPr>
          <w:p w:rsidRDefault="00F37C64" w:rsidR="00F37C64" w:rsidP="009C3FC0" w14:paraId="17CBA8B0" w14:textId="4E2B2761">
            <w:pPr>
              <w:jc w:val="center"/>
            </w:pPr>
            <w:r>
              <w:t xml:space="preserve">Índice BV Moran: </w:t>
            </w:r>
            <w:r w:rsidRPr="00F37C64">
              <w:t>0.</w:t>
            </w:r>
            <w:r w:rsidR="00461898">
              <w:t>26</w:t>
            </w:r>
          </w:p>
        </w:tc>
        <w:tc>
          <w:tcPr>
            <w:tcW w:w="2693" w:type="dxa"/>
            <w:vAlign w:val="center"/>
          </w:tcPr>
          <w:p w:rsidRDefault="00F37C64" w:rsidR="00F37C64" w:rsidP="009C3FC0" w14:paraId="7B132A8C" w14:textId="77777777">
            <w:pPr>
              <w:jc w:val="center"/>
            </w:pPr>
            <w:r w:rsidRPr="003821D0">
              <w:t>p-valor:  0.001</w:t>
            </w:r>
          </w:p>
        </w:tc>
      </w:tr>
      <w:tr w:rsidTr="00CC1A15" w:rsidR="00F37C64" w14:paraId="02EAF93E" w14:textId="77777777">
        <w:tc>
          <w:tcPr>
            <w:tcW w:w="2830" w:type="dxa"/>
            <w:vAlign w:val="center"/>
          </w:tcPr>
          <w:p w:rsidRDefault="00F37C64" w:rsidR="00F37C64" w:rsidP="009C3FC0" w14:paraId="1CB7E304" w14:textId="77777777">
            <w:pPr>
              <w:jc w:val="center"/>
            </w:pPr>
            <w:r>
              <w:rPr>
                <w:noProof/>
              </w:rPr>
              <w:drawing>
                <wp:inline distL="0" wp14:anchorId="0B6874CD" distT="0" distB="0" distR="0" wp14:editId="2AA55ABA">
                  <wp:extent cx="1671226" cy="1848793"/>
                  <wp:effectExtent r="5715" b="0" t="0" l="0"/>
                  <wp:docPr name="Imagen 28" i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1" id="0"/>
                          <pic:cNvPicPr>
                            <a:picLocks noChangeAspect="1" noChangeArrowheads="1"/>
                          </pic:cNvPicPr>
                        </pic:nvPicPr>
                        <pic:blipFill>
                          <a:blip cstate="print" r:embed="rId30">
                            <a:extLst>
                              <a:ext uri="{28A0092B-C50C-407E-A947-70E740481C1C}">
                                <a14:useLocalDpi xmlns:a14="http://schemas.microsoft.com/office/drawing/2010/main" val="0"/>
                              </a:ext>
                            </a:extLst>
                          </a:blip>
                          <a:srcRect/>
                          <a:stretch>
                            <a:fillRect/>
                          </a:stretch>
                        </pic:blipFill>
                        <pic:spPr bwMode="auto">
                          <a:xfrm>
                            <a:off x="0" y="0"/>
                            <a:ext cx="1677232" cy="1855437"/>
                          </a:xfrm>
                          <a:prstGeom prst="rect">
                            <a:avLst/>
                          </a:prstGeom>
                          <a:noFill/>
                          <a:ln>
                            <a:noFill/>
                          </a:ln>
                        </pic:spPr>
                      </pic:pic>
                    </a:graphicData>
                  </a:graphic>
                </wp:inline>
              </w:drawing>
            </w:r>
          </w:p>
        </w:tc>
        <w:tc>
          <w:tcPr>
            <w:tcW w:w="3261" w:type="dxa"/>
            <w:vAlign w:val="center"/>
          </w:tcPr>
          <w:p w:rsidRPr="003821D0" w:rsidRDefault="00461898" w:rsidR="00F37C64" w:rsidP="009C3FC0" w14:paraId="558CDDA1" w14:textId="022FB6F2">
            <w:pPr>
              <w:jc w:val="center"/>
            </w:pPr>
            <w:r>
              <w:rPr>
                <w:noProof/>
              </w:rPr>
              <w:drawing>
                <wp:inline distL="0" wp14:anchorId="1071837F" distT="0" distB="0" distR="0" wp14:editId="16C2BE00">
                  <wp:extent cx="1681808" cy="1860304"/>
                  <wp:effectExtent r="0" b="6985" t="0" l="0"/>
                  <wp:docPr name="Imagen 37" id="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7" id="0"/>
                          <pic:cNvPicPr>
                            <a:picLocks noChangeAspect="1" noChangeArrowheads="1"/>
                          </pic:cNvPicPr>
                        </pic:nvPicPr>
                        <pic:blipFill>
                          <a:blip cstate="print" r:embed="rId31">
                            <a:extLst>
                              <a:ext uri="{28A0092B-C50C-407E-A947-70E740481C1C}">
                                <a14:useLocalDpi xmlns:a14="http://schemas.microsoft.com/office/drawing/2010/main" val="0"/>
                              </a:ext>
                            </a:extLst>
                          </a:blip>
                          <a:srcRect/>
                          <a:stretch>
                            <a:fillRect/>
                          </a:stretch>
                        </pic:blipFill>
                        <pic:spPr bwMode="auto">
                          <a:xfrm>
                            <a:off x="0" y="0"/>
                            <a:ext cx="1689641" cy="1868969"/>
                          </a:xfrm>
                          <a:prstGeom prst="rect">
                            <a:avLst/>
                          </a:prstGeom>
                          <a:noFill/>
                          <a:ln>
                            <a:noFill/>
                          </a:ln>
                        </pic:spPr>
                      </pic:pic>
                    </a:graphicData>
                  </a:graphic>
                </wp:inline>
              </w:drawing>
            </w:r>
          </w:p>
        </w:tc>
        <w:tc>
          <w:tcPr>
            <w:tcW w:w="2693" w:type="dxa"/>
            <w:vAlign w:val="center"/>
          </w:tcPr>
          <w:p w:rsidRPr="00F37C64" w:rsidRDefault="009C3FC0" w:rsidR="00F37C64" w:rsidP="009C3FC0" w14:paraId="181F46C7" w14:textId="667F3EED">
            <w:pPr>
              <w:jc w:val="center"/>
            </w:pPr>
            <w:r>
              <w:rPr>
                <w:noProof/>
              </w:rPr>
              <w:drawing>
                <wp:inline distL="0" wp14:anchorId="303D4B64" distT="0" distB="0" distR="0" wp14:editId="1E05292D">
                  <wp:extent cx="1645920" cy="1804334"/>
                  <wp:effectExtent r="0" b="5715" t="0" l="0"/>
                  <wp:docPr name="Imagen 42" id="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40" id="0"/>
                          <pic:cNvPicPr>
                            <a:picLocks noChangeAspect="1" noChangeArrowheads="1"/>
                          </pic:cNvPicPr>
                        </pic:nvPicPr>
                        <pic:blipFill>
                          <a:blip cstate="print" r:embed="rId32">
                            <a:extLst>
                              <a:ext uri="{28A0092B-C50C-407E-A947-70E740481C1C}">
                                <a14:useLocalDpi xmlns:a14="http://schemas.microsoft.com/office/drawing/2010/main" val="0"/>
                              </a:ext>
                            </a:extLst>
                          </a:blip>
                          <a:srcRect/>
                          <a:stretch>
                            <a:fillRect/>
                          </a:stretch>
                        </pic:blipFill>
                        <pic:spPr bwMode="auto">
                          <a:xfrm>
                            <a:off x="0" y="0"/>
                            <a:ext cx="1658333" cy="1817941"/>
                          </a:xfrm>
                          <a:prstGeom prst="rect">
                            <a:avLst/>
                          </a:prstGeom>
                          <a:noFill/>
                          <a:ln>
                            <a:noFill/>
                          </a:ln>
                        </pic:spPr>
                      </pic:pic>
                    </a:graphicData>
                  </a:graphic>
                </wp:inline>
              </w:drawing>
            </w:r>
          </w:p>
        </w:tc>
      </w:tr>
      <w:tr w:rsidTr="00CC1A15" w:rsidR="00F37C64" w14:paraId="158FF5B7" w14:textId="77777777">
        <w:tc>
          <w:tcPr>
            <w:tcW w:w="8784" w:type="dxa"/>
            <w:gridSpan w:val="3"/>
            <w:shd w:val="clear" w:color="auto" w:fill="002060"/>
            <w:vAlign w:val="center"/>
          </w:tcPr>
          <w:p w:rsidRPr="003821D0" w:rsidRDefault="00F37C64" w:rsidR="00F37C64" w:rsidP="009C3FC0" w14:paraId="1039D43E" w14:textId="6DCD53A8">
            <w:pPr>
              <w:jc w:val="center"/>
            </w:pPr>
            <w:r>
              <w:t>Cobertura de acueducto</w:t>
            </w:r>
          </w:p>
        </w:tc>
      </w:tr>
      <w:tr w:rsidTr="00CC1A15" w:rsidR="00F37C64" w14:paraId="2CA9F82F" w14:textId="77777777">
        <w:tc>
          <w:tcPr>
            <w:tcW w:w="2830" w:type="dxa"/>
            <w:vAlign w:val="center"/>
          </w:tcPr>
          <w:p w:rsidRDefault="00F37C64" w:rsidR="00F37C64" w:rsidP="009C3FC0" w14:paraId="4ED220E1" w14:textId="24D1CE27">
            <w:pPr>
              <w:jc w:val="center"/>
            </w:pPr>
            <w:r>
              <w:t>Correlación: 0.</w:t>
            </w:r>
            <w:r w:rsidR="00461898">
              <w:t>15</w:t>
            </w:r>
          </w:p>
        </w:tc>
        <w:tc>
          <w:tcPr>
            <w:tcW w:w="3261" w:type="dxa"/>
            <w:vAlign w:val="center"/>
          </w:tcPr>
          <w:p w:rsidRDefault="00F37C64" w:rsidR="00F37C64" w:rsidP="009C3FC0" w14:paraId="6E4448CD" w14:textId="352066D7">
            <w:pPr>
              <w:jc w:val="center"/>
            </w:pPr>
            <w:r>
              <w:t xml:space="preserve">Índice BV Moran: </w:t>
            </w:r>
            <w:r w:rsidRPr="00F37C64">
              <w:t>0.</w:t>
            </w:r>
            <w:r w:rsidR="00461898">
              <w:t>256</w:t>
            </w:r>
          </w:p>
        </w:tc>
        <w:tc>
          <w:tcPr>
            <w:tcW w:w="2693" w:type="dxa"/>
            <w:vAlign w:val="center"/>
          </w:tcPr>
          <w:p w:rsidRDefault="00F37C64" w:rsidR="00F37C64" w:rsidP="009C3FC0" w14:paraId="4CA9E459" w14:textId="77777777">
            <w:pPr>
              <w:jc w:val="center"/>
            </w:pPr>
            <w:r w:rsidRPr="003821D0">
              <w:t>p-valor:  0.001</w:t>
            </w:r>
          </w:p>
        </w:tc>
      </w:tr>
      <w:tr w:rsidTr="00CC1A15" w:rsidR="00F37C64" w14:paraId="15C8CF95" w14:textId="77777777">
        <w:tc>
          <w:tcPr>
            <w:tcW w:w="2830" w:type="dxa"/>
            <w:vAlign w:val="center"/>
          </w:tcPr>
          <w:p w:rsidRDefault="00F37C64" w:rsidR="00F37C64" w:rsidP="009C3FC0" w14:paraId="0FA2F25A" w14:textId="77777777">
            <w:pPr>
              <w:jc w:val="center"/>
            </w:pPr>
            <w:r>
              <w:rPr>
                <w:noProof/>
              </w:rPr>
              <w:lastRenderedPageBreak/>
              <w:drawing>
                <wp:inline distL="0" wp14:anchorId="53D050C8" distT="0" distB="0" distR="0" wp14:editId="1CF5940D">
                  <wp:extent cx="1637969" cy="1812003"/>
                  <wp:effectExtent r="635" b="0" t="0" l="0"/>
                  <wp:docPr name="Imagen 31" id="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1" id="0"/>
                          <pic:cNvPicPr>
                            <a:picLocks noChangeAspect="1" noChangeArrowheads="1"/>
                          </pic:cNvPicPr>
                        </pic:nvPicPr>
                        <pic:blipFill>
                          <a:blip cstate="print" r:embed="rId33">
                            <a:extLst>
                              <a:ext uri="{28A0092B-C50C-407E-A947-70E740481C1C}">
                                <a14:useLocalDpi xmlns:a14="http://schemas.microsoft.com/office/drawing/2010/main" val="0"/>
                              </a:ext>
                            </a:extLst>
                          </a:blip>
                          <a:srcRect/>
                          <a:stretch>
                            <a:fillRect/>
                          </a:stretch>
                        </pic:blipFill>
                        <pic:spPr bwMode="auto">
                          <a:xfrm>
                            <a:off x="0" y="0"/>
                            <a:ext cx="1664558" cy="1841417"/>
                          </a:xfrm>
                          <a:prstGeom prst="rect">
                            <a:avLst/>
                          </a:prstGeom>
                          <a:noFill/>
                          <a:ln>
                            <a:noFill/>
                          </a:ln>
                        </pic:spPr>
                      </pic:pic>
                    </a:graphicData>
                  </a:graphic>
                </wp:inline>
              </w:drawing>
            </w:r>
          </w:p>
        </w:tc>
        <w:tc>
          <w:tcPr>
            <w:tcW w:w="3261" w:type="dxa"/>
            <w:vAlign w:val="center"/>
          </w:tcPr>
          <w:p w:rsidRPr="003821D0" w:rsidRDefault="00461898" w:rsidR="00F37C64" w:rsidP="009C3FC0" w14:paraId="793820E9" w14:textId="2F618CB8">
            <w:pPr>
              <w:jc w:val="center"/>
            </w:pPr>
            <w:r>
              <w:rPr>
                <w:noProof/>
              </w:rPr>
              <w:drawing>
                <wp:inline distL="0" wp14:anchorId="0D12E91B" distT="0" distB="0" distR="0" wp14:editId="426F4784">
                  <wp:extent cx="1676906" cy="1854882"/>
                  <wp:effectExtent r="0" b="0" t="0" l="0"/>
                  <wp:docPr name="Imagen 38" id="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9" id="0"/>
                          <pic:cNvPicPr>
                            <a:picLocks noChangeAspect="1" noChangeArrowheads="1"/>
                          </pic:cNvPicPr>
                        </pic:nvPicPr>
                        <pic:blipFill>
                          <a:blip cstate="print" r:embed="rId34">
                            <a:extLst>
                              <a:ext uri="{28A0092B-C50C-407E-A947-70E740481C1C}">
                                <a14:useLocalDpi xmlns:a14="http://schemas.microsoft.com/office/drawing/2010/main" val="0"/>
                              </a:ext>
                            </a:extLst>
                          </a:blip>
                          <a:srcRect/>
                          <a:stretch>
                            <a:fillRect/>
                          </a:stretch>
                        </pic:blipFill>
                        <pic:spPr bwMode="auto">
                          <a:xfrm>
                            <a:off x="0" y="0"/>
                            <a:ext cx="1684128" cy="1862871"/>
                          </a:xfrm>
                          <a:prstGeom prst="rect">
                            <a:avLst/>
                          </a:prstGeom>
                          <a:noFill/>
                          <a:ln>
                            <a:noFill/>
                          </a:ln>
                        </pic:spPr>
                      </pic:pic>
                    </a:graphicData>
                  </a:graphic>
                </wp:inline>
              </w:drawing>
            </w:r>
          </w:p>
        </w:tc>
        <w:tc>
          <w:tcPr>
            <w:tcW w:w="2693" w:type="dxa"/>
            <w:vAlign w:val="center"/>
          </w:tcPr>
          <w:p w:rsidRPr="00F37C64" w:rsidRDefault="009C3FC0" w:rsidR="00F37C64" w:rsidP="009C3FC0" w14:paraId="79539004" w14:textId="1791CC83">
            <w:pPr>
              <w:jc w:val="center"/>
            </w:pPr>
            <w:r>
              <w:rPr>
                <w:noProof/>
              </w:rPr>
              <w:drawing>
                <wp:inline distL="0" wp14:anchorId="6D5ECCCC" distT="0" distB="0" distR="0" wp14:editId="069204C2">
                  <wp:extent cx="1634025" cy="1791297"/>
                  <wp:effectExtent r="4445" b="0" t="0" l="0"/>
                  <wp:docPr name="Imagen 43" id="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42" id="0"/>
                          <pic:cNvPicPr>
                            <a:picLocks noChangeAspect="1" noChangeArrowheads="1"/>
                          </pic:cNvPicPr>
                        </pic:nvPicPr>
                        <pic:blipFill>
                          <a:blip cstate="print" r:embed="rId35">
                            <a:extLst>
                              <a:ext uri="{28A0092B-C50C-407E-A947-70E740481C1C}">
                                <a14:useLocalDpi xmlns:a14="http://schemas.microsoft.com/office/drawing/2010/main" val="0"/>
                              </a:ext>
                            </a:extLst>
                          </a:blip>
                          <a:srcRect/>
                          <a:stretch>
                            <a:fillRect/>
                          </a:stretch>
                        </pic:blipFill>
                        <pic:spPr bwMode="auto">
                          <a:xfrm>
                            <a:off x="0" y="0"/>
                            <a:ext cx="1638705" cy="1796428"/>
                          </a:xfrm>
                          <a:prstGeom prst="rect">
                            <a:avLst/>
                          </a:prstGeom>
                          <a:noFill/>
                          <a:ln>
                            <a:noFill/>
                          </a:ln>
                        </pic:spPr>
                      </pic:pic>
                    </a:graphicData>
                  </a:graphic>
                </wp:inline>
              </w:drawing>
            </w:r>
          </w:p>
        </w:tc>
      </w:tr>
      <w:tr w:rsidTr="00CC1A15" w:rsidR="00F37C64" w14:paraId="6D5B99BA" w14:textId="77777777">
        <w:tc>
          <w:tcPr>
            <w:tcW w:w="8784" w:type="dxa"/>
            <w:gridSpan w:val="3"/>
            <w:shd w:val="clear" w:color="auto" w:fill="002060"/>
            <w:vAlign w:val="center"/>
          </w:tcPr>
          <w:p w:rsidRPr="003821D0" w:rsidRDefault="00F37C64" w:rsidR="00F37C64" w:rsidP="009C3FC0" w14:paraId="54982F4E" w14:textId="1D769D5D">
            <w:pPr>
              <w:jc w:val="center"/>
            </w:pPr>
            <w:r>
              <w:t>Cobertura de energía eléctrica</w:t>
            </w:r>
          </w:p>
        </w:tc>
      </w:tr>
      <w:tr w:rsidTr="00CC1A15" w:rsidR="00F37C64" w14:paraId="0798E856" w14:textId="77777777">
        <w:tc>
          <w:tcPr>
            <w:tcW w:w="2830" w:type="dxa"/>
            <w:vAlign w:val="center"/>
          </w:tcPr>
          <w:p w:rsidRDefault="00F37C64" w:rsidR="00F37C64" w:rsidP="009C3FC0" w14:paraId="6E255EF7" w14:textId="6A71A4F2">
            <w:pPr>
              <w:jc w:val="center"/>
            </w:pPr>
            <w:r>
              <w:t xml:space="preserve">Correlación: </w:t>
            </w:r>
            <w:r w:rsidR="00461898">
              <w:t>0.08</w:t>
            </w:r>
          </w:p>
        </w:tc>
        <w:tc>
          <w:tcPr>
            <w:tcW w:w="3261" w:type="dxa"/>
            <w:vAlign w:val="center"/>
          </w:tcPr>
          <w:p w:rsidRDefault="00F37C64" w:rsidR="00F37C64" w:rsidP="009C3FC0" w14:paraId="2AB9273D" w14:textId="456FDA47">
            <w:pPr>
              <w:jc w:val="center"/>
            </w:pPr>
            <w:r>
              <w:t xml:space="preserve">Índice BV Moran: </w:t>
            </w:r>
            <w:r w:rsidRPr="00F37C64">
              <w:t>0.</w:t>
            </w:r>
            <w:r w:rsidR="00461898">
              <w:t>314</w:t>
            </w:r>
          </w:p>
        </w:tc>
        <w:tc>
          <w:tcPr>
            <w:tcW w:w="2693" w:type="dxa"/>
            <w:vAlign w:val="center"/>
          </w:tcPr>
          <w:p w:rsidRDefault="00F37C64" w:rsidR="00F37C64" w:rsidP="009C3FC0" w14:paraId="1C230C3B" w14:textId="77777777">
            <w:pPr>
              <w:jc w:val="center"/>
            </w:pPr>
            <w:r w:rsidRPr="003821D0">
              <w:t>p-valor:  0.001</w:t>
            </w:r>
          </w:p>
        </w:tc>
      </w:tr>
      <w:tr w:rsidTr="00CC1A15" w:rsidR="00F37C64" w14:paraId="00A08DF0" w14:textId="77777777">
        <w:tc>
          <w:tcPr>
            <w:tcW w:w="2830" w:type="dxa"/>
            <w:vAlign w:val="center"/>
          </w:tcPr>
          <w:p w:rsidRDefault="00F37C64" w:rsidR="00F37C64" w:rsidP="009C3FC0" w14:paraId="1015E7DD" w14:textId="77777777">
            <w:pPr>
              <w:jc w:val="center"/>
            </w:pPr>
            <w:r>
              <w:rPr>
                <w:noProof/>
              </w:rPr>
              <w:drawing>
                <wp:inline distL="0" wp14:anchorId="2A71CE16" distT="0" distB="0" distR="0" wp14:editId="6995A66C">
                  <wp:extent cx="1653871" cy="1829595"/>
                  <wp:effectExtent r="3810" b="0" t="0" l="0"/>
                  <wp:docPr name="Imagen 34" id="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1" id="0"/>
                          <pic:cNvPicPr>
                            <a:picLocks noChangeAspect="1" noChangeArrowheads="1"/>
                          </pic:cNvPicPr>
                        </pic:nvPicPr>
                        <pic:blipFill>
                          <a:blip cstate="print" r:embed="rId36">
                            <a:extLst>
                              <a:ext uri="{28A0092B-C50C-407E-A947-70E740481C1C}">
                                <a14:useLocalDpi xmlns:a14="http://schemas.microsoft.com/office/drawing/2010/main" val="0"/>
                              </a:ext>
                            </a:extLst>
                          </a:blip>
                          <a:srcRect/>
                          <a:stretch>
                            <a:fillRect/>
                          </a:stretch>
                        </pic:blipFill>
                        <pic:spPr bwMode="auto">
                          <a:xfrm>
                            <a:off x="0" y="0"/>
                            <a:ext cx="1673400" cy="1851199"/>
                          </a:xfrm>
                          <a:prstGeom prst="rect">
                            <a:avLst/>
                          </a:prstGeom>
                          <a:noFill/>
                          <a:ln>
                            <a:noFill/>
                          </a:ln>
                        </pic:spPr>
                      </pic:pic>
                    </a:graphicData>
                  </a:graphic>
                </wp:inline>
              </w:drawing>
            </w:r>
          </w:p>
        </w:tc>
        <w:tc>
          <w:tcPr>
            <w:tcW w:w="3261" w:type="dxa"/>
            <w:vAlign w:val="center"/>
          </w:tcPr>
          <w:p w:rsidRPr="003821D0" w:rsidRDefault="00461898" w:rsidR="00F37C64" w:rsidP="009C3FC0" w14:paraId="336CBABD" w14:textId="4D183FFA">
            <w:pPr>
              <w:jc w:val="center"/>
            </w:pPr>
            <w:r>
              <w:rPr>
                <w:noProof/>
              </w:rPr>
              <w:drawing>
                <wp:inline distL="0" wp14:anchorId="57825BEE" distT="0" distB="0" distR="0" wp14:editId="5BE04F62">
                  <wp:extent cx="1641371" cy="1815576"/>
                  <wp:effectExtent r="0" b="0" t="0" l="0"/>
                  <wp:docPr name="Imagen 39" id="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31" id="0"/>
                          <pic:cNvPicPr>
                            <a:picLocks noChangeAspect="1" noChangeArrowheads="1"/>
                          </pic:cNvPicPr>
                        </pic:nvPicPr>
                        <pic:blipFill>
                          <a:blip cstate="print" r:embed="rId37">
                            <a:extLst>
                              <a:ext uri="{28A0092B-C50C-407E-A947-70E740481C1C}">
                                <a14:useLocalDpi xmlns:a14="http://schemas.microsoft.com/office/drawing/2010/main" val="0"/>
                              </a:ext>
                            </a:extLst>
                          </a:blip>
                          <a:srcRect/>
                          <a:stretch>
                            <a:fillRect/>
                          </a:stretch>
                        </pic:blipFill>
                        <pic:spPr bwMode="auto">
                          <a:xfrm>
                            <a:off x="0" y="0"/>
                            <a:ext cx="1653185" cy="1828644"/>
                          </a:xfrm>
                          <a:prstGeom prst="rect">
                            <a:avLst/>
                          </a:prstGeom>
                          <a:noFill/>
                          <a:ln>
                            <a:noFill/>
                          </a:ln>
                        </pic:spPr>
                      </pic:pic>
                    </a:graphicData>
                  </a:graphic>
                </wp:inline>
              </w:drawing>
            </w:r>
          </w:p>
        </w:tc>
        <w:tc>
          <w:tcPr>
            <w:tcW w:w="2693" w:type="dxa"/>
            <w:vAlign w:val="center"/>
          </w:tcPr>
          <w:p w:rsidRPr="00F37C64" w:rsidRDefault="009C3FC0" w:rsidR="00F37C64" w:rsidP="009C3FC0" w14:paraId="6D44BA00" w14:textId="4A5BF35E">
            <w:pPr>
              <w:jc w:val="center"/>
            </w:pPr>
            <w:r>
              <w:rPr>
                <w:noProof/>
              </w:rPr>
              <w:drawing>
                <wp:inline distL="0" wp14:anchorId="0BDF6A30" distT="0" distB="0" distR="0" wp14:editId="2B5EE352">
                  <wp:extent cx="1644875" cy="1803191"/>
                  <wp:effectExtent r="0" b="6985" t="0" l="0"/>
                  <wp:docPr name="Imagen 44" id="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44" id="0"/>
                          <pic:cNvPicPr>
                            <a:picLocks noChangeAspect="1" noChangeArrowheads="1"/>
                          </pic:cNvPicPr>
                        </pic:nvPicPr>
                        <pic:blipFill>
                          <a:blip cstate="print" r:embed="rId38">
                            <a:extLst>
                              <a:ext uri="{28A0092B-C50C-407E-A947-70E740481C1C}">
                                <a14:useLocalDpi xmlns:a14="http://schemas.microsoft.com/office/drawing/2010/main" val="0"/>
                              </a:ext>
                            </a:extLst>
                          </a:blip>
                          <a:srcRect/>
                          <a:stretch>
                            <a:fillRect/>
                          </a:stretch>
                        </pic:blipFill>
                        <pic:spPr bwMode="auto">
                          <a:xfrm>
                            <a:off x="0" y="0"/>
                            <a:ext cx="1664539" cy="1824747"/>
                          </a:xfrm>
                          <a:prstGeom prst="rect">
                            <a:avLst/>
                          </a:prstGeom>
                          <a:noFill/>
                          <a:ln>
                            <a:noFill/>
                          </a:ln>
                        </pic:spPr>
                      </pic:pic>
                    </a:graphicData>
                  </a:graphic>
                </wp:inline>
              </w:drawing>
            </w:r>
          </w:p>
        </w:tc>
      </w:tr>
      <w:tr w:rsidTr="00CC1A15" w:rsidR="00F37C64" w14:paraId="3188F71B" w14:textId="77777777">
        <w:tc>
          <w:tcPr>
            <w:tcW w:w="8784" w:type="dxa"/>
            <w:gridSpan w:val="3"/>
            <w:vAlign w:val="center"/>
          </w:tcPr>
          <w:p w:rsidRPr="008D22B8" w:rsidRDefault="00461898" w:rsidR="00461898" w:rsidP="009C3FC0" w14:paraId="01498582" w14:textId="77777777">
            <w:pPr>
              <w:jc w:val="center"/>
              <w:rPr>
                <w:i/>
                <w:iCs/>
                <w:noProof/>
                <w:sz w:val="16"/>
                <w:szCs w:val="16"/>
              </w:rPr>
            </w:pPr>
            <w:r w:rsidRPr="008D22B8">
              <w:rPr>
                <w:i/>
                <w:iCs/>
                <w:noProof/>
                <w:sz w:val="16"/>
                <w:szCs w:val="16"/>
              </w:rPr>
              <w:t>Fuente: Elaboración propia.</w:t>
            </w:r>
          </w:p>
          <w:p w:rsidRDefault="00461898" w:rsidR="00461898" w:rsidP="009C3FC0" w14:paraId="60FBA8D6" w14:textId="3AA41717">
            <w:pPr>
              <w:jc w:val="center"/>
              <w:rPr>
                <w:noProof/>
              </w:rPr>
            </w:pPr>
            <w:r w:rsidRPr="008D22B8">
              <w:rPr>
                <w:i/>
                <w:iCs/>
                <w:noProof/>
                <w:sz w:val="16"/>
                <w:szCs w:val="16"/>
              </w:rPr>
              <w:t>Datos: Ventas chance</w:t>
            </w:r>
            <w:r>
              <w:rPr>
                <w:i/>
                <w:iCs/>
                <w:noProof/>
                <w:sz w:val="16"/>
                <w:szCs w:val="16"/>
              </w:rPr>
              <w:t>,</w:t>
            </w:r>
            <w:r w:rsidRPr="008D22B8">
              <w:rPr>
                <w:i/>
                <w:iCs/>
                <w:noProof/>
                <w:sz w:val="16"/>
                <w:szCs w:val="16"/>
              </w:rPr>
              <w:t xml:space="preserve"> Grupo Réditos 2018 &amp; </w:t>
            </w:r>
            <w:r>
              <w:rPr>
                <w:i/>
                <w:iCs/>
                <w:noProof/>
                <w:sz w:val="16"/>
                <w:szCs w:val="16"/>
              </w:rPr>
              <w:t>Servicios públicos,</w:t>
            </w:r>
            <w:r w:rsidRPr="008D22B8">
              <w:rPr>
                <w:i/>
                <w:iCs/>
                <w:noProof/>
                <w:sz w:val="16"/>
                <w:szCs w:val="16"/>
              </w:rPr>
              <w:t xml:space="preserve"> </w:t>
            </w:r>
            <w:r w:rsidRPr="00461898">
              <w:rPr>
                <w:i/>
                <w:iCs/>
                <w:noProof/>
                <w:sz w:val="16"/>
                <w:szCs w:val="16"/>
              </w:rPr>
              <w:t>Anuario Estadístico de Antioquia 2018</w:t>
            </w:r>
            <w:r>
              <w:rPr>
                <w:i/>
                <w:iCs/>
                <w:noProof/>
                <w:sz w:val="16"/>
                <w:szCs w:val="16"/>
              </w:rPr>
              <w:t>, DAP Gobernación de Antioquia</w:t>
            </w:r>
            <w:r w:rsidRPr="00461898">
              <w:rPr>
                <w:i/>
                <w:iCs/>
                <w:noProof/>
                <w:sz w:val="16"/>
                <w:szCs w:val="16"/>
              </w:rPr>
              <w:t xml:space="preserve"> 2018</w:t>
            </w:r>
            <w:r>
              <w:rPr>
                <w:i/>
                <w:iCs/>
                <w:noProof/>
                <w:sz w:val="16"/>
                <w:szCs w:val="16"/>
              </w:rPr>
              <w:t>.</w:t>
            </w:r>
          </w:p>
        </w:tc>
      </w:tr>
    </w:tbl>
    <w:p w:rsidRDefault="007B5F9C" w:rsidR="007B5F9C" w:rsidP="007B5F9C" w14:paraId="3E85A42E" w14:textId="6A5FBEF7">
      <w:pPr>
        <w:pStyle w:val="Ttulo3"/>
        <w:rPr>
          <w:color w:val="002060"/>
        </w:rPr>
      </w:pPr>
      <w:r>
        <w:rPr>
          <w:color w:val="002060"/>
        </w:rPr>
        <w:t>Otras variables socio</w:t>
      </w:r>
      <w:r w:rsidR="00446845">
        <w:rPr>
          <w:color w:val="002060"/>
        </w:rPr>
        <w:t>económicas</w:t>
      </w:r>
      <w:r>
        <w:rPr>
          <w:color w:val="002060"/>
        </w:rPr>
        <w:t xml:space="preserve"> pueden incidir</w:t>
      </w:r>
      <w:r w:rsidR="00446845">
        <w:rPr>
          <w:color w:val="002060"/>
        </w:rPr>
        <w:t>: Educación, empleo, acceso e ingresos</w:t>
      </w:r>
    </w:p>
    <w:p w:rsidRDefault="00446845" w:rsidR="00446845" w:rsidP="00446845" w14:paraId="5B56F693" w14:textId="1801F200">
      <w:pPr>
        <w:jc w:val="both"/>
      </w:pPr>
      <w:r>
        <w:t>Se consideran otros factores que pueden incidir en la venta de chance. Por ende se plantean las siguientes hipotesis: 1) una alta cobertura del nivel de educación (medido con la cobertura de educación básica y media) va a reducir la voluntad de la gente a comprar 2) tener un empleo (medido a través de la cantidad de empresas formales en el municipio) aumenta el consumo de juego puesto que puede destinar sus ingresos en ocio 3) al tener un mayor acceso (vial, marítimo y terrestre) incrementa la posibilidad de jugar chance y 4) un mayor ingreso (medido con el PIB per cápita) aumenta el consumo de chance ya que puede destinar más ingreso al azar.</w:t>
      </w:r>
    </w:p>
    <w:p w:rsidRDefault="008A690E" w:rsidR="008A690E" w:rsidP="00446845" w14:paraId="1DADB00F" w14:textId="78440318">
      <w:pPr>
        <w:jc w:val="both"/>
      </w:pPr>
      <w:r>
        <w:t>En la figura 9 se analizan los resultados y se muestra que</w:t>
      </w:r>
      <w:r w:rsidR="0057263B">
        <w:t xml:space="preserve"> </w:t>
      </w:r>
      <w:r w:rsidR="004213FD">
        <w:t xml:space="preserve">la educación </w:t>
      </w:r>
      <w:r w:rsidR="00E92525">
        <w:t>es</w:t>
      </w:r>
      <w:r w:rsidR="004213FD">
        <w:t xml:space="preserve"> representativ</w:t>
      </w:r>
      <w:r w:rsidR="00E92525">
        <w:t>a</w:t>
      </w:r>
      <w:r w:rsidR="004213FD">
        <w:t xml:space="preserve"> ya que muestran una dependencia espacial negativa. Caso contrario el empleo</w:t>
      </w:r>
      <w:r w:rsidR="00E92525">
        <w:t>,</w:t>
      </w:r>
      <w:r w:rsidR="004213FD">
        <w:t xml:space="preserve"> el ingreso</w:t>
      </w:r>
      <w:r w:rsidR="00E92525">
        <w:t xml:space="preserve"> y las vías de acceso</w:t>
      </w:r>
      <w:r w:rsidR="004213FD">
        <w:t xml:space="preserve"> que muestran una dependencia espacial positiva.</w:t>
      </w:r>
    </w:p>
    <w:p w:rsidRDefault="004213FD" w:rsidR="004213FD" w:rsidP="00446845" w14:paraId="4999F80E" w14:textId="1CCB6FEB">
      <w:pPr>
        <w:jc w:val="both"/>
      </w:pPr>
      <w:r>
        <w:t>Con esto se concluye que el nivel de escolaridad en Antioquia no incide en la intención del individuo a jugar en chance</w:t>
      </w:r>
      <w:r w:rsidR="00E92525">
        <w:t xml:space="preserve">. </w:t>
      </w:r>
      <w:r>
        <w:t>Pero si se confirman las hipotesis planteadas de que a mayor o menor ingreso y empleo las personas van a comprar.</w:t>
      </w:r>
      <w:r w:rsidR="00E92525">
        <w:t xml:space="preserve"> También influye un poco si el municipio tiene una gran cantidad de entradas para que la gente acceda a esta.</w:t>
      </w:r>
    </w:p>
    <w:p w:rsidRPr="008D22B8" w:rsidRDefault="004213FD" w:rsidR="004213FD" w:rsidP="004213FD" w14:paraId="6CA819AB" w14:textId="66EBBCFE">
      <w:pPr>
        <w:spacing w:after="0"/>
        <w:jc w:val="center"/>
        <w:rPr>
          <w:b/>
          <w:bCs/>
          <w:sz w:val="16"/>
          <w:szCs w:val="16"/>
        </w:rPr>
      </w:pPr>
      <w:r w:rsidRPr="008D22B8">
        <w:rPr>
          <w:b/>
          <w:bCs/>
          <w:sz w:val="16"/>
          <w:szCs w:val="16"/>
        </w:rPr>
        <w:lastRenderedPageBreak/>
        <w:t xml:space="preserve">Figura </w:t>
      </w:r>
      <w:r w:rsidR="00361409">
        <w:rPr>
          <w:b/>
          <w:bCs/>
          <w:sz w:val="16"/>
          <w:szCs w:val="16"/>
        </w:rPr>
        <w:t>9</w:t>
      </w:r>
      <w:r w:rsidRPr="008D22B8">
        <w:rPr>
          <w:b/>
          <w:bCs/>
          <w:sz w:val="16"/>
          <w:szCs w:val="16"/>
        </w:rPr>
        <w:t xml:space="preserve">: </w:t>
      </w:r>
      <w:r>
        <w:rPr>
          <w:b/>
          <w:bCs/>
          <w:sz w:val="16"/>
          <w:szCs w:val="16"/>
        </w:rPr>
        <w:t>índice bivariado de Moran</w:t>
      </w:r>
      <w:r w:rsidRPr="008D22B8">
        <w:rPr>
          <w:b/>
          <w:bCs/>
          <w:sz w:val="16"/>
          <w:szCs w:val="16"/>
        </w:rPr>
        <w:t xml:space="preserve"> de ventas</w:t>
      </w:r>
      <w:r>
        <w:rPr>
          <w:b/>
          <w:bCs/>
          <w:sz w:val="16"/>
          <w:szCs w:val="16"/>
        </w:rPr>
        <w:t xml:space="preserve"> y LISA</w:t>
      </w:r>
      <w:r w:rsidRPr="008D22B8">
        <w:rPr>
          <w:b/>
          <w:bCs/>
          <w:sz w:val="16"/>
          <w:szCs w:val="16"/>
        </w:rPr>
        <w:t xml:space="preserve"> por chance per cápita y </w:t>
      </w:r>
      <w:r>
        <w:rPr>
          <w:b/>
          <w:bCs/>
          <w:sz w:val="16"/>
          <w:szCs w:val="16"/>
        </w:rPr>
        <w:t>la cobertura de</w:t>
      </w:r>
      <w:r w:rsidR="00361409">
        <w:rPr>
          <w:b/>
          <w:bCs/>
          <w:sz w:val="16"/>
          <w:szCs w:val="16"/>
        </w:rPr>
        <w:t xml:space="preserve"> educación</w:t>
      </w:r>
      <w:r>
        <w:rPr>
          <w:b/>
          <w:bCs/>
          <w:sz w:val="16"/>
          <w:szCs w:val="16"/>
        </w:rPr>
        <w:t>,</w:t>
      </w:r>
      <w:r w:rsidR="00361409">
        <w:rPr>
          <w:b/>
          <w:bCs/>
          <w:sz w:val="16"/>
          <w:szCs w:val="16"/>
        </w:rPr>
        <w:t xml:space="preserve"> número de empresas, cantidad de accesos y PIB per cápita</w:t>
      </w:r>
      <w:r>
        <w:rPr>
          <w:b/>
          <w:bCs/>
          <w:sz w:val="16"/>
          <w:szCs w:val="16"/>
        </w:rPr>
        <w:t xml:space="preserve"> </w:t>
      </w:r>
      <w:r w:rsidRPr="008D22B8">
        <w:rPr>
          <w:b/>
          <w:bCs/>
          <w:sz w:val="16"/>
          <w:szCs w:val="16"/>
        </w:rPr>
        <w:t>en Antioquia en 2018</w:t>
      </w:r>
    </w:p>
    <w:tbl>
      <w:tblPr>
        <w:tblStyle w:val="Tablaconcuadrcula"/>
        <w:tblW w:w="8784" w:type="dxa"/>
        <w:tblLayout w:type="fixed"/>
        <w:tblLook w:firstRow="1" w:firstColumn="1" w:noHBand="0" w:val="04A0" w:lastRow="0" w:lastColumn="0" w:noVBand="1"/>
      </w:tblPr>
      <w:tblGrid>
        <w:gridCol w:w="2830"/>
        <w:gridCol w:w="3261"/>
        <w:gridCol w:w="2693"/>
      </w:tblGrid>
      <w:tr w:rsidTr="00CC1A15" w:rsidR="008A690E" w14:paraId="35C0F6AC" w14:textId="77777777">
        <w:tc>
          <w:tcPr>
            <w:tcW w:w="8784" w:type="dxa"/>
            <w:gridSpan w:val="3"/>
            <w:shd w:val="clear" w:color="auto" w:fill="002060"/>
            <w:vAlign w:val="center"/>
          </w:tcPr>
          <w:p w:rsidRPr="003821D0" w:rsidRDefault="008A690E" w:rsidR="008A690E" w:rsidP="0057263B" w14:paraId="286E97C4" w14:textId="189AE5AF">
            <w:pPr>
              <w:jc w:val="center"/>
            </w:pPr>
            <w:r>
              <w:t xml:space="preserve">Cobertura de educación </w:t>
            </w:r>
          </w:p>
        </w:tc>
      </w:tr>
      <w:tr w:rsidTr="00CC1A15" w:rsidR="008A690E" w14:paraId="1A9C5009" w14:textId="77777777">
        <w:tc>
          <w:tcPr>
            <w:tcW w:w="2830" w:type="dxa"/>
            <w:vAlign w:val="center"/>
          </w:tcPr>
          <w:p w:rsidRDefault="008A690E" w:rsidR="008A690E" w:rsidP="0057263B" w14:paraId="46C3EE5D" w14:textId="77777777">
            <w:pPr>
              <w:jc w:val="center"/>
            </w:pPr>
            <w:r>
              <w:t>Correlación: 0.208</w:t>
            </w:r>
          </w:p>
        </w:tc>
        <w:tc>
          <w:tcPr>
            <w:tcW w:w="3261" w:type="dxa"/>
            <w:vAlign w:val="center"/>
          </w:tcPr>
          <w:p w:rsidRDefault="008A690E" w:rsidR="008A690E" w:rsidP="0057263B" w14:paraId="659C435E" w14:textId="2F63BC40">
            <w:pPr>
              <w:jc w:val="center"/>
            </w:pPr>
            <w:r>
              <w:t xml:space="preserve">Índice BV Moran: </w:t>
            </w:r>
            <w:r w:rsidR="00154737">
              <w:t>-0</w:t>
            </w:r>
            <w:r w:rsidR="004213FD">
              <w:t>.</w:t>
            </w:r>
            <w:r w:rsidR="00154737">
              <w:t>038</w:t>
            </w:r>
          </w:p>
        </w:tc>
        <w:tc>
          <w:tcPr>
            <w:tcW w:w="2693" w:type="dxa"/>
            <w:vAlign w:val="center"/>
          </w:tcPr>
          <w:p w:rsidRDefault="008A690E" w:rsidR="008A690E" w:rsidP="0057263B" w14:paraId="36D16855" w14:textId="60F29DA9">
            <w:pPr>
              <w:jc w:val="center"/>
            </w:pPr>
            <w:r w:rsidRPr="003821D0">
              <w:t>p-valor:  0</w:t>
            </w:r>
            <w:r w:rsidR="00154737">
              <w:t>.281</w:t>
            </w:r>
          </w:p>
        </w:tc>
      </w:tr>
      <w:tr w:rsidTr="00CC1A15" w:rsidR="008A690E" w14:paraId="23F7A678" w14:textId="77777777">
        <w:tc>
          <w:tcPr>
            <w:tcW w:w="2830" w:type="dxa"/>
            <w:vAlign w:val="center"/>
          </w:tcPr>
          <w:p w:rsidRDefault="008A690E" w:rsidR="008A690E" w:rsidP="0057263B" w14:paraId="79B723DC" w14:textId="77777777">
            <w:pPr>
              <w:jc w:val="center"/>
            </w:pPr>
            <w:r>
              <w:rPr>
                <w:noProof/>
              </w:rPr>
              <w:drawing>
                <wp:inline distL="0" wp14:anchorId="71E624C9" distT="0" distB="0" distR="0" wp14:editId="251E395E">
                  <wp:extent cx="1674226" cy="1852112"/>
                  <wp:effectExtent r="2540" b="0" t="0" l="0"/>
                  <wp:docPr name="Imagen 45" id="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1" id="0"/>
                          <pic:cNvPicPr>
                            <a:picLocks noChangeAspect="1" noChangeArrowheads="1"/>
                          </pic:cNvPicPr>
                        </pic:nvPicPr>
                        <pic:blipFill>
                          <a:blip cstate="print" r:embed="rId39">
                            <a:extLst>
                              <a:ext uri="{28A0092B-C50C-407E-A947-70E740481C1C}">
                                <a14:useLocalDpi xmlns:a14="http://schemas.microsoft.com/office/drawing/2010/main" val="0"/>
                              </a:ext>
                            </a:extLst>
                          </a:blip>
                          <a:srcRect/>
                          <a:stretch>
                            <a:fillRect/>
                          </a:stretch>
                        </pic:blipFill>
                        <pic:spPr bwMode="auto">
                          <a:xfrm>
                            <a:off x="0" y="0"/>
                            <a:ext cx="1691207" cy="1870898"/>
                          </a:xfrm>
                          <a:prstGeom prst="rect">
                            <a:avLst/>
                          </a:prstGeom>
                          <a:noFill/>
                          <a:ln>
                            <a:noFill/>
                          </a:ln>
                        </pic:spPr>
                      </pic:pic>
                    </a:graphicData>
                  </a:graphic>
                </wp:inline>
              </w:drawing>
            </w:r>
          </w:p>
        </w:tc>
        <w:tc>
          <w:tcPr>
            <w:tcW w:w="3261" w:type="dxa"/>
            <w:vAlign w:val="center"/>
          </w:tcPr>
          <w:p w:rsidRPr="003821D0" w:rsidRDefault="00154737" w:rsidR="008A690E" w:rsidP="0057263B" w14:paraId="01E7B0C7" w14:textId="6B2C7154">
            <w:pPr>
              <w:jc w:val="center"/>
            </w:pPr>
            <w:r>
              <w:rPr>
                <w:noProof/>
              </w:rPr>
              <w:drawing>
                <wp:inline distL="0" wp14:anchorId="158A11D0" distT="0" distB="0" distR="0" wp14:editId="1911C59A">
                  <wp:extent cx="1653872" cy="1829404"/>
                  <wp:effectExtent r="3810" b="0" t="0" l="0"/>
                  <wp:docPr name="Imagen 61" id="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54" id="0"/>
                          <pic:cNvPicPr>
                            <a:picLocks noChangeAspect="1" noChangeArrowheads="1"/>
                          </pic:cNvPicPr>
                        </pic:nvPicPr>
                        <pic:blipFill>
                          <a:blip cstate="print" r:embed="rId40">
                            <a:extLst>
                              <a:ext uri="{28A0092B-C50C-407E-A947-70E740481C1C}">
                                <a14:useLocalDpi xmlns:a14="http://schemas.microsoft.com/office/drawing/2010/main" val="0"/>
                              </a:ext>
                            </a:extLst>
                          </a:blip>
                          <a:srcRect/>
                          <a:stretch>
                            <a:fillRect/>
                          </a:stretch>
                        </pic:blipFill>
                        <pic:spPr bwMode="auto">
                          <a:xfrm>
                            <a:off x="0" y="0"/>
                            <a:ext cx="1659408" cy="1835527"/>
                          </a:xfrm>
                          <a:prstGeom prst="rect">
                            <a:avLst/>
                          </a:prstGeom>
                          <a:noFill/>
                          <a:ln>
                            <a:noFill/>
                          </a:ln>
                        </pic:spPr>
                      </pic:pic>
                    </a:graphicData>
                  </a:graphic>
                </wp:inline>
              </w:drawing>
            </w:r>
          </w:p>
        </w:tc>
        <w:tc>
          <w:tcPr>
            <w:tcW w:w="2693" w:type="dxa"/>
            <w:vAlign w:val="center"/>
          </w:tcPr>
          <w:p w:rsidRPr="00F37C64" w:rsidRDefault="00154737" w:rsidR="008A690E" w:rsidP="0057263B" w14:paraId="30756D87" w14:textId="46D1E4FB">
            <w:pPr>
              <w:jc w:val="center"/>
            </w:pPr>
            <w:r>
              <w:rPr>
                <w:noProof/>
              </w:rPr>
              <w:drawing>
                <wp:inline distL="0" wp14:anchorId="1BF2CAA8" distT="0" distB="0" distR="0" wp14:editId="71F10822">
                  <wp:extent cx="1557020" cy="1706880"/>
                  <wp:effectExtent r="5080" b="7620" t="0" l="0"/>
                  <wp:docPr name="Imagen 57" id="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46" id="0"/>
                          <pic:cNvPicPr>
                            <a:picLocks noChangeAspect="1" noChangeArrowheads="1"/>
                          </pic:cNvPicPr>
                        </pic:nvPicPr>
                        <pic:blipFill>
                          <a:blip cstate="print" r:embed="rId41">
                            <a:extLst>
                              <a:ext uri="{28A0092B-C50C-407E-A947-70E740481C1C}">
                                <a14:useLocalDpi xmlns:a14="http://schemas.microsoft.com/office/drawing/2010/main" val="0"/>
                              </a:ext>
                            </a:extLst>
                          </a:blip>
                          <a:srcRect/>
                          <a:stretch>
                            <a:fillRect/>
                          </a:stretch>
                        </pic:blipFill>
                        <pic:spPr bwMode="auto">
                          <a:xfrm>
                            <a:off x="0" y="0"/>
                            <a:ext cx="1557020" cy="1706880"/>
                          </a:xfrm>
                          <a:prstGeom prst="rect">
                            <a:avLst/>
                          </a:prstGeom>
                          <a:noFill/>
                          <a:ln>
                            <a:noFill/>
                          </a:ln>
                        </pic:spPr>
                      </pic:pic>
                    </a:graphicData>
                  </a:graphic>
                </wp:inline>
              </w:drawing>
            </w:r>
          </w:p>
        </w:tc>
      </w:tr>
      <w:tr w:rsidTr="00CC1A15" w:rsidR="008A690E" w14:paraId="72817270" w14:textId="77777777">
        <w:tc>
          <w:tcPr>
            <w:tcW w:w="8784" w:type="dxa"/>
            <w:gridSpan w:val="3"/>
            <w:shd w:val="clear" w:color="auto" w:fill="002060"/>
            <w:vAlign w:val="center"/>
          </w:tcPr>
          <w:p w:rsidRPr="003821D0" w:rsidRDefault="008A690E" w:rsidR="008A690E" w:rsidP="0057263B" w14:paraId="6EBA0C94" w14:textId="3FE5DA46">
            <w:pPr>
              <w:jc w:val="center"/>
            </w:pPr>
            <w:r>
              <w:t>Número de empresas en el municipio que aumenta la probabilidad de tener empleo formal</w:t>
            </w:r>
          </w:p>
        </w:tc>
      </w:tr>
      <w:tr w:rsidTr="00CC1A15" w:rsidR="008A690E" w14:paraId="05E62A45" w14:textId="77777777">
        <w:tc>
          <w:tcPr>
            <w:tcW w:w="2830" w:type="dxa"/>
            <w:vAlign w:val="center"/>
          </w:tcPr>
          <w:p w:rsidRDefault="008A690E" w:rsidR="008A690E" w:rsidP="0057263B" w14:paraId="6B102972" w14:textId="77777777">
            <w:pPr>
              <w:jc w:val="center"/>
            </w:pPr>
            <w:r>
              <w:t>Correlación: 0.224</w:t>
            </w:r>
          </w:p>
        </w:tc>
        <w:tc>
          <w:tcPr>
            <w:tcW w:w="3261" w:type="dxa"/>
            <w:vAlign w:val="center"/>
          </w:tcPr>
          <w:p w:rsidRDefault="008A690E" w:rsidR="008A690E" w:rsidP="0057263B" w14:paraId="6612F6DE" w14:textId="142B1CB5">
            <w:pPr>
              <w:jc w:val="center"/>
            </w:pPr>
            <w:r>
              <w:t xml:space="preserve">Índice BV Moran: </w:t>
            </w:r>
            <w:r w:rsidRPr="00F37C64">
              <w:t>0.</w:t>
            </w:r>
            <w:r w:rsidR="00154737">
              <w:t>152</w:t>
            </w:r>
          </w:p>
        </w:tc>
        <w:tc>
          <w:tcPr>
            <w:tcW w:w="2693" w:type="dxa"/>
            <w:vAlign w:val="center"/>
          </w:tcPr>
          <w:p w:rsidRDefault="008A690E" w:rsidR="008A690E" w:rsidP="0057263B" w14:paraId="0095979E" w14:textId="6E86F610">
            <w:pPr>
              <w:jc w:val="center"/>
            </w:pPr>
            <w:r w:rsidRPr="003821D0">
              <w:t>p-valor:  0.00</w:t>
            </w:r>
            <w:r w:rsidR="00154737">
              <w:t>2</w:t>
            </w:r>
          </w:p>
        </w:tc>
      </w:tr>
      <w:tr w:rsidTr="00CC1A15" w:rsidR="008A690E" w14:paraId="02119A6C" w14:textId="77777777">
        <w:tc>
          <w:tcPr>
            <w:tcW w:w="2830" w:type="dxa"/>
            <w:vAlign w:val="center"/>
          </w:tcPr>
          <w:p w:rsidRDefault="008A690E" w:rsidR="008A690E" w:rsidP="0057263B" w14:paraId="69F05070" w14:textId="77777777">
            <w:pPr>
              <w:jc w:val="center"/>
            </w:pPr>
            <w:r>
              <w:rPr>
                <w:noProof/>
              </w:rPr>
              <w:drawing>
                <wp:inline distL="0" wp14:anchorId="69126257" distT="0" distB="0" distR="0" wp14:editId="01539247">
                  <wp:extent cx="1671226" cy="1848793"/>
                  <wp:effectExtent r="5715" b="0" t="0" l="0"/>
                  <wp:docPr name="Imagen 48" id="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1" id="0"/>
                          <pic:cNvPicPr>
                            <a:picLocks noChangeAspect="1" noChangeArrowheads="1"/>
                          </pic:cNvPicPr>
                        </pic:nvPicPr>
                        <pic:blipFill>
                          <a:blip cstate="print" r:embed="rId30">
                            <a:extLst>
                              <a:ext uri="{28A0092B-C50C-407E-A947-70E740481C1C}">
                                <a14:useLocalDpi xmlns:a14="http://schemas.microsoft.com/office/drawing/2010/main" val="0"/>
                              </a:ext>
                            </a:extLst>
                          </a:blip>
                          <a:srcRect/>
                          <a:stretch>
                            <a:fillRect/>
                          </a:stretch>
                        </pic:blipFill>
                        <pic:spPr bwMode="auto">
                          <a:xfrm>
                            <a:off x="0" y="0"/>
                            <a:ext cx="1677232" cy="1855437"/>
                          </a:xfrm>
                          <a:prstGeom prst="rect">
                            <a:avLst/>
                          </a:prstGeom>
                          <a:noFill/>
                          <a:ln>
                            <a:noFill/>
                          </a:ln>
                        </pic:spPr>
                      </pic:pic>
                    </a:graphicData>
                  </a:graphic>
                </wp:inline>
              </w:drawing>
            </w:r>
          </w:p>
        </w:tc>
        <w:tc>
          <w:tcPr>
            <w:tcW w:w="3261" w:type="dxa"/>
            <w:vAlign w:val="center"/>
          </w:tcPr>
          <w:p w:rsidRPr="003821D0" w:rsidRDefault="00154737" w:rsidR="008A690E" w:rsidP="0057263B" w14:paraId="434AC6F1" w14:textId="0C944751">
            <w:pPr>
              <w:jc w:val="center"/>
            </w:pPr>
            <w:r>
              <w:rPr>
                <w:noProof/>
              </w:rPr>
              <w:drawing>
                <wp:inline distL="0" wp14:anchorId="32490877" distT="0" distB="0" distR="0" wp14:editId="2D7E5DF0">
                  <wp:extent cx="1733385" cy="1917356"/>
                  <wp:effectExtent r="635" b="6985" t="0" l="0"/>
                  <wp:docPr name="Imagen 62" id="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56" id="0"/>
                          <pic:cNvPicPr>
                            <a:picLocks noChangeAspect="1" noChangeArrowheads="1"/>
                          </pic:cNvPicPr>
                        </pic:nvPicPr>
                        <pic:blipFill>
                          <a:blip cstate="print" r:embed="rId42">
                            <a:extLst>
                              <a:ext uri="{28A0092B-C50C-407E-A947-70E740481C1C}">
                                <a14:useLocalDpi xmlns:a14="http://schemas.microsoft.com/office/drawing/2010/main" val="0"/>
                              </a:ext>
                            </a:extLst>
                          </a:blip>
                          <a:srcRect/>
                          <a:stretch>
                            <a:fillRect/>
                          </a:stretch>
                        </pic:blipFill>
                        <pic:spPr bwMode="auto">
                          <a:xfrm>
                            <a:off x="0" y="0"/>
                            <a:ext cx="1735474" cy="1919666"/>
                          </a:xfrm>
                          <a:prstGeom prst="rect">
                            <a:avLst/>
                          </a:prstGeom>
                          <a:noFill/>
                          <a:ln>
                            <a:noFill/>
                          </a:ln>
                        </pic:spPr>
                      </pic:pic>
                    </a:graphicData>
                  </a:graphic>
                </wp:inline>
              </w:drawing>
            </w:r>
          </w:p>
        </w:tc>
        <w:tc>
          <w:tcPr>
            <w:tcW w:w="2693" w:type="dxa"/>
            <w:vAlign w:val="center"/>
          </w:tcPr>
          <w:p w:rsidRPr="00F37C64" w:rsidRDefault="00154737" w:rsidR="008A690E" w:rsidP="0057263B" w14:paraId="26BED582" w14:textId="22FC5034">
            <w:pPr>
              <w:jc w:val="center"/>
            </w:pPr>
            <w:r>
              <w:rPr>
                <w:noProof/>
              </w:rPr>
              <w:drawing>
                <wp:inline distL="0" wp14:anchorId="0427612C" distT="0" distB="0" distR="0" wp14:editId="5ACDC49B">
                  <wp:extent cx="1557020" cy="1648460"/>
                  <wp:effectExtent r="5080" b="8890" t="0" l="0"/>
                  <wp:docPr name="Imagen 58" id="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48" id="0"/>
                          <pic:cNvPicPr>
                            <a:picLocks noChangeAspect="1" noChangeArrowheads="1"/>
                          </pic:cNvPicPr>
                        </pic:nvPicPr>
                        <pic:blipFill>
                          <a:blip cstate="print" r:embed="rId43">
                            <a:extLst>
                              <a:ext uri="{28A0092B-C50C-407E-A947-70E740481C1C}">
                                <a14:useLocalDpi xmlns:a14="http://schemas.microsoft.com/office/drawing/2010/main" val="0"/>
                              </a:ext>
                            </a:extLst>
                          </a:blip>
                          <a:srcRect/>
                          <a:stretch>
                            <a:fillRect/>
                          </a:stretch>
                        </pic:blipFill>
                        <pic:spPr bwMode="auto">
                          <a:xfrm>
                            <a:off x="0" y="0"/>
                            <a:ext cx="1557020" cy="1648460"/>
                          </a:xfrm>
                          <a:prstGeom prst="rect">
                            <a:avLst/>
                          </a:prstGeom>
                          <a:noFill/>
                          <a:ln>
                            <a:noFill/>
                          </a:ln>
                        </pic:spPr>
                      </pic:pic>
                    </a:graphicData>
                  </a:graphic>
                </wp:inline>
              </w:drawing>
            </w:r>
          </w:p>
        </w:tc>
      </w:tr>
      <w:tr w:rsidTr="00CC1A15" w:rsidR="008A690E" w14:paraId="41576B92" w14:textId="77777777">
        <w:tc>
          <w:tcPr>
            <w:tcW w:w="8784" w:type="dxa"/>
            <w:gridSpan w:val="3"/>
            <w:shd w:val="clear" w:color="auto" w:fill="002060"/>
            <w:vAlign w:val="center"/>
          </w:tcPr>
          <w:p w:rsidRPr="003821D0" w:rsidRDefault="008A690E" w:rsidR="008A690E" w:rsidP="0057263B" w14:paraId="785DCB91" w14:textId="61CCE6C5">
            <w:pPr>
              <w:jc w:val="center"/>
            </w:pPr>
            <w:r>
              <w:t>Acceso viales, marítimos, terrestres y aéreos</w:t>
            </w:r>
          </w:p>
        </w:tc>
      </w:tr>
      <w:tr w:rsidTr="00CC1A15" w:rsidR="008A690E" w14:paraId="7538255C" w14:textId="77777777">
        <w:tc>
          <w:tcPr>
            <w:tcW w:w="2830" w:type="dxa"/>
            <w:vAlign w:val="center"/>
          </w:tcPr>
          <w:p w:rsidRDefault="008A690E" w:rsidR="008A690E" w:rsidP="0057263B" w14:paraId="51C68E30" w14:textId="77777777">
            <w:pPr>
              <w:jc w:val="center"/>
            </w:pPr>
            <w:r>
              <w:t>Correlación: 0.15</w:t>
            </w:r>
          </w:p>
        </w:tc>
        <w:tc>
          <w:tcPr>
            <w:tcW w:w="3261" w:type="dxa"/>
            <w:vAlign w:val="center"/>
          </w:tcPr>
          <w:p w:rsidRDefault="008A690E" w:rsidR="008A690E" w:rsidP="0057263B" w14:paraId="4949B296" w14:textId="38185887">
            <w:pPr>
              <w:jc w:val="center"/>
            </w:pPr>
            <w:r>
              <w:t xml:space="preserve">Índice BV Moran: </w:t>
            </w:r>
            <w:r w:rsidR="00D36F4B">
              <w:t>0.101</w:t>
            </w:r>
          </w:p>
        </w:tc>
        <w:tc>
          <w:tcPr>
            <w:tcW w:w="2693" w:type="dxa"/>
            <w:vAlign w:val="center"/>
          </w:tcPr>
          <w:p w:rsidRDefault="008A690E" w:rsidR="008A690E" w:rsidP="0057263B" w14:paraId="2B54F498" w14:textId="7FD03D3D">
            <w:pPr>
              <w:jc w:val="center"/>
            </w:pPr>
            <w:r w:rsidRPr="003821D0">
              <w:t>p-valor:  0.</w:t>
            </w:r>
            <w:r w:rsidR="00D36F4B">
              <w:t>48</w:t>
            </w:r>
          </w:p>
        </w:tc>
      </w:tr>
      <w:tr w:rsidTr="00CC1A15" w:rsidR="008A690E" w14:paraId="02F045C1" w14:textId="77777777">
        <w:tc>
          <w:tcPr>
            <w:tcW w:w="2830" w:type="dxa"/>
            <w:vAlign w:val="center"/>
          </w:tcPr>
          <w:p w:rsidRDefault="008A690E" w:rsidR="008A690E" w:rsidP="0057263B" w14:paraId="05FE38D4" w14:textId="77777777">
            <w:pPr>
              <w:jc w:val="center"/>
            </w:pPr>
            <w:r>
              <w:rPr>
                <w:noProof/>
              </w:rPr>
              <w:drawing>
                <wp:inline distL="0" wp14:anchorId="00F19497" distT="0" distB="0" distR="0" wp14:editId="4EDE22BF">
                  <wp:extent cx="1637969" cy="1812003"/>
                  <wp:effectExtent r="635" b="0" t="0" l="0"/>
                  <wp:docPr name="Imagen 51" id="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1" id="0"/>
                          <pic:cNvPicPr>
                            <a:picLocks noChangeAspect="1" noChangeArrowheads="1"/>
                          </pic:cNvPicPr>
                        </pic:nvPicPr>
                        <pic:blipFill>
                          <a:blip cstate="print" r:embed="rId33">
                            <a:extLst>
                              <a:ext uri="{28A0092B-C50C-407E-A947-70E740481C1C}">
                                <a14:useLocalDpi xmlns:a14="http://schemas.microsoft.com/office/drawing/2010/main" val="0"/>
                              </a:ext>
                            </a:extLst>
                          </a:blip>
                          <a:srcRect/>
                          <a:stretch>
                            <a:fillRect/>
                          </a:stretch>
                        </pic:blipFill>
                        <pic:spPr bwMode="auto">
                          <a:xfrm>
                            <a:off x="0" y="0"/>
                            <a:ext cx="1664558" cy="1841417"/>
                          </a:xfrm>
                          <a:prstGeom prst="rect">
                            <a:avLst/>
                          </a:prstGeom>
                          <a:noFill/>
                          <a:ln>
                            <a:noFill/>
                          </a:ln>
                        </pic:spPr>
                      </pic:pic>
                    </a:graphicData>
                  </a:graphic>
                </wp:inline>
              </w:drawing>
            </w:r>
          </w:p>
        </w:tc>
        <w:tc>
          <w:tcPr>
            <w:tcW w:w="3261" w:type="dxa"/>
            <w:vAlign w:val="center"/>
          </w:tcPr>
          <w:p w:rsidRPr="003821D0" w:rsidRDefault="00E72BF9" w:rsidR="008A690E" w:rsidP="0057263B" w14:paraId="04D6E0FB" w14:textId="2D41AF5D">
            <w:pPr>
              <w:jc w:val="center"/>
            </w:pPr>
            <w:r>
              <w:rPr>
                <w:noProof/>
              </w:rPr>
              <w:drawing>
                <wp:inline distL="0" wp14:anchorId="0B44DFD5" distT="0" distB="0" distR="0" wp14:editId="07C6D874">
                  <wp:extent cx="1814306" cy="2006759"/>
                  <wp:effectExtent r="0" b="0" t="0" l="0"/>
                  <wp:docPr name="Imagen 84" id="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75" id="0"/>
                          <pic:cNvPicPr>
                            <a:picLocks noChangeAspect="1" noChangeArrowheads="1"/>
                          </pic:cNvPicPr>
                        </pic:nvPicPr>
                        <pic:blipFill>
                          <a:blip cstate="print" r:embed="rId44">
                            <a:extLst>
                              <a:ext uri="{28A0092B-C50C-407E-A947-70E740481C1C}">
                                <a14:useLocalDpi xmlns:a14="http://schemas.microsoft.com/office/drawing/2010/main" val="0"/>
                              </a:ext>
                            </a:extLst>
                          </a:blip>
                          <a:srcRect/>
                          <a:stretch>
                            <a:fillRect/>
                          </a:stretch>
                        </pic:blipFill>
                        <pic:spPr bwMode="auto">
                          <a:xfrm>
                            <a:off x="0" y="0"/>
                            <a:ext cx="1825118" cy="2018718"/>
                          </a:xfrm>
                          <a:prstGeom prst="rect">
                            <a:avLst/>
                          </a:prstGeom>
                          <a:noFill/>
                          <a:ln>
                            <a:noFill/>
                          </a:ln>
                        </pic:spPr>
                      </pic:pic>
                    </a:graphicData>
                  </a:graphic>
                </wp:inline>
              </w:drawing>
            </w:r>
          </w:p>
        </w:tc>
        <w:tc>
          <w:tcPr>
            <w:tcW w:w="2693" w:type="dxa"/>
            <w:vAlign w:val="center"/>
          </w:tcPr>
          <w:p w:rsidRPr="00F37C64" w:rsidRDefault="00E92525" w:rsidR="008A690E" w:rsidP="0057263B" w14:paraId="4281A6FE" w14:textId="2115F2F8">
            <w:pPr>
              <w:jc w:val="center"/>
            </w:pPr>
            <w:r>
              <w:rPr>
                <w:noProof/>
              </w:rPr>
              <w:drawing>
                <wp:inline distL="0" wp14:anchorId="579D5B34" distT="0" distB="0" distR="0" wp14:editId="5B387CBB">
                  <wp:extent cx="1572895" cy="1724660"/>
                  <wp:effectExtent r="8255" b="8890" t="0" l="0"/>
                  <wp:docPr name="Imagen 88" id="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89" id="0"/>
                          <pic:cNvPicPr>
                            <a:picLocks noChangeAspect="1" noChangeArrowheads="1"/>
                          </pic:cNvPicPr>
                        </pic:nvPicPr>
                        <pic:blipFill>
                          <a:blip cstate="print" r:embed="rId45">
                            <a:extLst>
                              <a:ext uri="{28A0092B-C50C-407E-A947-70E740481C1C}">
                                <a14:useLocalDpi xmlns:a14="http://schemas.microsoft.com/office/drawing/2010/main" val="0"/>
                              </a:ext>
                            </a:extLst>
                          </a:blip>
                          <a:srcRect/>
                          <a:stretch>
                            <a:fillRect/>
                          </a:stretch>
                        </pic:blipFill>
                        <pic:spPr bwMode="auto">
                          <a:xfrm>
                            <a:off x="0" y="0"/>
                            <a:ext cx="1572895" cy="1724660"/>
                          </a:xfrm>
                          <a:prstGeom prst="rect">
                            <a:avLst/>
                          </a:prstGeom>
                          <a:noFill/>
                          <a:ln>
                            <a:noFill/>
                          </a:ln>
                        </pic:spPr>
                      </pic:pic>
                    </a:graphicData>
                  </a:graphic>
                </wp:inline>
              </w:drawing>
            </w:r>
          </w:p>
        </w:tc>
      </w:tr>
      <w:tr w:rsidTr="00CC1A15" w:rsidR="008A690E" w14:paraId="52904CBF" w14:textId="77777777">
        <w:tc>
          <w:tcPr>
            <w:tcW w:w="8784" w:type="dxa"/>
            <w:gridSpan w:val="3"/>
            <w:shd w:val="clear" w:color="auto" w:fill="002060"/>
            <w:vAlign w:val="center"/>
          </w:tcPr>
          <w:p w:rsidRPr="003821D0" w:rsidRDefault="008A690E" w:rsidR="008A690E" w:rsidP="0057263B" w14:paraId="56B0AAAB" w14:textId="28B51D64">
            <w:pPr>
              <w:jc w:val="center"/>
            </w:pPr>
            <w:r>
              <w:t>Ingresos: PIB per cápita</w:t>
            </w:r>
          </w:p>
        </w:tc>
      </w:tr>
      <w:tr w:rsidTr="00CC1A15" w:rsidR="008A690E" w14:paraId="5B35DD70" w14:textId="77777777">
        <w:tc>
          <w:tcPr>
            <w:tcW w:w="2830" w:type="dxa"/>
            <w:vAlign w:val="center"/>
          </w:tcPr>
          <w:p w:rsidRDefault="008A690E" w:rsidR="008A690E" w:rsidP="0057263B" w14:paraId="04DD1814" w14:textId="77777777">
            <w:pPr>
              <w:jc w:val="center"/>
            </w:pPr>
            <w:r>
              <w:t>Correlación: 0.08</w:t>
            </w:r>
          </w:p>
        </w:tc>
        <w:tc>
          <w:tcPr>
            <w:tcW w:w="3261" w:type="dxa"/>
            <w:vAlign w:val="center"/>
          </w:tcPr>
          <w:p w:rsidRDefault="008A690E" w:rsidR="008A690E" w:rsidP="0057263B" w14:paraId="30F15ED4" w14:textId="16FB2F99">
            <w:pPr>
              <w:jc w:val="center"/>
            </w:pPr>
            <w:r>
              <w:t xml:space="preserve">Índice BV Moran: </w:t>
            </w:r>
            <w:r w:rsidRPr="00F37C64">
              <w:t>0.</w:t>
            </w:r>
            <w:r w:rsidR="00154737">
              <w:t>089</w:t>
            </w:r>
          </w:p>
        </w:tc>
        <w:tc>
          <w:tcPr>
            <w:tcW w:w="2693" w:type="dxa"/>
            <w:vAlign w:val="center"/>
          </w:tcPr>
          <w:p w:rsidRDefault="008A690E" w:rsidR="008A690E" w:rsidP="0057263B" w14:paraId="36CFC142" w14:textId="6991E975">
            <w:pPr>
              <w:jc w:val="center"/>
            </w:pPr>
            <w:r w:rsidRPr="003821D0">
              <w:t>p-valor:  0.0</w:t>
            </w:r>
            <w:r w:rsidR="00154737">
              <w:t>86</w:t>
            </w:r>
          </w:p>
        </w:tc>
      </w:tr>
      <w:tr w:rsidTr="00CC1A15" w:rsidR="008A690E" w14:paraId="04F37C3F" w14:textId="77777777">
        <w:tc>
          <w:tcPr>
            <w:tcW w:w="2830" w:type="dxa"/>
            <w:vAlign w:val="center"/>
          </w:tcPr>
          <w:p w:rsidRDefault="008A690E" w:rsidR="008A690E" w:rsidP="0057263B" w14:paraId="3C7CF112" w14:textId="77777777">
            <w:pPr>
              <w:jc w:val="center"/>
            </w:pPr>
            <w:r>
              <w:rPr>
                <w:noProof/>
              </w:rPr>
              <w:lastRenderedPageBreak/>
              <w:drawing>
                <wp:inline distL="0" wp14:anchorId="61BF2AB6" distT="0" distB="0" distR="0" wp14:editId="7DD68578">
                  <wp:extent cx="1653871" cy="1829595"/>
                  <wp:effectExtent r="3810" b="0" t="0" l="0"/>
                  <wp:docPr name="Imagen 54" id="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1" id="0"/>
                          <pic:cNvPicPr>
                            <a:picLocks noChangeAspect="1" noChangeArrowheads="1"/>
                          </pic:cNvPicPr>
                        </pic:nvPicPr>
                        <pic:blipFill>
                          <a:blip cstate="print" r:embed="rId36">
                            <a:extLst>
                              <a:ext uri="{28A0092B-C50C-407E-A947-70E740481C1C}">
                                <a14:useLocalDpi xmlns:a14="http://schemas.microsoft.com/office/drawing/2010/main" val="0"/>
                              </a:ext>
                            </a:extLst>
                          </a:blip>
                          <a:srcRect/>
                          <a:stretch>
                            <a:fillRect/>
                          </a:stretch>
                        </pic:blipFill>
                        <pic:spPr bwMode="auto">
                          <a:xfrm>
                            <a:off x="0" y="0"/>
                            <a:ext cx="1673400" cy="1851199"/>
                          </a:xfrm>
                          <a:prstGeom prst="rect">
                            <a:avLst/>
                          </a:prstGeom>
                          <a:noFill/>
                          <a:ln>
                            <a:noFill/>
                          </a:ln>
                        </pic:spPr>
                      </pic:pic>
                    </a:graphicData>
                  </a:graphic>
                </wp:inline>
              </w:drawing>
            </w:r>
          </w:p>
        </w:tc>
        <w:tc>
          <w:tcPr>
            <w:tcW w:w="3261" w:type="dxa"/>
            <w:vAlign w:val="center"/>
          </w:tcPr>
          <w:p w:rsidRPr="003821D0" w:rsidRDefault="00154737" w:rsidR="008A690E" w:rsidP="0057263B" w14:paraId="20392226" w14:textId="3EE0BC70">
            <w:pPr>
              <w:jc w:val="center"/>
            </w:pPr>
            <w:r>
              <w:rPr>
                <w:noProof/>
              </w:rPr>
              <w:drawing>
                <wp:inline distL="0" wp14:anchorId="14A38331" distT="0" distB="0" distR="0" wp14:editId="6E5E41AF">
                  <wp:extent cx="1682080" cy="1860605"/>
                  <wp:effectExtent r="0" b="6350" t="0" l="0"/>
                  <wp:docPr name="Imagen 63" id="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58" id="0"/>
                          <pic:cNvPicPr>
                            <a:picLocks noChangeAspect="1" noChangeArrowheads="1"/>
                          </pic:cNvPicPr>
                        </pic:nvPicPr>
                        <pic:blipFill>
                          <a:blip cstate="print" r:embed="rId46">
                            <a:extLst>
                              <a:ext uri="{28A0092B-C50C-407E-A947-70E740481C1C}">
                                <a14:useLocalDpi xmlns:a14="http://schemas.microsoft.com/office/drawing/2010/main" val="0"/>
                              </a:ext>
                            </a:extLst>
                          </a:blip>
                          <a:srcRect/>
                          <a:stretch>
                            <a:fillRect/>
                          </a:stretch>
                        </pic:blipFill>
                        <pic:spPr bwMode="auto">
                          <a:xfrm>
                            <a:off x="0" y="0"/>
                            <a:ext cx="1685725" cy="1864637"/>
                          </a:xfrm>
                          <a:prstGeom prst="rect">
                            <a:avLst/>
                          </a:prstGeom>
                          <a:noFill/>
                          <a:ln>
                            <a:noFill/>
                          </a:ln>
                        </pic:spPr>
                      </pic:pic>
                    </a:graphicData>
                  </a:graphic>
                </wp:inline>
              </w:drawing>
            </w:r>
          </w:p>
        </w:tc>
        <w:tc>
          <w:tcPr>
            <w:tcW w:w="2693" w:type="dxa"/>
            <w:vAlign w:val="center"/>
          </w:tcPr>
          <w:p w:rsidRPr="00F37C64" w:rsidRDefault="00154737" w:rsidR="008A690E" w:rsidP="0057263B" w14:paraId="4ADFC0C7" w14:textId="45AC6DD1">
            <w:pPr>
              <w:jc w:val="center"/>
            </w:pPr>
            <w:r>
              <w:rPr>
                <w:noProof/>
              </w:rPr>
              <w:drawing>
                <wp:inline distL="0" wp14:anchorId="27C274D9" distT="0" distB="0" distR="0" wp14:editId="06F02447">
                  <wp:extent cx="1557020" cy="1706880"/>
                  <wp:effectExtent r="5080" b="7620" t="0" l="0"/>
                  <wp:docPr name="Imagen 60" id="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52" id="0"/>
                          <pic:cNvPicPr>
                            <a:picLocks noChangeAspect="1" noChangeArrowheads="1"/>
                          </pic:cNvPicPr>
                        </pic:nvPicPr>
                        <pic:blipFill>
                          <a:blip cstate="print" r:embed="rId47">
                            <a:extLst>
                              <a:ext uri="{28A0092B-C50C-407E-A947-70E740481C1C}">
                                <a14:useLocalDpi xmlns:a14="http://schemas.microsoft.com/office/drawing/2010/main" val="0"/>
                              </a:ext>
                            </a:extLst>
                          </a:blip>
                          <a:srcRect/>
                          <a:stretch>
                            <a:fillRect/>
                          </a:stretch>
                        </pic:blipFill>
                        <pic:spPr bwMode="auto">
                          <a:xfrm>
                            <a:off x="0" y="0"/>
                            <a:ext cx="1557020" cy="1706880"/>
                          </a:xfrm>
                          <a:prstGeom prst="rect">
                            <a:avLst/>
                          </a:prstGeom>
                          <a:noFill/>
                          <a:ln>
                            <a:noFill/>
                          </a:ln>
                        </pic:spPr>
                      </pic:pic>
                    </a:graphicData>
                  </a:graphic>
                </wp:inline>
              </w:drawing>
            </w:r>
          </w:p>
        </w:tc>
      </w:tr>
      <w:tr w:rsidTr="00CC1A15" w:rsidR="008A690E" w14:paraId="188643DD" w14:textId="77777777">
        <w:tc>
          <w:tcPr>
            <w:tcW w:w="8784" w:type="dxa"/>
            <w:gridSpan w:val="3"/>
            <w:vAlign w:val="center"/>
          </w:tcPr>
          <w:p w:rsidRPr="008D22B8" w:rsidRDefault="008A690E" w:rsidR="008A690E" w:rsidP="0057263B" w14:paraId="0BF22A39" w14:textId="77777777">
            <w:pPr>
              <w:jc w:val="center"/>
              <w:rPr>
                <w:i/>
                <w:iCs/>
                <w:noProof/>
                <w:sz w:val="16"/>
                <w:szCs w:val="16"/>
              </w:rPr>
            </w:pPr>
            <w:r w:rsidRPr="008D22B8">
              <w:rPr>
                <w:i/>
                <w:iCs/>
                <w:noProof/>
                <w:sz w:val="16"/>
                <w:szCs w:val="16"/>
              </w:rPr>
              <w:t>Fuente: Elaboración propia.</w:t>
            </w:r>
          </w:p>
          <w:p w:rsidRDefault="008A690E" w:rsidR="008A690E" w:rsidP="0057263B" w14:paraId="644A7C0F" w14:textId="7CA8141C">
            <w:pPr>
              <w:jc w:val="center"/>
              <w:rPr>
                <w:noProof/>
              </w:rPr>
            </w:pPr>
            <w:r w:rsidRPr="008D22B8">
              <w:rPr>
                <w:i/>
                <w:iCs/>
                <w:noProof/>
                <w:sz w:val="16"/>
                <w:szCs w:val="16"/>
              </w:rPr>
              <w:t>Datos: Ventas chance</w:t>
            </w:r>
            <w:r>
              <w:rPr>
                <w:i/>
                <w:iCs/>
                <w:noProof/>
                <w:sz w:val="16"/>
                <w:szCs w:val="16"/>
              </w:rPr>
              <w:t>,</w:t>
            </w:r>
            <w:r w:rsidRPr="008D22B8">
              <w:rPr>
                <w:i/>
                <w:iCs/>
                <w:noProof/>
                <w:sz w:val="16"/>
                <w:szCs w:val="16"/>
              </w:rPr>
              <w:t xml:space="preserve"> Grupo Réditos 2018 &amp; </w:t>
            </w:r>
            <w:r w:rsidR="00361409">
              <w:rPr>
                <w:i/>
                <w:iCs/>
                <w:noProof/>
                <w:sz w:val="16"/>
                <w:szCs w:val="16"/>
              </w:rPr>
              <w:t>Educación, empresas, accesos y PIB per cápita</w:t>
            </w:r>
            <w:r>
              <w:rPr>
                <w:i/>
                <w:iCs/>
                <w:noProof/>
                <w:sz w:val="16"/>
                <w:szCs w:val="16"/>
              </w:rPr>
              <w:t>,</w:t>
            </w:r>
            <w:r w:rsidRPr="008D22B8">
              <w:rPr>
                <w:i/>
                <w:iCs/>
                <w:noProof/>
                <w:sz w:val="16"/>
                <w:szCs w:val="16"/>
              </w:rPr>
              <w:t xml:space="preserve"> </w:t>
            </w:r>
            <w:r w:rsidRPr="00461898">
              <w:rPr>
                <w:i/>
                <w:iCs/>
                <w:noProof/>
                <w:sz w:val="16"/>
                <w:szCs w:val="16"/>
              </w:rPr>
              <w:t>Anuario Estadístico de Antioquia 2018</w:t>
            </w:r>
            <w:r>
              <w:rPr>
                <w:i/>
                <w:iCs/>
                <w:noProof/>
                <w:sz w:val="16"/>
                <w:szCs w:val="16"/>
              </w:rPr>
              <w:t>, DAP Gobernación de Antioquia</w:t>
            </w:r>
            <w:r w:rsidRPr="00461898">
              <w:rPr>
                <w:i/>
                <w:iCs/>
                <w:noProof/>
                <w:sz w:val="16"/>
                <w:szCs w:val="16"/>
              </w:rPr>
              <w:t xml:space="preserve"> 2018</w:t>
            </w:r>
            <w:r>
              <w:rPr>
                <w:i/>
                <w:iCs/>
                <w:noProof/>
                <w:sz w:val="16"/>
                <w:szCs w:val="16"/>
              </w:rPr>
              <w:t>.</w:t>
            </w:r>
          </w:p>
        </w:tc>
      </w:tr>
    </w:tbl>
    <w:p w:rsidRDefault="0003587A" w:rsidR="0003587A" w:rsidP="00446845" w14:paraId="04448623" w14:textId="77777777">
      <w:pPr>
        <w:jc w:val="both"/>
      </w:pPr>
    </w:p>
    <w:p w:rsidRDefault="004213FD" w:rsidR="008A690E" w:rsidP="00446845" w14:paraId="714613B2" w14:textId="2DADEC07">
      <w:pPr>
        <w:jc w:val="both"/>
      </w:pPr>
      <w:r>
        <w:t>Esto último es importante porque descarta varias de las hipotesis planteadas en la literatura y además abre la posibilidad de que la compra de chance en Antioquia no está focalizada en la gente pobre que quiera salir adelante a través del azar, sino que tiene un perfil donde los que compran son aquellos que tienen sus necesidades satisfechas, tienen un empleo e ingreso que les permita acceder a ocio.</w:t>
      </w:r>
    </w:p>
    <w:p w:rsidRPr="00F70FA5" w:rsidRDefault="004213FD" w:rsidR="004213FD" w:rsidP="004213FD" w14:paraId="273CA395" w14:textId="77777777">
      <w:pPr>
        <w:pStyle w:val="Ttulo2"/>
        <w:rPr>
          <w:color w:val="002060"/>
          <w:sz w:val="32"/>
          <w:szCs w:val="32"/>
        </w:rPr>
      </w:pPr>
      <w:r w:rsidRPr="00F70FA5">
        <w:rPr>
          <w:color w:val="002060"/>
          <w:sz w:val="32"/>
          <w:szCs w:val="32"/>
        </w:rPr>
        <w:t>Análisis de clúster</w:t>
      </w:r>
    </w:p>
    <w:p w:rsidRDefault="004213FD" w:rsidR="004213FD" w:rsidP="00446845" w14:paraId="4F9E3B1B" w14:textId="69D61966">
      <w:pPr>
        <w:jc w:val="both"/>
      </w:pPr>
      <w:r>
        <w:t>Por último, se analiza si existe un comportamiento específico en Antioquia, en donde la compra de chance no se designe por una variable en específico, sino que haya un patrón entre municipios con determinadas características que motive la compra de chance.</w:t>
      </w:r>
    </w:p>
    <w:p w:rsidRDefault="004213FD" w:rsidR="004213FD" w:rsidP="00446845" w14:paraId="5A140F65" w14:textId="2C2C11F0">
      <w:pPr>
        <w:jc w:val="both"/>
      </w:pPr>
      <w:r>
        <w:t>Esta identificación se realizará con una agrupación por método de k-</w:t>
      </w:r>
      <w:proofErr w:type="spellStart"/>
      <w:r>
        <w:t>means</w:t>
      </w:r>
      <w:proofErr w:type="spellEnd"/>
      <w:r>
        <w:t xml:space="preserve"> que se puede evidenciar en la figura 1</w:t>
      </w:r>
      <w:r w:rsidR="00CA5332">
        <w:t>0 en donde se encuentran 5 clúster, siendo repartidos los primeros cuatro clústeres en los municipios de Antioquia y el quinto será Medellín</w:t>
      </w:r>
      <w:r>
        <w:t>.</w:t>
      </w:r>
    </w:p>
    <w:p w:rsidRPr="008D22B8" w:rsidRDefault="00CA5332" w:rsidR="00CA5332" w:rsidP="00CA5332" w14:paraId="4E05D007" w14:textId="396434EB">
      <w:pPr>
        <w:spacing w:after="0"/>
        <w:jc w:val="center"/>
        <w:rPr>
          <w:b/>
          <w:bCs/>
          <w:sz w:val="16"/>
          <w:szCs w:val="16"/>
        </w:rPr>
      </w:pPr>
      <w:r w:rsidRPr="008D22B8">
        <w:rPr>
          <w:b/>
          <w:bCs/>
          <w:sz w:val="16"/>
          <w:szCs w:val="16"/>
        </w:rPr>
        <w:t xml:space="preserve">Figura </w:t>
      </w:r>
      <w:r>
        <w:rPr>
          <w:b/>
          <w:bCs/>
          <w:sz w:val="16"/>
          <w:szCs w:val="16"/>
        </w:rPr>
        <w:t>10</w:t>
      </w:r>
      <w:r w:rsidRPr="008D22B8">
        <w:rPr>
          <w:b/>
          <w:bCs/>
          <w:sz w:val="16"/>
          <w:szCs w:val="16"/>
        </w:rPr>
        <w:t xml:space="preserve">: </w:t>
      </w:r>
      <w:r>
        <w:rPr>
          <w:b/>
          <w:bCs/>
          <w:sz w:val="16"/>
          <w:szCs w:val="16"/>
        </w:rPr>
        <w:t>Clúster k-</w:t>
      </w:r>
      <w:proofErr w:type="spellStart"/>
      <w:r>
        <w:rPr>
          <w:b/>
          <w:bCs/>
          <w:sz w:val="16"/>
          <w:szCs w:val="16"/>
        </w:rPr>
        <w:t>means</w:t>
      </w:r>
      <w:proofErr w:type="spellEnd"/>
    </w:p>
    <w:tbl>
      <w:tblPr>
        <w:tblStyle w:val="Tablaconcuadrcula"/>
        <w:tblW w:w="0" w:type="auto"/>
        <w:jc w:val="center"/>
        <w:tblLook w:firstRow="1" w:firstColumn="1" w:noHBand="0" w:val="04A0" w:lastRow="0" w:lastColumn="0" w:noVBand="1"/>
      </w:tblPr>
      <w:tblGrid>
        <w:gridCol w:w="5713"/>
      </w:tblGrid>
      <w:tr w:rsidTr="00CA5332" w:rsidR="00CA5332" w14:paraId="2C1A822D" w14:textId="77777777">
        <w:trPr>
          <w:jc w:val="center"/>
        </w:trPr>
        <w:tc>
          <w:tcPr>
            <w:tcW w:w="5713" w:type="dxa"/>
          </w:tcPr>
          <w:p w:rsidRDefault="00CA5332" w:rsidR="00CA5332" w:rsidP="009C2B46" w14:paraId="40B0AA4F" w14:textId="0D7A99C8">
            <w:pPr>
              <w:jc w:val="center"/>
            </w:pPr>
            <w:r>
              <w:rPr>
                <w:noProof/>
              </w:rPr>
              <w:drawing>
                <wp:inline distL="0" wp14:anchorId="336A3EA9" distT="0" distB="0" distR="0" wp14:editId="0B980F36">
                  <wp:extent cx="3260035" cy="2124297"/>
                  <wp:effectExtent r="0" b="0" t="0" l="0"/>
                  <wp:docPr name="Imagen 66" id="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r:embed="rId48"/>
                          <a:stretch>
                            <a:fillRect/>
                          </a:stretch>
                        </pic:blipFill>
                        <pic:spPr>
                          <a:xfrm>
                            <a:off x="0" y="0"/>
                            <a:ext cx="3327556" cy="2168295"/>
                          </a:xfrm>
                          <a:prstGeom prst="rect">
                            <a:avLst/>
                          </a:prstGeom>
                        </pic:spPr>
                      </pic:pic>
                    </a:graphicData>
                  </a:graphic>
                </wp:inline>
              </w:drawing>
            </w:r>
          </w:p>
        </w:tc>
      </w:tr>
      <w:tr w:rsidTr="00CA5332" w:rsidR="00CA5332" w14:paraId="283AFA22" w14:textId="77777777">
        <w:trPr>
          <w:jc w:val="center"/>
        </w:trPr>
        <w:tc>
          <w:tcPr>
            <w:tcW w:w="5713" w:type="dxa"/>
          </w:tcPr>
          <w:p w:rsidRDefault="00CA5332" w:rsidR="00CA5332" w:rsidP="00CA5332" w14:paraId="1000C4C7" w14:textId="5B45E3B0">
            <w:pPr>
              <w:jc w:val="center"/>
            </w:pPr>
            <w:r>
              <w:rPr>
                <w:noProof/>
              </w:rPr>
              <w:lastRenderedPageBreak/>
              <w:drawing>
                <wp:inline distL="0" wp14:anchorId="233CD0FF" distT="0" distB="0" distR="0" wp14:editId="22303DDB">
                  <wp:extent cx="3453281" cy="2250219"/>
                  <wp:effectExtent r="0" b="0" t="0" l="0"/>
                  <wp:docPr name="Imagen 67" id="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r:embed="rId49"/>
                          <a:stretch>
                            <a:fillRect/>
                          </a:stretch>
                        </pic:blipFill>
                        <pic:spPr>
                          <a:xfrm>
                            <a:off x="0" y="0"/>
                            <a:ext cx="3483637" cy="2270000"/>
                          </a:xfrm>
                          <a:prstGeom prst="rect">
                            <a:avLst/>
                          </a:prstGeom>
                        </pic:spPr>
                      </pic:pic>
                    </a:graphicData>
                  </a:graphic>
                </wp:inline>
              </w:drawing>
            </w:r>
          </w:p>
        </w:tc>
      </w:tr>
      <w:tr w:rsidTr="00CA5332" w:rsidR="00CA5332" w14:paraId="15B4F5D7" w14:textId="77777777">
        <w:trPr>
          <w:jc w:val="center"/>
        </w:trPr>
        <w:tc>
          <w:tcPr>
            <w:tcW w:w="5713" w:type="dxa"/>
          </w:tcPr>
          <w:p w:rsidRPr="008D22B8" w:rsidRDefault="00CA5332" w:rsidR="00CA5332" w:rsidP="00CA5332" w14:paraId="51273780" w14:textId="77777777">
            <w:pPr>
              <w:jc w:val="center"/>
              <w:rPr>
                <w:i/>
                <w:iCs/>
                <w:noProof/>
                <w:sz w:val="16"/>
                <w:szCs w:val="16"/>
              </w:rPr>
            </w:pPr>
            <w:r w:rsidRPr="008D22B8">
              <w:rPr>
                <w:i/>
                <w:iCs/>
                <w:noProof/>
                <w:sz w:val="16"/>
                <w:szCs w:val="16"/>
              </w:rPr>
              <w:t>Fuente: Elaboración propia.</w:t>
            </w:r>
          </w:p>
          <w:p w:rsidRDefault="00CA5332" w:rsidR="00CA5332" w:rsidP="00CA5332" w14:paraId="70AF71FD" w14:textId="1E6802E3">
            <w:pPr>
              <w:jc w:val="center"/>
              <w:rPr>
                <w:noProof/>
              </w:rPr>
            </w:pPr>
            <w:r w:rsidRPr="008D22B8">
              <w:rPr>
                <w:i/>
                <w:iCs/>
                <w:noProof/>
                <w:sz w:val="16"/>
                <w:szCs w:val="16"/>
              </w:rPr>
              <w:t>Datos:</w:t>
            </w:r>
            <w:r>
              <w:rPr>
                <w:i/>
                <w:iCs/>
                <w:noProof/>
                <w:sz w:val="16"/>
                <w:szCs w:val="16"/>
              </w:rPr>
              <w:t xml:space="preserve"> DANE 2018 &amp; DAP Gobernación de Antioquia</w:t>
            </w:r>
            <w:r w:rsidRPr="00461898">
              <w:rPr>
                <w:i/>
                <w:iCs/>
                <w:noProof/>
                <w:sz w:val="16"/>
                <w:szCs w:val="16"/>
              </w:rPr>
              <w:t xml:space="preserve"> 2018</w:t>
            </w:r>
            <w:r>
              <w:rPr>
                <w:i/>
                <w:iCs/>
                <w:noProof/>
                <w:sz w:val="16"/>
                <w:szCs w:val="16"/>
              </w:rPr>
              <w:t>.</w:t>
            </w:r>
          </w:p>
        </w:tc>
      </w:tr>
    </w:tbl>
    <w:p w:rsidRDefault="009C0949" w:rsidR="009C0949" w:rsidP="009C0949" w14:paraId="2F912421" w14:textId="6553127F">
      <w:pPr>
        <w:jc w:val="both"/>
      </w:pPr>
    </w:p>
    <w:p w:rsidRDefault="004846AE" w:rsidR="004846AE" w:rsidP="009C0949" w14:paraId="0CA54DA9" w14:textId="06FC9323">
      <w:pPr>
        <w:jc w:val="both"/>
      </w:pPr>
      <w:r>
        <w:t>Cada uno del clúster agrupa regiones que tienen similares variables, una vez identificados se obtienen que: el clúster 1 asocia a regiones con un nivel de desarrollo más elevado ya que posee una menor población rural, mayor cobertura de servicios públicos, altas tasas de educación, empleo y un nivel de ingresos más elevados mientras que el clúster 2 agrupa las regiones con menor calidad de vida y con potencial de ser más pobres dado sus bajos niveles de indicadores. Los indicadores 3 y 4 poseen características muy similares siendo el diferencial en los indicadores de educación, no obstante, estos son municipios con bajo nivel de cobertura de servicios públicos y empleo. El último clúster como se mencionó pertenece a la ciudad de Medellín que por sus grandes proporciones se agrupa en un único clúster.</w:t>
      </w:r>
    </w:p>
    <w:p w:rsidRDefault="004846AE" w:rsidR="004846AE" w:rsidP="009C0949" w14:paraId="22A55C0A" w14:textId="5DC4B414">
      <w:pPr>
        <w:jc w:val="both"/>
      </w:pPr>
      <w:r>
        <w:t>En la figura 11 se muestre los niveles promedio de las variables para cada clúster.</w:t>
      </w:r>
    </w:p>
    <w:p w:rsidRPr="008D22B8" w:rsidRDefault="004846AE" w:rsidR="004846AE" w:rsidP="004846AE" w14:paraId="3CDA688B" w14:textId="7373C7F7">
      <w:pPr>
        <w:spacing w:after="0"/>
        <w:jc w:val="center"/>
        <w:rPr>
          <w:b/>
          <w:bCs/>
          <w:sz w:val="16"/>
          <w:szCs w:val="16"/>
        </w:rPr>
      </w:pPr>
      <w:r w:rsidRPr="008D22B8">
        <w:rPr>
          <w:b/>
          <w:bCs/>
          <w:sz w:val="16"/>
          <w:szCs w:val="16"/>
        </w:rPr>
        <w:t xml:space="preserve">Figura </w:t>
      </w:r>
      <w:r>
        <w:rPr>
          <w:b/>
          <w:bCs/>
          <w:sz w:val="16"/>
          <w:szCs w:val="16"/>
        </w:rPr>
        <w:t>11</w:t>
      </w:r>
      <w:r w:rsidRPr="008D22B8">
        <w:rPr>
          <w:b/>
          <w:bCs/>
          <w:sz w:val="16"/>
          <w:szCs w:val="16"/>
        </w:rPr>
        <w:t xml:space="preserve">: </w:t>
      </w:r>
      <w:r>
        <w:rPr>
          <w:b/>
          <w:bCs/>
          <w:sz w:val="16"/>
          <w:szCs w:val="16"/>
        </w:rPr>
        <w:t>Resumen promedio de Clústeres</w:t>
      </w:r>
    </w:p>
    <w:tbl>
      <w:tblPr>
        <w:tblW w:w="5000" w:type="pct"/>
        <w:tblCellMar>
          <w:left w:w="70" w:type="dxa"/>
          <w:right w:w="70" w:type="dxa"/>
        </w:tblCellMar>
        <w:tblLook w:firstRow="1" w:firstColumn="1" w:noHBand="0" w:val="04A0" w:lastRow="0" w:lastColumn="0" w:noVBand="1"/>
      </w:tblPr>
      <w:tblGrid>
        <w:gridCol w:w="787"/>
        <w:gridCol w:w="1127"/>
        <w:gridCol w:w="931"/>
        <w:gridCol w:w="843"/>
        <w:gridCol w:w="696"/>
        <w:gridCol w:w="749"/>
        <w:gridCol w:w="768"/>
        <w:gridCol w:w="750"/>
        <w:gridCol w:w="800"/>
        <w:gridCol w:w="655"/>
        <w:gridCol w:w="722"/>
      </w:tblGrid>
      <w:tr w:rsidRPr="009C2B46" w:rsidTr="00DD0898" w:rsidR="004846AE" w14:paraId="6D0169DE" w14:textId="77777777">
        <w:trPr>
          <w:trHeight w:val="300"/>
        </w:trPr>
        <w:tc>
          <w:tcPr>
            <w:tcW w:w="446" w:type="pct"/>
            <w:tcBorders>
              <w:top w:val="single" w:sz="4" w:color="auto" w:space="0"/>
              <w:left w:val="single" w:sz="4" w:color="auto" w:space="0"/>
              <w:bottom w:val="single" w:sz="4" w:color="auto" w:space="0"/>
              <w:right w:val="single" w:sz="4" w:color="auto" w:space="0"/>
            </w:tcBorders>
            <w:shd w:val="clear" w:color="000000" w:fill="002060"/>
            <w:noWrap/>
            <w:vAlign w:val="center"/>
            <w:hideMark/>
          </w:tcPr>
          <w:p w:rsidRPr="009C2B46" w:rsidRDefault="004846AE" w:rsidR="004846AE" w:rsidP="00FF6453" w14:paraId="0C7D1484" w14:textId="77777777">
            <w:pPr>
              <w:spacing w:line="240" w:after="0" w:lineRule="auto"/>
              <w:jc w:val="center"/>
              <w:rPr>
                <w:rFonts w:eastAsia="Times New Roman"/>
                <w:color w:val="FFFFFF"/>
                <w:sz w:val="18"/>
                <w:szCs w:val="18"/>
              </w:rPr>
            </w:pPr>
            <w:r w:rsidRPr="009C2B46">
              <w:rPr>
                <w:rFonts w:eastAsia="Times New Roman"/>
                <w:color w:val="FFFFFF"/>
                <w:sz w:val="18"/>
                <w:szCs w:val="18"/>
              </w:rPr>
              <w:t>Clúster</w:t>
            </w:r>
          </w:p>
        </w:tc>
        <w:tc>
          <w:tcPr>
            <w:tcW w:w="638" w:type="pct"/>
            <w:tcBorders>
              <w:top w:val="single" w:sz="4" w:color="auto" w:space="0"/>
              <w:left w:val="nil"/>
              <w:bottom w:val="single" w:sz="4" w:color="auto" w:space="0"/>
              <w:right w:val="single" w:sz="4" w:color="auto" w:space="0"/>
            </w:tcBorders>
            <w:shd w:val="clear" w:color="000000" w:fill="002060"/>
            <w:noWrap/>
            <w:vAlign w:val="center"/>
            <w:hideMark/>
          </w:tcPr>
          <w:p w:rsidRPr="009C2B46" w:rsidRDefault="004846AE" w:rsidR="004846AE" w:rsidP="00FF6453" w14:paraId="3588BC82" w14:textId="77777777">
            <w:pPr>
              <w:spacing w:line="240" w:after="0" w:lineRule="auto"/>
              <w:jc w:val="center"/>
              <w:rPr>
                <w:rFonts w:eastAsia="Times New Roman"/>
                <w:color w:val="FFFFFF"/>
                <w:sz w:val="18"/>
                <w:szCs w:val="18"/>
              </w:rPr>
            </w:pPr>
            <w:r w:rsidRPr="009C2B46">
              <w:rPr>
                <w:rFonts w:eastAsia="Times New Roman"/>
                <w:color w:val="FFFFFF"/>
                <w:sz w:val="18"/>
                <w:szCs w:val="18"/>
              </w:rPr>
              <w:t>VentaP</w:t>
            </w:r>
            <w:r>
              <w:rPr>
                <w:rFonts w:eastAsia="Times New Roman"/>
                <w:color w:val="FFFFFF"/>
                <w:sz w:val="18"/>
                <w:szCs w:val="18"/>
              </w:rPr>
              <w:t>C</w:t>
            </w:r>
            <w:r w:rsidRPr="009C2B46">
              <w:rPr>
                <w:rFonts w:eastAsia="Times New Roman"/>
                <w:color w:val="FFFFFF"/>
                <w:sz w:val="18"/>
                <w:szCs w:val="18"/>
              </w:rPr>
              <w:t>2018</w:t>
            </w:r>
          </w:p>
        </w:tc>
        <w:tc>
          <w:tcPr>
            <w:tcW w:w="528" w:type="pct"/>
            <w:tcBorders>
              <w:top w:val="single" w:sz="4" w:color="auto" w:space="0"/>
              <w:left w:val="nil"/>
              <w:bottom w:val="single" w:sz="4" w:color="auto" w:space="0"/>
              <w:right w:val="single" w:sz="4" w:color="auto" w:space="0"/>
            </w:tcBorders>
            <w:shd w:val="clear" w:color="000000" w:fill="002060"/>
            <w:noWrap/>
            <w:vAlign w:val="center"/>
            <w:hideMark/>
          </w:tcPr>
          <w:p w:rsidRPr="009C2B46" w:rsidRDefault="004846AE" w:rsidR="004846AE" w:rsidP="00FF6453" w14:paraId="59B495AD" w14:textId="77777777">
            <w:pPr>
              <w:spacing w:line="240" w:after="0" w:lineRule="auto"/>
              <w:jc w:val="center"/>
              <w:rPr>
                <w:rFonts w:eastAsia="Times New Roman"/>
                <w:color w:val="FFFFFF"/>
                <w:sz w:val="18"/>
                <w:szCs w:val="18"/>
              </w:rPr>
            </w:pPr>
            <w:proofErr w:type="spellStart"/>
            <w:r w:rsidRPr="009C2B46">
              <w:rPr>
                <w:rFonts w:eastAsia="Times New Roman"/>
                <w:color w:val="FFFFFF"/>
                <w:sz w:val="18"/>
                <w:szCs w:val="18"/>
              </w:rPr>
              <w:t>Pob_Rur</w:t>
            </w:r>
            <w:proofErr w:type="spellEnd"/>
          </w:p>
        </w:tc>
        <w:tc>
          <w:tcPr>
            <w:tcW w:w="477" w:type="pct"/>
            <w:tcBorders>
              <w:top w:val="single" w:sz="4" w:color="auto" w:space="0"/>
              <w:left w:val="nil"/>
              <w:bottom w:val="single" w:sz="4" w:color="auto" w:space="0"/>
              <w:right w:val="single" w:sz="4" w:color="auto" w:space="0"/>
            </w:tcBorders>
            <w:shd w:val="clear" w:color="000000" w:fill="002060"/>
            <w:noWrap/>
            <w:vAlign w:val="center"/>
            <w:hideMark/>
          </w:tcPr>
          <w:p w:rsidRPr="009C2B46" w:rsidRDefault="004846AE" w:rsidR="004846AE" w:rsidP="00FF6453" w14:paraId="7FDEEE80" w14:textId="77777777">
            <w:pPr>
              <w:spacing w:line="240" w:after="0" w:lineRule="auto"/>
              <w:jc w:val="center"/>
              <w:rPr>
                <w:rFonts w:eastAsia="Times New Roman"/>
                <w:color w:val="FFFFFF"/>
                <w:sz w:val="18"/>
                <w:szCs w:val="18"/>
              </w:rPr>
            </w:pPr>
            <w:proofErr w:type="spellStart"/>
            <w:r w:rsidRPr="009C2B46">
              <w:rPr>
                <w:rFonts w:eastAsia="Times New Roman"/>
                <w:color w:val="FFFFFF"/>
                <w:sz w:val="18"/>
                <w:szCs w:val="18"/>
              </w:rPr>
              <w:t>Agua_Tot</w:t>
            </w:r>
            <w:proofErr w:type="spellEnd"/>
          </w:p>
        </w:tc>
        <w:tc>
          <w:tcPr>
            <w:tcW w:w="394" w:type="pct"/>
            <w:tcBorders>
              <w:top w:val="single" w:sz="4" w:color="auto" w:space="0"/>
              <w:left w:val="nil"/>
              <w:bottom w:val="single" w:sz="4" w:color="auto" w:space="0"/>
              <w:right w:val="single" w:sz="4" w:color="auto" w:space="0"/>
            </w:tcBorders>
            <w:shd w:val="clear" w:color="000000" w:fill="002060"/>
            <w:noWrap/>
            <w:vAlign w:val="center"/>
            <w:hideMark/>
          </w:tcPr>
          <w:p w:rsidRPr="009C2B46" w:rsidRDefault="004846AE" w:rsidR="004846AE" w:rsidP="00FF6453" w14:paraId="2670B0D8" w14:textId="77777777">
            <w:pPr>
              <w:spacing w:line="240" w:after="0" w:lineRule="auto"/>
              <w:jc w:val="center"/>
              <w:rPr>
                <w:rFonts w:eastAsia="Times New Roman"/>
                <w:color w:val="FFFFFF"/>
                <w:sz w:val="18"/>
                <w:szCs w:val="18"/>
              </w:rPr>
            </w:pPr>
            <w:proofErr w:type="spellStart"/>
            <w:r w:rsidRPr="009C2B46">
              <w:rPr>
                <w:rFonts w:eastAsia="Times New Roman"/>
                <w:color w:val="FFFFFF"/>
                <w:sz w:val="18"/>
                <w:szCs w:val="18"/>
              </w:rPr>
              <w:t>Alc_Tot</w:t>
            </w:r>
            <w:proofErr w:type="spellEnd"/>
          </w:p>
        </w:tc>
        <w:tc>
          <w:tcPr>
            <w:tcW w:w="424" w:type="pct"/>
            <w:tcBorders>
              <w:top w:val="single" w:sz="4" w:color="auto" w:space="0"/>
              <w:left w:val="nil"/>
              <w:bottom w:val="single" w:sz="4" w:color="auto" w:space="0"/>
              <w:right w:val="single" w:sz="4" w:color="auto" w:space="0"/>
            </w:tcBorders>
            <w:shd w:val="clear" w:color="000000" w:fill="002060"/>
            <w:noWrap/>
            <w:vAlign w:val="center"/>
            <w:hideMark/>
          </w:tcPr>
          <w:p w:rsidRPr="009C2B46" w:rsidRDefault="004846AE" w:rsidR="004846AE" w:rsidP="00FF6453" w14:paraId="4C3D0A30" w14:textId="77777777">
            <w:pPr>
              <w:spacing w:line="240" w:after="0" w:lineRule="auto"/>
              <w:jc w:val="center"/>
              <w:rPr>
                <w:rFonts w:eastAsia="Times New Roman"/>
                <w:color w:val="FFFFFF"/>
                <w:sz w:val="18"/>
                <w:szCs w:val="18"/>
              </w:rPr>
            </w:pPr>
            <w:proofErr w:type="spellStart"/>
            <w:r w:rsidRPr="009C2B46">
              <w:rPr>
                <w:rFonts w:eastAsia="Times New Roman"/>
                <w:color w:val="FFFFFF"/>
                <w:sz w:val="18"/>
                <w:szCs w:val="18"/>
              </w:rPr>
              <w:t>Acu_Tot</w:t>
            </w:r>
            <w:proofErr w:type="spellEnd"/>
          </w:p>
        </w:tc>
        <w:tc>
          <w:tcPr>
            <w:tcW w:w="435" w:type="pct"/>
            <w:tcBorders>
              <w:top w:val="single" w:sz="4" w:color="auto" w:space="0"/>
              <w:left w:val="nil"/>
              <w:bottom w:val="single" w:sz="4" w:color="auto" w:space="0"/>
              <w:right w:val="single" w:sz="4" w:color="auto" w:space="0"/>
            </w:tcBorders>
            <w:shd w:val="clear" w:color="000000" w:fill="002060"/>
            <w:noWrap/>
            <w:vAlign w:val="center"/>
            <w:hideMark/>
          </w:tcPr>
          <w:p w:rsidRPr="009C2B46" w:rsidRDefault="004846AE" w:rsidR="004846AE" w:rsidP="00FF6453" w14:paraId="5CBCA45C" w14:textId="77777777">
            <w:pPr>
              <w:spacing w:line="240" w:after="0" w:lineRule="auto"/>
              <w:jc w:val="center"/>
              <w:rPr>
                <w:rFonts w:eastAsia="Times New Roman"/>
                <w:color w:val="FFFFFF"/>
                <w:sz w:val="18"/>
                <w:szCs w:val="18"/>
              </w:rPr>
            </w:pPr>
            <w:proofErr w:type="spellStart"/>
            <w:r w:rsidRPr="009C2B46">
              <w:rPr>
                <w:rFonts w:eastAsia="Times New Roman"/>
                <w:color w:val="FFFFFF"/>
                <w:sz w:val="18"/>
                <w:szCs w:val="18"/>
              </w:rPr>
              <w:t>Elec_Tot</w:t>
            </w:r>
            <w:proofErr w:type="spellEnd"/>
          </w:p>
        </w:tc>
        <w:tc>
          <w:tcPr>
            <w:tcW w:w="425" w:type="pct"/>
            <w:tcBorders>
              <w:top w:val="single" w:sz="4" w:color="auto" w:space="0"/>
              <w:left w:val="nil"/>
              <w:bottom w:val="single" w:sz="4" w:color="auto" w:space="0"/>
              <w:right w:val="single" w:sz="4" w:color="auto" w:space="0"/>
            </w:tcBorders>
            <w:shd w:val="clear" w:color="000000" w:fill="002060"/>
            <w:noWrap/>
            <w:vAlign w:val="center"/>
            <w:hideMark/>
          </w:tcPr>
          <w:p w:rsidRPr="009C2B46" w:rsidRDefault="004846AE" w:rsidR="004846AE" w:rsidP="00FF6453" w14:paraId="4BFA3DDB" w14:textId="77777777">
            <w:pPr>
              <w:spacing w:line="240" w:after="0" w:lineRule="auto"/>
              <w:jc w:val="center"/>
              <w:rPr>
                <w:rFonts w:eastAsia="Times New Roman"/>
                <w:color w:val="FFFFFF"/>
                <w:sz w:val="18"/>
                <w:szCs w:val="18"/>
              </w:rPr>
            </w:pPr>
            <w:proofErr w:type="spellStart"/>
            <w:r w:rsidRPr="009C2B46">
              <w:rPr>
                <w:rFonts w:eastAsia="Times New Roman"/>
                <w:color w:val="FFFFFF"/>
                <w:sz w:val="18"/>
                <w:szCs w:val="18"/>
              </w:rPr>
              <w:t>Edu_Tot</w:t>
            </w:r>
            <w:proofErr w:type="spellEnd"/>
          </w:p>
        </w:tc>
        <w:tc>
          <w:tcPr>
            <w:tcW w:w="453" w:type="pct"/>
            <w:tcBorders>
              <w:top w:val="single" w:sz="4" w:color="auto" w:space="0"/>
              <w:left w:val="nil"/>
              <w:bottom w:val="single" w:sz="4" w:color="auto" w:space="0"/>
              <w:right w:val="single" w:sz="4" w:color="auto" w:space="0"/>
            </w:tcBorders>
            <w:shd w:val="clear" w:color="000000" w:fill="002060"/>
            <w:noWrap/>
            <w:vAlign w:val="center"/>
            <w:hideMark/>
          </w:tcPr>
          <w:p w:rsidRPr="009C2B46" w:rsidRDefault="004846AE" w:rsidR="004846AE" w:rsidP="00FF6453" w14:paraId="5A23CBA1" w14:textId="77777777">
            <w:pPr>
              <w:spacing w:line="240" w:after="0" w:lineRule="auto"/>
              <w:jc w:val="center"/>
              <w:rPr>
                <w:rFonts w:eastAsia="Times New Roman"/>
                <w:color w:val="FFFFFF"/>
                <w:sz w:val="18"/>
                <w:szCs w:val="18"/>
              </w:rPr>
            </w:pPr>
            <w:proofErr w:type="spellStart"/>
            <w:r w:rsidRPr="009C2B46">
              <w:rPr>
                <w:rFonts w:eastAsia="Times New Roman"/>
                <w:color w:val="FFFFFF"/>
                <w:sz w:val="18"/>
                <w:szCs w:val="18"/>
              </w:rPr>
              <w:t>Emp_Tot</w:t>
            </w:r>
            <w:proofErr w:type="spellEnd"/>
          </w:p>
        </w:tc>
        <w:tc>
          <w:tcPr>
            <w:tcW w:w="371" w:type="pct"/>
            <w:tcBorders>
              <w:top w:val="single" w:sz="4" w:color="auto" w:space="0"/>
              <w:left w:val="nil"/>
              <w:bottom w:val="single" w:sz="4" w:color="auto" w:space="0"/>
              <w:right w:val="single" w:sz="4" w:color="auto" w:space="0"/>
            </w:tcBorders>
            <w:shd w:val="clear" w:color="000000" w:fill="002060"/>
            <w:noWrap/>
            <w:vAlign w:val="center"/>
            <w:hideMark/>
          </w:tcPr>
          <w:p w:rsidRPr="009C2B46" w:rsidRDefault="004846AE" w:rsidR="004846AE" w:rsidP="00FF6453" w14:paraId="2A47CDDC" w14:textId="77777777">
            <w:pPr>
              <w:spacing w:line="240" w:after="0" w:lineRule="auto"/>
              <w:jc w:val="center"/>
              <w:rPr>
                <w:rFonts w:eastAsia="Times New Roman"/>
                <w:color w:val="FFFFFF"/>
                <w:sz w:val="18"/>
                <w:szCs w:val="18"/>
              </w:rPr>
            </w:pPr>
            <w:r w:rsidRPr="009C2B46">
              <w:rPr>
                <w:rFonts w:eastAsia="Times New Roman"/>
                <w:color w:val="FFFFFF"/>
                <w:sz w:val="18"/>
                <w:szCs w:val="18"/>
              </w:rPr>
              <w:t>PIB_PC</w:t>
            </w:r>
          </w:p>
        </w:tc>
        <w:tc>
          <w:tcPr>
            <w:tcW w:w="409" w:type="pct"/>
            <w:tcBorders>
              <w:top w:val="single" w:sz="4" w:color="auto" w:space="0"/>
              <w:left w:val="nil"/>
              <w:bottom w:val="single" w:sz="4" w:color="auto" w:space="0"/>
              <w:right w:val="single" w:sz="4" w:color="auto" w:space="0"/>
            </w:tcBorders>
            <w:shd w:val="clear" w:color="000000" w:fill="002060"/>
            <w:noWrap/>
            <w:vAlign w:val="center"/>
            <w:hideMark/>
          </w:tcPr>
          <w:p w:rsidRPr="009C2B46" w:rsidRDefault="004846AE" w:rsidR="004846AE" w:rsidP="00FF6453" w14:paraId="1FB139C1" w14:textId="77777777">
            <w:pPr>
              <w:spacing w:line="240" w:after="0" w:lineRule="auto"/>
              <w:jc w:val="center"/>
              <w:rPr>
                <w:rFonts w:eastAsia="Times New Roman"/>
                <w:color w:val="FFFFFF"/>
                <w:sz w:val="18"/>
                <w:szCs w:val="18"/>
              </w:rPr>
            </w:pPr>
            <w:r w:rsidRPr="009C2B46">
              <w:rPr>
                <w:rFonts w:eastAsia="Times New Roman"/>
                <w:color w:val="FFFFFF"/>
                <w:sz w:val="18"/>
                <w:szCs w:val="18"/>
              </w:rPr>
              <w:t>Accesos</w:t>
            </w:r>
          </w:p>
        </w:tc>
      </w:tr>
      <w:tr w:rsidRPr="009C2B46" w:rsidTr="00DD0898" w:rsidR="004846AE" w14:paraId="55DA766E" w14:textId="77777777">
        <w:trPr>
          <w:trHeight w:val="300"/>
        </w:trPr>
        <w:tc>
          <w:tcPr>
            <w:tcW w:w="446" w:type="pct"/>
            <w:tcBorders>
              <w:top w:val="nil"/>
              <w:left w:val="single" w:sz="4" w:color="auto" w:space="0"/>
              <w:bottom w:val="single" w:sz="4" w:color="auto" w:space="0"/>
              <w:right w:val="nil"/>
            </w:tcBorders>
            <w:shd w:val="clear" w:color="000000" w:fill="8EA9DB"/>
            <w:noWrap/>
            <w:vAlign w:val="center"/>
            <w:hideMark/>
          </w:tcPr>
          <w:p w:rsidRPr="009C2B46" w:rsidRDefault="004846AE" w:rsidR="004846AE" w:rsidP="00FF6453" w14:paraId="6A4751CC" w14:textId="77777777">
            <w:pPr>
              <w:spacing w:line="240" w:after="0" w:lineRule="auto"/>
              <w:jc w:val="center"/>
              <w:rPr>
                <w:rFonts w:eastAsia="Times New Roman"/>
                <w:color w:val="000000"/>
                <w:sz w:val="18"/>
                <w:szCs w:val="18"/>
              </w:rPr>
            </w:pPr>
            <w:proofErr w:type="spellStart"/>
            <w:r w:rsidRPr="009C2B46">
              <w:rPr>
                <w:rFonts w:eastAsia="Times New Roman"/>
                <w:color w:val="000000"/>
                <w:sz w:val="18"/>
                <w:szCs w:val="18"/>
              </w:rPr>
              <w:t>Cluster</w:t>
            </w:r>
            <w:proofErr w:type="spellEnd"/>
            <w:r w:rsidRPr="009C2B46">
              <w:rPr>
                <w:rFonts w:eastAsia="Times New Roman"/>
                <w:color w:val="000000"/>
                <w:sz w:val="18"/>
                <w:szCs w:val="18"/>
              </w:rPr>
              <w:t xml:space="preserve"> 1</w:t>
            </w:r>
          </w:p>
        </w:tc>
        <w:tc>
          <w:tcPr>
            <w:tcW w:w="638" w:type="pct"/>
            <w:tcBorders>
              <w:top w:val="nil"/>
              <w:left w:val="single" w:sz="4" w:color="auto" w:space="0"/>
              <w:bottom w:val="single" w:sz="4" w:color="auto" w:space="0"/>
              <w:right w:val="single" w:sz="4" w:color="auto" w:space="0"/>
            </w:tcBorders>
            <w:shd w:val="clear" w:color="auto" w:fill="auto"/>
            <w:noWrap/>
            <w:vAlign w:val="center"/>
            <w:hideMark/>
          </w:tcPr>
          <w:p w:rsidRPr="009C2B46" w:rsidRDefault="004846AE" w:rsidR="004846AE" w:rsidP="00FF6453" w14:paraId="4D19EB88" w14:textId="77777777">
            <w:pPr>
              <w:spacing w:line="240" w:after="0" w:lineRule="auto"/>
              <w:jc w:val="center"/>
              <w:rPr>
                <w:rFonts w:eastAsia="Times New Roman"/>
                <w:color w:val="000000"/>
                <w:sz w:val="18"/>
                <w:szCs w:val="18"/>
              </w:rPr>
            </w:pPr>
            <w:r w:rsidRPr="009C2B46">
              <w:rPr>
                <w:rFonts w:eastAsia="Times New Roman"/>
                <w:color w:val="000000"/>
                <w:sz w:val="18"/>
                <w:szCs w:val="18"/>
              </w:rPr>
              <w:t>62,709</w:t>
            </w:r>
          </w:p>
        </w:tc>
        <w:tc>
          <w:tcPr>
            <w:tcW w:w="528"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766D93E0" w14:textId="77777777">
            <w:pPr>
              <w:spacing w:line="240" w:after="0" w:lineRule="auto"/>
              <w:jc w:val="center"/>
              <w:rPr>
                <w:rFonts w:eastAsia="Times New Roman"/>
                <w:color w:val="000000"/>
                <w:sz w:val="18"/>
                <w:szCs w:val="18"/>
              </w:rPr>
            </w:pPr>
            <w:r w:rsidRPr="009C2B46">
              <w:rPr>
                <w:rFonts w:eastAsia="Times New Roman"/>
                <w:color w:val="000000"/>
                <w:sz w:val="18"/>
                <w:szCs w:val="18"/>
              </w:rPr>
              <w:t>38</w:t>
            </w:r>
          </w:p>
        </w:tc>
        <w:tc>
          <w:tcPr>
            <w:tcW w:w="477"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64CEDF8D" w14:textId="77777777">
            <w:pPr>
              <w:spacing w:line="240" w:after="0" w:lineRule="auto"/>
              <w:jc w:val="center"/>
              <w:rPr>
                <w:rFonts w:eastAsia="Times New Roman"/>
                <w:color w:val="000000"/>
                <w:sz w:val="18"/>
                <w:szCs w:val="18"/>
              </w:rPr>
            </w:pPr>
            <w:r w:rsidRPr="009C2B46">
              <w:rPr>
                <w:rFonts w:eastAsia="Times New Roman"/>
                <w:color w:val="000000"/>
                <w:sz w:val="18"/>
                <w:szCs w:val="18"/>
              </w:rPr>
              <w:t>76</w:t>
            </w:r>
          </w:p>
        </w:tc>
        <w:tc>
          <w:tcPr>
            <w:tcW w:w="394"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6F6302B4" w14:textId="77777777">
            <w:pPr>
              <w:spacing w:line="240" w:after="0" w:lineRule="auto"/>
              <w:jc w:val="center"/>
              <w:rPr>
                <w:rFonts w:eastAsia="Times New Roman"/>
                <w:color w:val="000000"/>
                <w:sz w:val="18"/>
                <w:szCs w:val="18"/>
              </w:rPr>
            </w:pPr>
            <w:r w:rsidRPr="009C2B46">
              <w:rPr>
                <w:rFonts w:eastAsia="Times New Roman"/>
                <w:color w:val="000000"/>
                <w:sz w:val="18"/>
                <w:szCs w:val="18"/>
              </w:rPr>
              <w:t>76</w:t>
            </w:r>
          </w:p>
        </w:tc>
        <w:tc>
          <w:tcPr>
            <w:tcW w:w="424"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446BB577" w14:textId="77777777">
            <w:pPr>
              <w:spacing w:line="240" w:after="0" w:lineRule="auto"/>
              <w:jc w:val="center"/>
              <w:rPr>
                <w:rFonts w:eastAsia="Times New Roman"/>
                <w:color w:val="000000"/>
                <w:sz w:val="18"/>
                <w:szCs w:val="18"/>
              </w:rPr>
            </w:pPr>
            <w:r w:rsidRPr="009C2B46">
              <w:rPr>
                <w:rFonts w:eastAsia="Times New Roman"/>
                <w:color w:val="000000"/>
                <w:sz w:val="18"/>
                <w:szCs w:val="18"/>
              </w:rPr>
              <w:t>90</w:t>
            </w:r>
          </w:p>
        </w:tc>
        <w:tc>
          <w:tcPr>
            <w:tcW w:w="435"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731D7CA8" w14:textId="77777777">
            <w:pPr>
              <w:spacing w:line="240" w:after="0" w:lineRule="auto"/>
              <w:jc w:val="center"/>
              <w:rPr>
                <w:rFonts w:eastAsia="Times New Roman"/>
                <w:color w:val="000000"/>
                <w:sz w:val="18"/>
                <w:szCs w:val="18"/>
              </w:rPr>
            </w:pPr>
            <w:r w:rsidRPr="009C2B46">
              <w:rPr>
                <w:rFonts w:eastAsia="Times New Roman"/>
                <w:color w:val="000000"/>
                <w:sz w:val="18"/>
                <w:szCs w:val="18"/>
              </w:rPr>
              <w:t>99</w:t>
            </w:r>
          </w:p>
        </w:tc>
        <w:tc>
          <w:tcPr>
            <w:tcW w:w="425"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4D441E7C" w14:textId="77777777">
            <w:pPr>
              <w:spacing w:line="240" w:after="0" w:lineRule="auto"/>
              <w:jc w:val="center"/>
              <w:rPr>
                <w:rFonts w:eastAsia="Times New Roman"/>
                <w:color w:val="000000"/>
                <w:sz w:val="18"/>
                <w:szCs w:val="18"/>
              </w:rPr>
            </w:pPr>
            <w:r w:rsidRPr="009C2B46">
              <w:rPr>
                <w:rFonts w:eastAsia="Times New Roman"/>
                <w:color w:val="000000"/>
                <w:sz w:val="18"/>
                <w:szCs w:val="18"/>
              </w:rPr>
              <w:t>70</w:t>
            </w:r>
          </w:p>
        </w:tc>
        <w:tc>
          <w:tcPr>
            <w:tcW w:w="453"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495252CA" w14:textId="77777777">
            <w:pPr>
              <w:spacing w:line="240" w:after="0" w:lineRule="auto"/>
              <w:jc w:val="center"/>
              <w:rPr>
                <w:rFonts w:eastAsia="Times New Roman"/>
                <w:color w:val="000000"/>
                <w:sz w:val="18"/>
                <w:szCs w:val="18"/>
              </w:rPr>
            </w:pPr>
            <w:r w:rsidRPr="009C2B46">
              <w:rPr>
                <w:rFonts w:eastAsia="Times New Roman"/>
                <w:color w:val="000000"/>
                <w:sz w:val="18"/>
                <w:szCs w:val="18"/>
              </w:rPr>
              <w:t>1,877</w:t>
            </w:r>
          </w:p>
        </w:tc>
        <w:tc>
          <w:tcPr>
            <w:tcW w:w="371"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763EDDC1" w14:textId="77777777">
            <w:pPr>
              <w:spacing w:line="240" w:after="0" w:lineRule="auto"/>
              <w:jc w:val="center"/>
              <w:rPr>
                <w:rFonts w:eastAsia="Times New Roman"/>
                <w:color w:val="000000"/>
                <w:sz w:val="18"/>
                <w:szCs w:val="18"/>
              </w:rPr>
            </w:pPr>
            <w:r w:rsidRPr="009C2B46">
              <w:rPr>
                <w:rFonts w:eastAsia="Times New Roman"/>
                <w:color w:val="000000"/>
                <w:sz w:val="18"/>
                <w:szCs w:val="18"/>
              </w:rPr>
              <w:t>21,372</w:t>
            </w:r>
          </w:p>
        </w:tc>
        <w:tc>
          <w:tcPr>
            <w:tcW w:w="409"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64CE352A" w14:textId="77777777">
            <w:pPr>
              <w:spacing w:line="240" w:after="0" w:lineRule="auto"/>
              <w:jc w:val="center"/>
              <w:rPr>
                <w:rFonts w:eastAsia="Times New Roman"/>
                <w:color w:val="000000"/>
                <w:sz w:val="18"/>
                <w:szCs w:val="18"/>
              </w:rPr>
            </w:pPr>
            <w:r w:rsidRPr="009C2B46">
              <w:rPr>
                <w:rFonts w:eastAsia="Times New Roman"/>
                <w:color w:val="000000"/>
                <w:sz w:val="18"/>
                <w:szCs w:val="18"/>
              </w:rPr>
              <w:t>4</w:t>
            </w:r>
          </w:p>
        </w:tc>
      </w:tr>
      <w:tr w:rsidRPr="009C2B46" w:rsidTr="00DD0898" w:rsidR="004846AE" w14:paraId="5FDE8A7B" w14:textId="77777777">
        <w:trPr>
          <w:trHeight w:val="300"/>
        </w:trPr>
        <w:tc>
          <w:tcPr>
            <w:tcW w:w="446" w:type="pct"/>
            <w:tcBorders>
              <w:top w:val="nil"/>
              <w:left w:val="single" w:sz="4" w:color="auto" w:space="0"/>
              <w:bottom w:val="single" w:sz="4" w:color="auto" w:space="0"/>
              <w:right w:val="nil"/>
            </w:tcBorders>
            <w:shd w:val="clear" w:color="000000" w:fill="8EA9DB"/>
            <w:noWrap/>
            <w:vAlign w:val="center"/>
            <w:hideMark/>
          </w:tcPr>
          <w:p w:rsidRPr="009C2B46" w:rsidRDefault="004846AE" w:rsidR="004846AE" w:rsidP="00FF6453" w14:paraId="38FE4290" w14:textId="77777777">
            <w:pPr>
              <w:spacing w:line="240" w:after="0" w:lineRule="auto"/>
              <w:jc w:val="center"/>
              <w:rPr>
                <w:rFonts w:eastAsia="Times New Roman"/>
                <w:color w:val="000000"/>
                <w:sz w:val="18"/>
                <w:szCs w:val="18"/>
              </w:rPr>
            </w:pPr>
            <w:proofErr w:type="spellStart"/>
            <w:r w:rsidRPr="009C2B46">
              <w:rPr>
                <w:rFonts w:eastAsia="Times New Roman"/>
                <w:color w:val="000000"/>
                <w:sz w:val="18"/>
                <w:szCs w:val="18"/>
              </w:rPr>
              <w:t>Cluster</w:t>
            </w:r>
            <w:proofErr w:type="spellEnd"/>
            <w:r w:rsidRPr="009C2B46">
              <w:rPr>
                <w:rFonts w:eastAsia="Times New Roman"/>
                <w:color w:val="000000"/>
                <w:sz w:val="18"/>
                <w:szCs w:val="18"/>
              </w:rPr>
              <w:t xml:space="preserve"> 2</w:t>
            </w:r>
          </w:p>
        </w:tc>
        <w:tc>
          <w:tcPr>
            <w:tcW w:w="638" w:type="pct"/>
            <w:tcBorders>
              <w:top w:val="nil"/>
              <w:left w:val="single" w:sz="4" w:color="auto" w:space="0"/>
              <w:bottom w:val="single" w:sz="4" w:color="auto" w:space="0"/>
              <w:right w:val="single" w:sz="4" w:color="auto" w:space="0"/>
            </w:tcBorders>
            <w:shd w:val="clear" w:color="auto" w:fill="auto"/>
            <w:noWrap/>
            <w:vAlign w:val="center"/>
            <w:hideMark/>
          </w:tcPr>
          <w:p w:rsidRPr="009C2B46" w:rsidRDefault="004846AE" w:rsidR="004846AE" w:rsidP="00FF6453" w14:paraId="0D4C57AC" w14:textId="77777777">
            <w:pPr>
              <w:spacing w:line="240" w:after="0" w:lineRule="auto"/>
              <w:jc w:val="center"/>
              <w:rPr>
                <w:rFonts w:eastAsia="Times New Roman"/>
                <w:color w:val="000000"/>
                <w:sz w:val="18"/>
                <w:szCs w:val="18"/>
              </w:rPr>
            </w:pPr>
            <w:r w:rsidRPr="009C2B46">
              <w:rPr>
                <w:rFonts w:eastAsia="Times New Roman"/>
                <w:color w:val="000000"/>
                <w:sz w:val="18"/>
                <w:szCs w:val="18"/>
              </w:rPr>
              <w:t>26,525</w:t>
            </w:r>
          </w:p>
        </w:tc>
        <w:tc>
          <w:tcPr>
            <w:tcW w:w="528"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44CC0E4B" w14:textId="77777777">
            <w:pPr>
              <w:spacing w:line="240" w:after="0" w:lineRule="auto"/>
              <w:jc w:val="center"/>
              <w:rPr>
                <w:rFonts w:eastAsia="Times New Roman"/>
                <w:color w:val="000000"/>
                <w:sz w:val="18"/>
                <w:szCs w:val="18"/>
              </w:rPr>
            </w:pPr>
            <w:r w:rsidRPr="009C2B46">
              <w:rPr>
                <w:rFonts w:eastAsia="Times New Roman"/>
                <w:color w:val="000000"/>
                <w:sz w:val="18"/>
                <w:szCs w:val="18"/>
              </w:rPr>
              <w:t>61</w:t>
            </w:r>
          </w:p>
        </w:tc>
        <w:tc>
          <w:tcPr>
            <w:tcW w:w="477"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634D1E8C" w14:textId="77777777">
            <w:pPr>
              <w:spacing w:line="240" w:after="0" w:lineRule="auto"/>
              <w:jc w:val="center"/>
              <w:rPr>
                <w:rFonts w:eastAsia="Times New Roman"/>
                <w:color w:val="000000"/>
                <w:sz w:val="18"/>
                <w:szCs w:val="18"/>
              </w:rPr>
            </w:pPr>
            <w:r w:rsidRPr="009C2B46">
              <w:rPr>
                <w:rFonts w:eastAsia="Times New Roman"/>
                <w:color w:val="000000"/>
                <w:sz w:val="18"/>
                <w:szCs w:val="18"/>
              </w:rPr>
              <w:t>31</w:t>
            </w:r>
          </w:p>
        </w:tc>
        <w:tc>
          <w:tcPr>
            <w:tcW w:w="394"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2099CFC1" w14:textId="77777777">
            <w:pPr>
              <w:spacing w:line="240" w:after="0" w:lineRule="auto"/>
              <w:jc w:val="center"/>
              <w:rPr>
                <w:rFonts w:eastAsia="Times New Roman"/>
                <w:color w:val="000000"/>
                <w:sz w:val="18"/>
                <w:szCs w:val="18"/>
              </w:rPr>
            </w:pPr>
            <w:r w:rsidRPr="009C2B46">
              <w:rPr>
                <w:rFonts w:eastAsia="Times New Roman"/>
                <w:color w:val="000000"/>
                <w:sz w:val="18"/>
                <w:szCs w:val="18"/>
              </w:rPr>
              <w:t>35</w:t>
            </w:r>
          </w:p>
        </w:tc>
        <w:tc>
          <w:tcPr>
            <w:tcW w:w="424"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47C3F25C" w14:textId="77777777">
            <w:pPr>
              <w:spacing w:line="240" w:after="0" w:lineRule="auto"/>
              <w:jc w:val="center"/>
              <w:rPr>
                <w:rFonts w:eastAsia="Times New Roman"/>
                <w:color w:val="000000"/>
                <w:sz w:val="18"/>
                <w:szCs w:val="18"/>
              </w:rPr>
            </w:pPr>
            <w:r w:rsidRPr="009C2B46">
              <w:rPr>
                <w:rFonts w:eastAsia="Times New Roman"/>
                <w:color w:val="000000"/>
                <w:sz w:val="18"/>
                <w:szCs w:val="18"/>
              </w:rPr>
              <w:t>41</w:t>
            </w:r>
          </w:p>
        </w:tc>
        <w:tc>
          <w:tcPr>
            <w:tcW w:w="435"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433585B1" w14:textId="77777777">
            <w:pPr>
              <w:spacing w:line="240" w:after="0" w:lineRule="auto"/>
              <w:jc w:val="center"/>
              <w:rPr>
                <w:rFonts w:eastAsia="Times New Roman"/>
                <w:color w:val="000000"/>
                <w:sz w:val="18"/>
                <w:szCs w:val="18"/>
              </w:rPr>
            </w:pPr>
            <w:r w:rsidRPr="009C2B46">
              <w:rPr>
                <w:rFonts w:eastAsia="Times New Roman"/>
                <w:color w:val="000000"/>
                <w:sz w:val="18"/>
                <w:szCs w:val="18"/>
              </w:rPr>
              <w:t>87</w:t>
            </w:r>
          </w:p>
        </w:tc>
        <w:tc>
          <w:tcPr>
            <w:tcW w:w="425"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7756C212" w14:textId="77777777">
            <w:pPr>
              <w:spacing w:line="240" w:after="0" w:lineRule="auto"/>
              <w:jc w:val="center"/>
              <w:rPr>
                <w:rFonts w:eastAsia="Times New Roman"/>
                <w:color w:val="000000"/>
                <w:sz w:val="18"/>
                <w:szCs w:val="18"/>
              </w:rPr>
            </w:pPr>
            <w:r w:rsidRPr="009C2B46">
              <w:rPr>
                <w:rFonts w:eastAsia="Times New Roman"/>
                <w:color w:val="000000"/>
                <w:sz w:val="18"/>
                <w:szCs w:val="18"/>
              </w:rPr>
              <w:t>79</w:t>
            </w:r>
          </w:p>
        </w:tc>
        <w:tc>
          <w:tcPr>
            <w:tcW w:w="453"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56602685" w14:textId="77777777">
            <w:pPr>
              <w:spacing w:line="240" w:after="0" w:lineRule="auto"/>
              <w:jc w:val="center"/>
              <w:rPr>
                <w:rFonts w:eastAsia="Times New Roman"/>
                <w:color w:val="000000"/>
                <w:sz w:val="18"/>
                <w:szCs w:val="18"/>
              </w:rPr>
            </w:pPr>
            <w:r w:rsidRPr="009C2B46">
              <w:rPr>
                <w:rFonts w:eastAsia="Times New Roman"/>
                <w:color w:val="000000"/>
                <w:sz w:val="18"/>
                <w:szCs w:val="18"/>
              </w:rPr>
              <w:t>336</w:t>
            </w:r>
          </w:p>
        </w:tc>
        <w:tc>
          <w:tcPr>
            <w:tcW w:w="371"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41B2B16E" w14:textId="77777777">
            <w:pPr>
              <w:spacing w:line="240" w:after="0" w:lineRule="auto"/>
              <w:jc w:val="center"/>
              <w:rPr>
                <w:rFonts w:eastAsia="Times New Roman"/>
                <w:color w:val="000000"/>
                <w:sz w:val="18"/>
                <w:szCs w:val="18"/>
              </w:rPr>
            </w:pPr>
            <w:r w:rsidRPr="009C2B46">
              <w:rPr>
                <w:rFonts w:eastAsia="Times New Roman"/>
                <w:color w:val="000000"/>
                <w:sz w:val="18"/>
                <w:szCs w:val="18"/>
              </w:rPr>
              <w:t>18,088</w:t>
            </w:r>
          </w:p>
        </w:tc>
        <w:tc>
          <w:tcPr>
            <w:tcW w:w="409"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7F4D9F20" w14:textId="77777777">
            <w:pPr>
              <w:spacing w:line="240" w:after="0" w:lineRule="auto"/>
              <w:jc w:val="center"/>
              <w:rPr>
                <w:rFonts w:eastAsia="Times New Roman"/>
                <w:color w:val="000000"/>
                <w:sz w:val="18"/>
                <w:szCs w:val="18"/>
              </w:rPr>
            </w:pPr>
            <w:r w:rsidRPr="009C2B46">
              <w:rPr>
                <w:rFonts w:eastAsia="Times New Roman"/>
                <w:color w:val="000000"/>
                <w:sz w:val="18"/>
                <w:szCs w:val="18"/>
              </w:rPr>
              <w:t>4</w:t>
            </w:r>
          </w:p>
        </w:tc>
      </w:tr>
      <w:tr w:rsidRPr="009C2B46" w:rsidTr="00DD0898" w:rsidR="004846AE" w14:paraId="5137EFCF" w14:textId="77777777">
        <w:trPr>
          <w:trHeight w:val="300"/>
        </w:trPr>
        <w:tc>
          <w:tcPr>
            <w:tcW w:w="446" w:type="pct"/>
            <w:tcBorders>
              <w:top w:val="nil"/>
              <w:left w:val="single" w:sz="4" w:color="auto" w:space="0"/>
              <w:bottom w:val="single" w:sz="4" w:color="auto" w:space="0"/>
              <w:right w:val="nil"/>
            </w:tcBorders>
            <w:shd w:val="clear" w:color="000000" w:fill="8EA9DB"/>
            <w:noWrap/>
            <w:vAlign w:val="center"/>
            <w:hideMark/>
          </w:tcPr>
          <w:p w:rsidRPr="009C2B46" w:rsidRDefault="004846AE" w:rsidR="004846AE" w:rsidP="00FF6453" w14:paraId="77737443" w14:textId="77777777">
            <w:pPr>
              <w:spacing w:line="240" w:after="0" w:lineRule="auto"/>
              <w:jc w:val="center"/>
              <w:rPr>
                <w:rFonts w:eastAsia="Times New Roman"/>
                <w:color w:val="000000"/>
                <w:sz w:val="18"/>
                <w:szCs w:val="18"/>
              </w:rPr>
            </w:pPr>
            <w:proofErr w:type="spellStart"/>
            <w:r w:rsidRPr="009C2B46">
              <w:rPr>
                <w:rFonts w:eastAsia="Times New Roman"/>
                <w:color w:val="000000"/>
                <w:sz w:val="18"/>
                <w:szCs w:val="18"/>
              </w:rPr>
              <w:t>Cluster</w:t>
            </w:r>
            <w:proofErr w:type="spellEnd"/>
            <w:r w:rsidRPr="009C2B46">
              <w:rPr>
                <w:rFonts w:eastAsia="Times New Roman"/>
                <w:color w:val="000000"/>
                <w:sz w:val="18"/>
                <w:szCs w:val="18"/>
              </w:rPr>
              <w:t xml:space="preserve"> 3</w:t>
            </w:r>
          </w:p>
        </w:tc>
        <w:tc>
          <w:tcPr>
            <w:tcW w:w="638" w:type="pct"/>
            <w:tcBorders>
              <w:top w:val="nil"/>
              <w:left w:val="single" w:sz="4" w:color="auto" w:space="0"/>
              <w:bottom w:val="single" w:sz="4" w:color="auto" w:space="0"/>
              <w:right w:val="single" w:sz="4" w:color="auto" w:space="0"/>
            </w:tcBorders>
            <w:shd w:val="clear" w:color="auto" w:fill="auto"/>
            <w:noWrap/>
            <w:vAlign w:val="center"/>
            <w:hideMark/>
          </w:tcPr>
          <w:p w:rsidRPr="009C2B46" w:rsidRDefault="004846AE" w:rsidR="004846AE" w:rsidP="00FF6453" w14:paraId="2340178B" w14:textId="77777777">
            <w:pPr>
              <w:spacing w:line="240" w:after="0" w:lineRule="auto"/>
              <w:jc w:val="center"/>
              <w:rPr>
                <w:rFonts w:eastAsia="Times New Roman"/>
                <w:color w:val="000000"/>
                <w:sz w:val="18"/>
                <w:szCs w:val="18"/>
              </w:rPr>
            </w:pPr>
            <w:r w:rsidRPr="009C2B46">
              <w:rPr>
                <w:rFonts w:eastAsia="Times New Roman"/>
                <w:color w:val="000000"/>
                <w:sz w:val="18"/>
                <w:szCs w:val="18"/>
              </w:rPr>
              <w:t>37,944</w:t>
            </w:r>
          </w:p>
        </w:tc>
        <w:tc>
          <w:tcPr>
            <w:tcW w:w="528"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6CD3E3DE" w14:textId="77777777">
            <w:pPr>
              <w:spacing w:line="240" w:after="0" w:lineRule="auto"/>
              <w:jc w:val="center"/>
              <w:rPr>
                <w:rFonts w:eastAsia="Times New Roman"/>
                <w:color w:val="000000"/>
                <w:sz w:val="18"/>
                <w:szCs w:val="18"/>
              </w:rPr>
            </w:pPr>
            <w:r w:rsidRPr="009C2B46">
              <w:rPr>
                <w:rFonts w:eastAsia="Times New Roman"/>
                <w:color w:val="000000"/>
                <w:sz w:val="18"/>
                <w:szCs w:val="18"/>
              </w:rPr>
              <w:t>65</w:t>
            </w:r>
          </w:p>
        </w:tc>
        <w:tc>
          <w:tcPr>
            <w:tcW w:w="477"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17D9BA94" w14:textId="77777777">
            <w:pPr>
              <w:spacing w:line="240" w:after="0" w:lineRule="auto"/>
              <w:jc w:val="center"/>
              <w:rPr>
                <w:rFonts w:eastAsia="Times New Roman"/>
                <w:color w:val="000000"/>
                <w:sz w:val="18"/>
                <w:szCs w:val="18"/>
              </w:rPr>
            </w:pPr>
            <w:r w:rsidRPr="009C2B46">
              <w:rPr>
                <w:rFonts w:eastAsia="Times New Roman"/>
                <w:color w:val="000000"/>
                <w:sz w:val="18"/>
                <w:szCs w:val="18"/>
              </w:rPr>
              <w:t>38</w:t>
            </w:r>
          </w:p>
        </w:tc>
        <w:tc>
          <w:tcPr>
            <w:tcW w:w="394"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16D78E38" w14:textId="77777777">
            <w:pPr>
              <w:spacing w:line="240" w:after="0" w:lineRule="auto"/>
              <w:jc w:val="center"/>
              <w:rPr>
                <w:rFonts w:eastAsia="Times New Roman"/>
                <w:color w:val="000000"/>
                <w:sz w:val="18"/>
                <w:szCs w:val="18"/>
              </w:rPr>
            </w:pPr>
            <w:r w:rsidRPr="009C2B46">
              <w:rPr>
                <w:rFonts w:eastAsia="Times New Roman"/>
                <w:color w:val="000000"/>
                <w:sz w:val="18"/>
                <w:szCs w:val="18"/>
              </w:rPr>
              <w:t>42</w:t>
            </w:r>
          </w:p>
        </w:tc>
        <w:tc>
          <w:tcPr>
            <w:tcW w:w="424"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6677B4A3" w14:textId="77777777">
            <w:pPr>
              <w:spacing w:line="240" w:after="0" w:lineRule="auto"/>
              <w:jc w:val="center"/>
              <w:rPr>
                <w:rFonts w:eastAsia="Times New Roman"/>
                <w:color w:val="000000"/>
                <w:sz w:val="18"/>
                <w:szCs w:val="18"/>
              </w:rPr>
            </w:pPr>
            <w:r w:rsidRPr="009C2B46">
              <w:rPr>
                <w:rFonts w:eastAsia="Times New Roman"/>
                <w:color w:val="000000"/>
                <w:sz w:val="18"/>
                <w:szCs w:val="18"/>
              </w:rPr>
              <w:t>67</w:t>
            </w:r>
          </w:p>
        </w:tc>
        <w:tc>
          <w:tcPr>
            <w:tcW w:w="435"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1959B732" w14:textId="77777777">
            <w:pPr>
              <w:spacing w:line="240" w:after="0" w:lineRule="auto"/>
              <w:jc w:val="center"/>
              <w:rPr>
                <w:rFonts w:eastAsia="Times New Roman"/>
                <w:color w:val="000000"/>
                <w:sz w:val="18"/>
                <w:szCs w:val="18"/>
              </w:rPr>
            </w:pPr>
            <w:r w:rsidRPr="009C2B46">
              <w:rPr>
                <w:rFonts w:eastAsia="Times New Roman"/>
                <w:color w:val="000000"/>
                <w:sz w:val="18"/>
                <w:szCs w:val="18"/>
              </w:rPr>
              <w:t>97</w:t>
            </w:r>
          </w:p>
        </w:tc>
        <w:tc>
          <w:tcPr>
            <w:tcW w:w="425"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21D5B4CF" w14:textId="77777777">
            <w:pPr>
              <w:spacing w:line="240" w:after="0" w:lineRule="auto"/>
              <w:jc w:val="center"/>
              <w:rPr>
                <w:rFonts w:eastAsia="Times New Roman"/>
                <w:color w:val="000000"/>
                <w:sz w:val="18"/>
                <w:szCs w:val="18"/>
              </w:rPr>
            </w:pPr>
            <w:r w:rsidRPr="009C2B46">
              <w:rPr>
                <w:rFonts w:eastAsia="Times New Roman"/>
                <w:color w:val="000000"/>
                <w:sz w:val="18"/>
                <w:szCs w:val="18"/>
              </w:rPr>
              <w:t>57</w:t>
            </w:r>
          </w:p>
        </w:tc>
        <w:tc>
          <w:tcPr>
            <w:tcW w:w="453"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1E863328" w14:textId="77777777">
            <w:pPr>
              <w:spacing w:line="240" w:after="0" w:lineRule="auto"/>
              <w:jc w:val="center"/>
              <w:rPr>
                <w:rFonts w:eastAsia="Times New Roman"/>
                <w:color w:val="000000"/>
                <w:sz w:val="18"/>
                <w:szCs w:val="18"/>
              </w:rPr>
            </w:pPr>
            <w:r w:rsidRPr="009C2B46">
              <w:rPr>
                <w:rFonts w:eastAsia="Times New Roman"/>
                <w:color w:val="000000"/>
                <w:sz w:val="18"/>
                <w:szCs w:val="18"/>
              </w:rPr>
              <w:t>430</w:t>
            </w:r>
          </w:p>
        </w:tc>
        <w:tc>
          <w:tcPr>
            <w:tcW w:w="371"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1D6543B9" w14:textId="77777777">
            <w:pPr>
              <w:spacing w:line="240" w:after="0" w:lineRule="auto"/>
              <w:jc w:val="center"/>
              <w:rPr>
                <w:rFonts w:eastAsia="Times New Roman"/>
                <w:color w:val="000000"/>
                <w:sz w:val="18"/>
                <w:szCs w:val="18"/>
              </w:rPr>
            </w:pPr>
            <w:r w:rsidRPr="009C2B46">
              <w:rPr>
                <w:rFonts w:eastAsia="Times New Roman"/>
                <w:color w:val="000000"/>
                <w:sz w:val="18"/>
                <w:szCs w:val="18"/>
              </w:rPr>
              <w:t>16,032</w:t>
            </w:r>
          </w:p>
        </w:tc>
        <w:tc>
          <w:tcPr>
            <w:tcW w:w="409"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50E3E0E7" w14:textId="77777777">
            <w:pPr>
              <w:spacing w:line="240" w:after="0" w:lineRule="auto"/>
              <w:jc w:val="center"/>
              <w:rPr>
                <w:rFonts w:eastAsia="Times New Roman"/>
                <w:color w:val="000000"/>
                <w:sz w:val="18"/>
                <w:szCs w:val="18"/>
              </w:rPr>
            </w:pPr>
            <w:r w:rsidRPr="009C2B46">
              <w:rPr>
                <w:rFonts w:eastAsia="Times New Roman"/>
                <w:color w:val="000000"/>
                <w:sz w:val="18"/>
                <w:szCs w:val="18"/>
              </w:rPr>
              <w:t>3</w:t>
            </w:r>
          </w:p>
        </w:tc>
      </w:tr>
      <w:tr w:rsidRPr="009C2B46" w:rsidTr="00DD0898" w:rsidR="004846AE" w14:paraId="6E7DC364" w14:textId="77777777">
        <w:trPr>
          <w:trHeight w:val="300"/>
        </w:trPr>
        <w:tc>
          <w:tcPr>
            <w:tcW w:w="446" w:type="pct"/>
            <w:tcBorders>
              <w:top w:val="nil"/>
              <w:left w:val="single" w:sz="4" w:color="auto" w:space="0"/>
              <w:bottom w:val="single" w:sz="4" w:color="auto" w:space="0"/>
              <w:right w:val="nil"/>
            </w:tcBorders>
            <w:shd w:val="clear" w:color="000000" w:fill="8EA9DB"/>
            <w:noWrap/>
            <w:vAlign w:val="center"/>
            <w:hideMark/>
          </w:tcPr>
          <w:p w:rsidRPr="009C2B46" w:rsidRDefault="004846AE" w:rsidR="004846AE" w:rsidP="00FF6453" w14:paraId="69F7B5A2" w14:textId="77777777">
            <w:pPr>
              <w:spacing w:line="240" w:after="0" w:lineRule="auto"/>
              <w:jc w:val="center"/>
              <w:rPr>
                <w:rFonts w:eastAsia="Times New Roman"/>
                <w:color w:val="000000"/>
                <w:sz w:val="18"/>
                <w:szCs w:val="18"/>
              </w:rPr>
            </w:pPr>
            <w:proofErr w:type="spellStart"/>
            <w:r w:rsidRPr="009C2B46">
              <w:rPr>
                <w:rFonts w:eastAsia="Times New Roman"/>
                <w:color w:val="000000"/>
                <w:sz w:val="18"/>
                <w:szCs w:val="18"/>
              </w:rPr>
              <w:t>Custer</w:t>
            </w:r>
            <w:proofErr w:type="spellEnd"/>
            <w:r w:rsidRPr="009C2B46">
              <w:rPr>
                <w:rFonts w:eastAsia="Times New Roman"/>
                <w:color w:val="000000"/>
                <w:sz w:val="18"/>
                <w:szCs w:val="18"/>
              </w:rPr>
              <w:t xml:space="preserve"> 4</w:t>
            </w:r>
          </w:p>
        </w:tc>
        <w:tc>
          <w:tcPr>
            <w:tcW w:w="638" w:type="pct"/>
            <w:tcBorders>
              <w:top w:val="nil"/>
              <w:left w:val="single" w:sz="4" w:color="auto" w:space="0"/>
              <w:bottom w:val="single" w:sz="4" w:color="auto" w:space="0"/>
              <w:right w:val="single" w:sz="4" w:color="auto" w:space="0"/>
            </w:tcBorders>
            <w:shd w:val="clear" w:color="auto" w:fill="auto"/>
            <w:noWrap/>
            <w:vAlign w:val="center"/>
            <w:hideMark/>
          </w:tcPr>
          <w:p w:rsidRPr="009C2B46" w:rsidRDefault="004846AE" w:rsidR="004846AE" w:rsidP="00FF6453" w14:paraId="5EFFF518" w14:textId="77777777">
            <w:pPr>
              <w:spacing w:line="240" w:after="0" w:lineRule="auto"/>
              <w:jc w:val="center"/>
              <w:rPr>
                <w:rFonts w:eastAsia="Times New Roman"/>
                <w:color w:val="000000"/>
                <w:sz w:val="18"/>
                <w:szCs w:val="18"/>
              </w:rPr>
            </w:pPr>
            <w:r w:rsidRPr="009C2B46">
              <w:rPr>
                <w:rFonts w:eastAsia="Times New Roman"/>
                <w:color w:val="000000"/>
                <w:sz w:val="18"/>
                <w:szCs w:val="18"/>
              </w:rPr>
              <w:t>35,465</w:t>
            </w:r>
          </w:p>
        </w:tc>
        <w:tc>
          <w:tcPr>
            <w:tcW w:w="528"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1C6A937B" w14:textId="77777777">
            <w:pPr>
              <w:spacing w:line="240" w:after="0" w:lineRule="auto"/>
              <w:jc w:val="center"/>
              <w:rPr>
                <w:rFonts w:eastAsia="Times New Roman"/>
                <w:color w:val="000000"/>
                <w:sz w:val="18"/>
                <w:szCs w:val="18"/>
              </w:rPr>
            </w:pPr>
            <w:r w:rsidRPr="009C2B46">
              <w:rPr>
                <w:rFonts w:eastAsia="Times New Roman"/>
                <w:color w:val="000000"/>
                <w:sz w:val="18"/>
                <w:szCs w:val="18"/>
              </w:rPr>
              <w:t>57</w:t>
            </w:r>
          </w:p>
        </w:tc>
        <w:tc>
          <w:tcPr>
            <w:tcW w:w="477"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3FA88F87" w14:textId="77777777">
            <w:pPr>
              <w:spacing w:line="240" w:after="0" w:lineRule="auto"/>
              <w:jc w:val="center"/>
              <w:rPr>
                <w:rFonts w:eastAsia="Times New Roman"/>
                <w:color w:val="000000"/>
                <w:sz w:val="18"/>
                <w:szCs w:val="18"/>
              </w:rPr>
            </w:pPr>
            <w:r w:rsidRPr="009C2B46">
              <w:rPr>
                <w:rFonts w:eastAsia="Times New Roman"/>
                <w:color w:val="000000"/>
                <w:sz w:val="18"/>
                <w:szCs w:val="18"/>
              </w:rPr>
              <w:t>47</w:t>
            </w:r>
          </w:p>
        </w:tc>
        <w:tc>
          <w:tcPr>
            <w:tcW w:w="394"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40971093" w14:textId="77777777">
            <w:pPr>
              <w:spacing w:line="240" w:after="0" w:lineRule="auto"/>
              <w:jc w:val="center"/>
              <w:rPr>
                <w:rFonts w:eastAsia="Times New Roman"/>
                <w:color w:val="000000"/>
                <w:sz w:val="18"/>
                <w:szCs w:val="18"/>
              </w:rPr>
            </w:pPr>
            <w:r w:rsidRPr="009C2B46">
              <w:rPr>
                <w:rFonts w:eastAsia="Times New Roman"/>
                <w:color w:val="000000"/>
                <w:sz w:val="18"/>
                <w:szCs w:val="18"/>
              </w:rPr>
              <w:t>50</w:t>
            </w:r>
          </w:p>
        </w:tc>
        <w:tc>
          <w:tcPr>
            <w:tcW w:w="424"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7E63ABC5" w14:textId="77777777">
            <w:pPr>
              <w:spacing w:line="240" w:after="0" w:lineRule="auto"/>
              <w:jc w:val="center"/>
              <w:rPr>
                <w:rFonts w:eastAsia="Times New Roman"/>
                <w:color w:val="000000"/>
                <w:sz w:val="18"/>
                <w:szCs w:val="18"/>
              </w:rPr>
            </w:pPr>
            <w:r w:rsidRPr="009C2B46">
              <w:rPr>
                <w:rFonts w:eastAsia="Times New Roman"/>
                <w:color w:val="000000"/>
                <w:sz w:val="18"/>
                <w:szCs w:val="18"/>
              </w:rPr>
              <w:t>69</w:t>
            </w:r>
          </w:p>
        </w:tc>
        <w:tc>
          <w:tcPr>
            <w:tcW w:w="435"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50C192A3" w14:textId="77777777">
            <w:pPr>
              <w:spacing w:line="240" w:after="0" w:lineRule="auto"/>
              <w:jc w:val="center"/>
              <w:rPr>
                <w:rFonts w:eastAsia="Times New Roman"/>
                <w:color w:val="000000"/>
                <w:sz w:val="18"/>
                <w:szCs w:val="18"/>
              </w:rPr>
            </w:pPr>
            <w:r w:rsidRPr="009C2B46">
              <w:rPr>
                <w:rFonts w:eastAsia="Times New Roman"/>
                <w:color w:val="000000"/>
                <w:sz w:val="18"/>
                <w:szCs w:val="18"/>
              </w:rPr>
              <w:t>98</w:t>
            </w:r>
          </w:p>
        </w:tc>
        <w:tc>
          <w:tcPr>
            <w:tcW w:w="425"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2D234A9D" w14:textId="77777777">
            <w:pPr>
              <w:spacing w:line="240" w:after="0" w:lineRule="auto"/>
              <w:jc w:val="center"/>
              <w:rPr>
                <w:rFonts w:eastAsia="Times New Roman"/>
                <w:color w:val="000000"/>
                <w:sz w:val="18"/>
                <w:szCs w:val="18"/>
              </w:rPr>
            </w:pPr>
            <w:r w:rsidRPr="009C2B46">
              <w:rPr>
                <w:rFonts w:eastAsia="Times New Roman"/>
                <w:color w:val="000000"/>
                <w:sz w:val="18"/>
                <w:szCs w:val="18"/>
              </w:rPr>
              <w:t>86</w:t>
            </w:r>
          </w:p>
        </w:tc>
        <w:tc>
          <w:tcPr>
            <w:tcW w:w="453"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3DF222E1" w14:textId="77777777">
            <w:pPr>
              <w:spacing w:line="240" w:after="0" w:lineRule="auto"/>
              <w:jc w:val="center"/>
              <w:rPr>
                <w:rFonts w:eastAsia="Times New Roman"/>
                <w:color w:val="000000"/>
                <w:sz w:val="18"/>
                <w:szCs w:val="18"/>
              </w:rPr>
            </w:pPr>
            <w:r w:rsidRPr="009C2B46">
              <w:rPr>
                <w:rFonts w:eastAsia="Times New Roman"/>
                <w:color w:val="000000"/>
                <w:sz w:val="18"/>
                <w:szCs w:val="18"/>
              </w:rPr>
              <w:t>361</w:t>
            </w:r>
          </w:p>
        </w:tc>
        <w:tc>
          <w:tcPr>
            <w:tcW w:w="371"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0D30F446" w14:textId="77777777">
            <w:pPr>
              <w:spacing w:line="240" w:after="0" w:lineRule="auto"/>
              <w:jc w:val="center"/>
              <w:rPr>
                <w:rFonts w:eastAsia="Times New Roman"/>
                <w:color w:val="000000"/>
                <w:sz w:val="18"/>
                <w:szCs w:val="18"/>
              </w:rPr>
            </w:pPr>
            <w:r w:rsidRPr="009C2B46">
              <w:rPr>
                <w:rFonts w:eastAsia="Times New Roman"/>
                <w:color w:val="000000"/>
                <w:sz w:val="18"/>
                <w:szCs w:val="18"/>
              </w:rPr>
              <w:t>18,911</w:t>
            </w:r>
          </w:p>
        </w:tc>
        <w:tc>
          <w:tcPr>
            <w:tcW w:w="409"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2A17CF70" w14:textId="77777777">
            <w:pPr>
              <w:spacing w:line="240" w:after="0" w:lineRule="auto"/>
              <w:jc w:val="center"/>
              <w:rPr>
                <w:rFonts w:eastAsia="Times New Roman"/>
                <w:color w:val="000000"/>
                <w:sz w:val="18"/>
                <w:szCs w:val="18"/>
              </w:rPr>
            </w:pPr>
            <w:r w:rsidRPr="009C2B46">
              <w:rPr>
                <w:rFonts w:eastAsia="Times New Roman"/>
                <w:color w:val="000000"/>
                <w:sz w:val="18"/>
                <w:szCs w:val="18"/>
              </w:rPr>
              <w:t>4</w:t>
            </w:r>
          </w:p>
        </w:tc>
      </w:tr>
      <w:tr w:rsidRPr="009C2B46" w:rsidTr="00DD0898" w:rsidR="004846AE" w14:paraId="460F7309" w14:textId="77777777">
        <w:trPr>
          <w:trHeight w:val="300"/>
        </w:trPr>
        <w:tc>
          <w:tcPr>
            <w:tcW w:w="446" w:type="pct"/>
            <w:tcBorders>
              <w:top w:val="nil"/>
              <w:left w:val="single" w:sz="4" w:color="auto" w:space="0"/>
              <w:bottom w:val="single" w:sz="4" w:color="auto" w:space="0"/>
              <w:right w:val="nil"/>
            </w:tcBorders>
            <w:shd w:val="clear" w:color="000000" w:fill="8EA9DB"/>
            <w:noWrap/>
            <w:vAlign w:val="center"/>
            <w:hideMark/>
          </w:tcPr>
          <w:p w:rsidRPr="009C2B46" w:rsidRDefault="004846AE" w:rsidR="004846AE" w:rsidP="00FF6453" w14:paraId="69BDCD02" w14:textId="77777777">
            <w:pPr>
              <w:spacing w:line="240" w:after="0" w:lineRule="auto"/>
              <w:jc w:val="center"/>
              <w:rPr>
                <w:rFonts w:eastAsia="Times New Roman"/>
                <w:color w:val="000000"/>
                <w:sz w:val="18"/>
                <w:szCs w:val="18"/>
              </w:rPr>
            </w:pPr>
            <w:proofErr w:type="spellStart"/>
            <w:r w:rsidRPr="009C2B46">
              <w:rPr>
                <w:rFonts w:eastAsia="Times New Roman"/>
                <w:color w:val="000000"/>
                <w:sz w:val="18"/>
                <w:szCs w:val="18"/>
              </w:rPr>
              <w:t>Cluster</w:t>
            </w:r>
            <w:proofErr w:type="spellEnd"/>
            <w:r w:rsidRPr="009C2B46">
              <w:rPr>
                <w:rFonts w:eastAsia="Times New Roman"/>
                <w:color w:val="000000"/>
                <w:sz w:val="18"/>
                <w:szCs w:val="18"/>
              </w:rPr>
              <w:t xml:space="preserve"> 5</w:t>
            </w:r>
          </w:p>
        </w:tc>
        <w:tc>
          <w:tcPr>
            <w:tcW w:w="638" w:type="pct"/>
            <w:tcBorders>
              <w:top w:val="nil"/>
              <w:left w:val="single" w:sz="4" w:color="auto" w:space="0"/>
              <w:bottom w:val="single" w:sz="4" w:color="auto" w:space="0"/>
              <w:right w:val="single" w:sz="4" w:color="auto" w:space="0"/>
            </w:tcBorders>
            <w:shd w:val="clear" w:color="auto" w:fill="auto"/>
            <w:noWrap/>
            <w:vAlign w:val="center"/>
            <w:hideMark/>
          </w:tcPr>
          <w:p w:rsidRPr="009C2B46" w:rsidRDefault="004846AE" w:rsidR="004846AE" w:rsidP="00FF6453" w14:paraId="316EC555" w14:textId="77777777">
            <w:pPr>
              <w:spacing w:line="240" w:after="0" w:lineRule="auto"/>
              <w:jc w:val="center"/>
              <w:rPr>
                <w:rFonts w:eastAsia="Times New Roman"/>
                <w:color w:val="000000"/>
                <w:sz w:val="18"/>
                <w:szCs w:val="18"/>
              </w:rPr>
            </w:pPr>
            <w:r w:rsidRPr="009C2B46">
              <w:rPr>
                <w:rFonts w:eastAsia="Times New Roman"/>
                <w:color w:val="000000"/>
                <w:sz w:val="18"/>
                <w:szCs w:val="18"/>
              </w:rPr>
              <w:t>149,350</w:t>
            </w:r>
          </w:p>
        </w:tc>
        <w:tc>
          <w:tcPr>
            <w:tcW w:w="528"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01950E2C" w14:textId="77777777">
            <w:pPr>
              <w:spacing w:line="240" w:after="0" w:lineRule="auto"/>
              <w:jc w:val="center"/>
              <w:rPr>
                <w:rFonts w:eastAsia="Times New Roman"/>
                <w:color w:val="000000"/>
                <w:sz w:val="18"/>
                <w:szCs w:val="18"/>
              </w:rPr>
            </w:pPr>
            <w:r w:rsidRPr="009C2B46">
              <w:rPr>
                <w:rFonts w:eastAsia="Times New Roman"/>
                <w:color w:val="000000"/>
                <w:sz w:val="18"/>
                <w:szCs w:val="18"/>
              </w:rPr>
              <w:t>2</w:t>
            </w:r>
          </w:p>
        </w:tc>
        <w:tc>
          <w:tcPr>
            <w:tcW w:w="477"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4E4D5B9D" w14:textId="77777777">
            <w:pPr>
              <w:spacing w:line="240" w:after="0" w:lineRule="auto"/>
              <w:jc w:val="center"/>
              <w:rPr>
                <w:rFonts w:eastAsia="Times New Roman"/>
                <w:color w:val="000000"/>
                <w:sz w:val="18"/>
                <w:szCs w:val="18"/>
              </w:rPr>
            </w:pPr>
            <w:r w:rsidRPr="009C2B46">
              <w:rPr>
                <w:rFonts w:eastAsia="Times New Roman"/>
                <w:color w:val="000000"/>
                <w:sz w:val="18"/>
                <w:szCs w:val="18"/>
              </w:rPr>
              <w:t>97</w:t>
            </w:r>
          </w:p>
        </w:tc>
        <w:tc>
          <w:tcPr>
            <w:tcW w:w="394"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08C087A2" w14:textId="77777777">
            <w:pPr>
              <w:spacing w:line="240" w:after="0" w:lineRule="auto"/>
              <w:jc w:val="center"/>
              <w:rPr>
                <w:rFonts w:eastAsia="Times New Roman"/>
                <w:color w:val="000000"/>
                <w:sz w:val="18"/>
                <w:szCs w:val="18"/>
              </w:rPr>
            </w:pPr>
            <w:r w:rsidRPr="009C2B46">
              <w:rPr>
                <w:rFonts w:eastAsia="Times New Roman"/>
                <w:color w:val="000000"/>
                <w:sz w:val="18"/>
                <w:szCs w:val="18"/>
              </w:rPr>
              <w:t>97</w:t>
            </w:r>
          </w:p>
        </w:tc>
        <w:tc>
          <w:tcPr>
            <w:tcW w:w="424"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5D1FF883" w14:textId="77777777">
            <w:pPr>
              <w:spacing w:line="240" w:after="0" w:lineRule="auto"/>
              <w:jc w:val="center"/>
              <w:rPr>
                <w:rFonts w:eastAsia="Times New Roman"/>
                <w:color w:val="000000"/>
                <w:sz w:val="18"/>
                <w:szCs w:val="18"/>
              </w:rPr>
            </w:pPr>
            <w:r w:rsidRPr="009C2B46">
              <w:rPr>
                <w:rFonts w:eastAsia="Times New Roman"/>
                <w:color w:val="000000"/>
                <w:sz w:val="18"/>
                <w:szCs w:val="18"/>
              </w:rPr>
              <w:t>98</w:t>
            </w:r>
          </w:p>
        </w:tc>
        <w:tc>
          <w:tcPr>
            <w:tcW w:w="435"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2E8DAF4E" w14:textId="77777777">
            <w:pPr>
              <w:spacing w:line="240" w:after="0" w:lineRule="auto"/>
              <w:jc w:val="center"/>
              <w:rPr>
                <w:rFonts w:eastAsia="Times New Roman"/>
                <w:color w:val="000000"/>
                <w:sz w:val="18"/>
                <w:szCs w:val="18"/>
              </w:rPr>
            </w:pPr>
            <w:r w:rsidRPr="009C2B46">
              <w:rPr>
                <w:rFonts w:eastAsia="Times New Roman"/>
                <w:color w:val="000000"/>
                <w:sz w:val="18"/>
                <w:szCs w:val="18"/>
              </w:rPr>
              <w:t>100</w:t>
            </w:r>
          </w:p>
        </w:tc>
        <w:tc>
          <w:tcPr>
            <w:tcW w:w="425"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0C8B0487" w14:textId="77777777">
            <w:pPr>
              <w:spacing w:line="240" w:after="0" w:lineRule="auto"/>
              <w:jc w:val="center"/>
              <w:rPr>
                <w:rFonts w:eastAsia="Times New Roman"/>
                <w:color w:val="000000"/>
                <w:sz w:val="18"/>
                <w:szCs w:val="18"/>
              </w:rPr>
            </w:pPr>
            <w:r w:rsidRPr="009C2B46">
              <w:rPr>
                <w:rFonts w:eastAsia="Times New Roman"/>
                <w:color w:val="000000"/>
                <w:sz w:val="18"/>
                <w:szCs w:val="18"/>
              </w:rPr>
              <w:t>88</w:t>
            </w:r>
          </w:p>
        </w:tc>
        <w:tc>
          <w:tcPr>
            <w:tcW w:w="453"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4C396391" w14:textId="77777777">
            <w:pPr>
              <w:spacing w:line="240" w:after="0" w:lineRule="auto"/>
              <w:jc w:val="center"/>
              <w:rPr>
                <w:rFonts w:eastAsia="Times New Roman"/>
                <w:color w:val="000000"/>
                <w:sz w:val="18"/>
                <w:szCs w:val="18"/>
              </w:rPr>
            </w:pPr>
            <w:r w:rsidRPr="009C2B46">
              <w:rPr>
                <w:rFonts w:eastAsia="Times New Roman"/>
                <w:color w:val="000000"/>
                <w:sz w:val="18"/>
                <w:szCs w:val="18"/>
              </w:rPr>
              <w:t>110,182</w:t>
            </w:r>
          </w:p>
        </w:tc>
        <w:tc>
          <w:tcPr>
            <w:tcW w:w="371"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50AD982D" w14:textId="77777777">
            <w:pPr>
              <w:spacing w:line="240" w:after="0" w:lineRule="auto"/>
              <w:jc w:val="center"/>
              <w:rPr>
                <w:rFonts w:eastAsia="Times New Roman"/>
                <w:color w:val="000000"/>
                <w:sz w:val="18"/>
                <w:szCs w:val="18"/>
              </w:rPr>
            </w:pPr>
            <w:r w:rsidRPr="009C2B46">
              <w:rPr>
                <w:rFonts w:eastAsia="Times New Roman"/>
                <w:color w:val="000000"/>
                <w:sz w:val="18"/>
                <w:szCs w:val="18"/>
              </w:rPr>
              <w:t>25,645</w:t>
            </w:r>
          </w:p>
        </w:tc>
        <w:tc>
          <w:tcPr>
            <w:tcW w:w="409" w:type="pct"/>
            <w:tcBorders>
              <w:top w:val="nil"/>
              <w:left w:val="nil"/>
              <w:bottom w:val="single" w:sz="4" w:color="auto" w:space="0"/>
              <w:right w:val="single" w:sz="4" w:color="auto" w:space="0"/>
            </w:tcBorders>
            <w:shd w:val="clear" w:color="auto" w:fill="auto"/>
            <w:noWrap/>
            <w:vAlign w:val="center"/>
            <w:hideMark/>
          </w:tcPr>
          <w:p w:rsidRPr="009C2B46" w:rsidRDefault="004846AE" w:rsidR="004846AE" w:rsidP="00FF6453" w14:paraId="2EB3E2C5" w14:textId="77777777">
            <w:pPr>
              <w:spacing w:line="240" w:after="0" w:lineRule="auto"/>
              <w:jc w:val="center"/>
              <w:rPr>
                <w:rFonts w:eastAsia="Times New Roman"/>
                <w:color w:val="000000"/>
                <w:sz w:val="18"/>
                <w:szCs w:val="18"/>
              </w:rPr>
            </w:pPr>
            <w:r w:rsidRPr="009C2B46">
              <w:rPr>
                <w:rFonts w:eastAsia="Times New Roman"/>
                <w:color w:val="000000"/>
                <w:sz w:val="18"/>
                <w:szCs w:val="18"/>
              </w:rPr>
              <w:t>9</w:t>
            </w:r>
          </w:p>
        </w:tc>
      </w:tr>
    </w:tbl>
    <w:p w:rsidRPr="008D22B8" w:rsidRDefault="00DD0898" w:rsidR="00DD0898" w:rsidP="00DD0898" w14:paraId="291985E3" w14:textId="77777777">
      <w:pPr>
        <w:spacing w:after="0"/>
        <w:jc w:val="center"/>
        <w:rPr>
          <w:i/>
          <w:iCs/>
          <w:noProof/>
          <w:sz w:val="16"/>
          <w:szCs w:val="16"/>
        </w:rPr>
      </w:pPr>
      <w:r w:rsidRPr="008D22B8">
        <w:rPr>
          <w:i/>
          <w:iCs/>
          <w:noProof/>
          <w:sz w:val="16"/>
          <w:szCs w:val="16"/>
        </w:rPr>
        <w:t>Fuente: Elaboración propia.</w:t>
      </w:r>
    </w:p>
    <w:p w:rsidRDefault="00DD0898" w:rsidR="004846AE" w:rsidP="00DD0898" w14:paraId="5673853B" w14:textId="4200D20D">
      <w:pPr>
        <w:spacing w:after="0"/>
        <w:jc w:val="center"/>
      </w:pPr>
      <w:r w:rsidRPr="008D22B8">
        <w:rPr>
          <w:i/>
          <w:iCs/>
          <w:noProof/>
          <w:sz w:val="16"/>
          <w:szCs w:val="16"/>
        </w:rPr>
        <w:t>Datos:</w:t>
      </w:r>
      <w:r>
        <w:rPr>
          <w:i/>
          <w:iCs/>
          <w:noProof/>
          <w:sz w:val="16"/>
          <w:szCs w:val="16"/>
        </w:rPr>
        <w:t xml:space="preserve"> DANE 2018 &amp; DAP Gobernación de Antioquia</w:t>
      </w:r>
      <w:r w:rsidRPr="00461898">
        <w:rPr>
          <w:i/>
          <w:iCs/>
          <w:noProof/>
          <w:sz w:val="16"/>
          <w:szCs w:val="16"/>
        </w:rPr>
        <w:t xml:space="preserve"> 2018</w:t>
      </w:r>
      <w:r>
        <w:rPr>
          <w:i/>
          <w:iCs/>
          <w:noProof/>
          <w:sz w:val="16"/>
          <w:szCs w:val="16"/>
        </w:rPr>
        <w:t>.</w:t>
      </w:r>
    </w:p>
    <w:p w:rsidRDefault="00CA5332" w:rsidR="009C0949" w:rsidP="00DD0898" w14:paraId="71209BC1" w14:textId="29B0B3F5">
      <w:pPr>
        <w:spacing w:before="240"/>
        <w:jc w:val="both"/>
      </w:pPr>
      <w:r>
        <w:t>Encontrados estos clústeres, se muestra su respectivo análisis en la figura 12</w:t>
      </w:r>
      <w:r w:rsidR="004846AE">
        <w:t xml:space="preserve"> se analiza la correlación espacial entre estos clústeres y el nivel de venta de chance en esos municipios.</w:t>
      </w:r>
    </w:p>
    <w:p w:rsidRDefault="001D058D" w:rsidR="001D058D" w:rsidP="009C0949" w14:paraId="7AF48089" w14:textId="313F4768">
      <w:pPr>
        <w:jc w:val="both"/>
      </w:pPr>
      <w:r>
        <w:t>Por el análisis espacial de su mapa coroplético no se observa un patrón en específico de la compra de chance y las agrupaciones, visualmente la única salvedad es en el clúster 1, los cuales son los de mejor calidad de vida que tienen mayor venta de chance, concentrados principalmente en la zona del Valle de Aburrá, el oriente y el Suroeste; y en el clúster 3 el de nivel de calidad de vida promedio bajo como la zona del norte y el occidente que poseen menor nivel de venta de chance.</w:t>
      </w:r>
    </w:p>
    <w:p w:rsidRDefault="001D058D" w:rsidR="001D058D" w:rsidP="009C0949" w14:paraId="63A322A4" w14:textId="2CAADBDB">
      <w:pPr>
        <w:jc w:val="both"/>
      </w:pPr>
      <w:r>
        <w:lastRenderedPageBreak/>
        <w:t xml:space="preserve">Analizando el índice bivariado de Moran no se logra encontrar una dependencia espacial significativa y esta resulta ser negativa, por lo que nuevamente bajo esta premisa, se descarta la hipotesis </w:t>
      </w:r>
      <w:r w:rsidR="006705E4">
        <w:t>que las ventas se dan por un patrón regional en específico, y sólo queda en conclusión que las personas con mayores niveles de ingreso y calidad de vida destinan más dinero a los juegos de suerte y azar, como en el Valle de Aburrá, el oriente</w:t>
      </w:r>
    </w:p>
    <w:p w:rsidRPr="008D22B8" w:rsidRDefault="004846AE" w:rsidR="004846AE" w:rsidP="004846AE" w14:paraId="3EF118BC" w14:textId="452BC851">
      <w:pPr>
        <w:spacing w:after="0"/>
        <w:jc w:val="center"/>
        <w:rPr>
          <w:b/>
          <w:bCs/>
          <w:sz w:val="16"/>
          <w:szCs w:val="16"/>
        </w:rPr>
      </w:pPr>
      <w:r w:rsidRPr="008D22B8">
        <w:rPr>
          <w:b/>
          <w:bCs/>
          <w:sz w:val="16"/>
          <w:szCs w:val="16"/>
        </w:rPr>
        <w:t xml:space="preserve">Figura </w:t>
      </w:r>
      <w:r>
        <w:rPr>
          <w:b/>
          <w:bCs/>
          <w:sz w:val="16"/>
          <w:szCs w:val="16"/>
        </w:rPr>
        <w:t>12</w:t>
      </w:r>
      <w:r w:rsidRPr="008D22B8">
        <w:rPr>
          <w:b/>
          <w:bCs/>
          <w:sz w:val="16"/>
          <w:szCs w:val="16"/>
        </w:rPr>
        <w:t xml:space="preserve">: </w:t>
      </w:r>
      <w:r>
        <w:rPr>
          <w:b/>
          <w:bCs/>
          <w:sz w:val="16"/>
          <w:szCs w:val="16"/>
        </w:rPr>
        <w:t>Índice bivariado de Moran</w:t>
      </w:r>
      <w:r w:rsidRPr="008D22B8">
        <w:rPr>
          <w:b/>
          <w:bCs/>
          <w:sz w:val="16"/>
          <w:szCs w:val="16"/>
        </w:rPr>
        <w:t xml:space="preserve"> de ventas</w:t>
      </w:r>
      <w:r>
        <w:rPr>
          <w:b/>
          <w:bCs/>
          <w:sz w:val="16"/>
          <w:szCs w:val="16"/>
        </w:rPr>
        <w:t xml:space="preserve"> y LISA</w:t>
      </w:r>
      <w:r w:rsidRPr="008D22B8">
        <w:rPr>
          <w:b/>
          <w:bCs/>
          <w:sz w:val="16"/>
          <w:szCs w:val="16"/>
        </w:rPr>
        <w:t xml:space="preserve"> por chance per cápita y</w:t>
      </w:r>
      <w:r>
        <w:rPr>
          <w:b/>
          <w:bCs/>
          <w:sz w:val="16"/>
          <w:szCs w:val="16"/>
        </w:rPr>
        <w:t xml:space="preserve"> </w:t>
      </w:r>
      <w:r w:rsidR="00213BFD">
        <w:rPr>
          <w:b/>
          <w:bCs/>
          <w:sz w:val="16"/>
          <w:szCs w:val="16"/>
        </w:rPr>
        <w:t>los clústeres</w:t>
      </w:r>
    </w:p>
    <w:tbl>
      <w:tblPr>
        <w:tblStyle w:val="Tablaconcuadrcula"/>
        <w:tblW w:w="8217" w:type="dxa"/>
        <w:jc w:val="center"/>
        <w:tblLayout w:type="fixed"/>
        <w:tblLook w:firstRow="1" w:firstColumn="1" w:noHBand="0" w:val="04A0" w:lastRow="0" w:lastColumn="0" w:noVBand="1"/>
      </w:tblPr>
      <w:tblGrid>
        <w:gridCol w:w="4395"/>
        <w:gridCol w:w="3822"/>
      </w:tblGrid>
      <w:tr w:rsidTr="00CC1A15" w:rsidR="00081199" w14:paraId="374F27DC" w14:textId="77777777">
        <w:trPr>
          <w:jc w:val="center"/>
        </w:trPr>
        <w:tc>
          <w:tcPr>
            <w:tcW w:w="8217" w:type="dxa"/>
            <w:gridSpan w:val="2"/>
            <w:vAlign w:val="center"/>
          </w:tcPr>
          <w:p w:rsidRDefault="00081199" w:rsidR="00081199" w:rsidP="002C1818" w14:paraId="7BCF1668" w14:textId="77777777">
            <w:pPr>
              <w:jc w:val="center"/>
            </w:pPr>
            <w:r>
              <w:t>Índice BV Moran: -0.038</w:t>
            </w:r>
          </w:p>
        </w:tc>
      </w:tr>
      <w:tr w:rsidTr="00CC1A15" w:rsidR="00081199" w14:paraId="5F1A07C2" w14:textId="77777777">
        <w:trPr>
          <w:jc w:val="center"/>
        </w:trPr>
        <w:tc>
          <w:tcPr>
            <w:tcW w:w="4395" w:type="dxa"/>
            <w:vAlign w:val="center"/>
          </w:tcPr>
          <w:p w:rsidRDefault="00081199" w:rsidR="00081199" w:rsidP="00CC1A15" w14:paraId="72B90453" w14:textId="6EED222E">
            <w:pPr>
              <w:ind w:left="-1389" w:firstLine="1389"/>
              <w:jc w:val="center"/>
            </w:pPr>
            <w:r>
              <w:rPr>
                <w:noProof/>
              </w:rPr>
              <w:drawing>
                <wp:inline distL="0" wp14:anchorId="5F21EDCB" distT="0" distB="0" distR="0" wp14:editId="1F8FC902">
                  <wp:extent cx="1995286" cy="1535188"/>
                  <wp:effectExtent r="5080" b="8255" t="0" l="0"/>
                  <wp:docPr name="Imagen 80" i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67" id="0"/>
                          <pic:cNvPicPr>
                            <a:picLocks noChangeAspect="1" noChangeArrowheads="1"/>
                          </pic:cNvPicPr>
                        </pic:nvPicPr>
                        <pic:blipFill>
                          <a:blip cstate="print" r:embed="rId50">
                            <a:extLst>
                              <a:ext uri="{28A0092B-C50C-407E-A947-70E740481C1C}">
                                <a14:useLocalDpi xmlns:a14="http://schemas.microsoft.com/office/drawing/2010/main" val="0"/>
                              </a:ext>
                            </a:extLst>
                          </a:blip>
                          <a:srcRect/>
                          <a:stretch>
                            <a:fillRect/>
                          </a:stretch>
                        </pic:blipFill>
                        <pic:spPr bwMode="auto">
                          <a:xfrm>
                            <a:off x="0" y="0"/>
                            <a:ext cx="2023840" cy="1557158"/>
                          </a:xfrm>
                          <a:prstGeom prst="rect">
                            <a:avLst/>
                          </a:prstGeom>
                          <a:noFill/>
                          <a:ln>
                            <a:noFill/>
                          </a:ln>
                        </pic:spPr>
                      </pic:pic>
                    </a:graphicData>
                  </a:graphic>
                </wp:inline>
              </w:drawing>
            </w:r>
          </w:p>
        </w:tc>
        <w:tc>
          <w:tcPr>
            <w:tcW w:w="3822" w:type="dxa"/>
            <w:vAlign w:val="center"/>
          </w:tcPr>
          <w:p w:rsidRPr="003821D0" w:rsidRDefault="00081199" w:rsidR="00081199" w:rsidP="002C1818" w14:paraId="3EE7E973" w14:textId="710AF490">
            <w:pPr>
              <w:jc w:val="center"/>
            </w:pPr>
            <w:r>
              <w:rPr>
                <w:noProof/>
              </w:rPr>
              <w:drawing>
                <wp:inline distL="0" wp14:anchorId="25D66F28" distT="0" distB="0" distR="0" wp14:editId="238A71B3">
                  <wp:extent cx="2059387" cy="1584635"/>
                  <wp:effectExtent r="0" b="0" t="0" l="0"/>
                  <wp:docPr name="Imagen 81" id="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69" id="0"/>
                          <pic:cNvPicPr>
                            <a:picLocks noChangeAspect="1" noChangeArrowheads="1"/>
                          </pic:cNvPicPr>
                        </pic:nvPicPr>
                        <pic:blipFill>
                          <a:blip cstate="print" r:embed="rId51">
                            <a:extLst>
                              <a:ext uri="{28A0092B-C50C-407E-A947-70E740481C1C}">
                                <a14:useLocalDpi xmlns:a14="http://schemas.microsoft.com/office/drawing/2010/main" val="0"/>
                              </a:ext>
                            </a:extLst>
                          </a:blip>
                          <a:srcRect/>
                          <a:stretch>
                            <a:fillRect/>
                          </a:stretch>
                        </pic:blipFill>
                        <pic:spPr bwMode="auto">
                          <a:xfrm>
                            <a:off x="0" y="0"/>
                            <a:ext cx="2087338" cy="1606142"/>
                          </a:xfrm>
                          <a:prstGeom prst="rect">
                            <a:avLst/>
                          </a:prstGeom>
                          <a:noFill/>
                          <a:ln>
                            <a:noFill/>
                          </a:ln>
                        </pic:spPr>
                      </pic:pic>
                    </a:graphicData>
                  </a:graphic>
                </wp:inline>
              </w:drawing>
            </w:r>
          </w:p>
        </w:tc>
      </w:tr>
      <w:tr w:rsidTr="00CC1A15" w:rsidR="00CC1A15" w14:paraId="788A7D0B" w14:textId="77777777">
        <w:trPr>
          <w:jc w:val="center"/>
        </w:trPr>
        <w:tc>
          <w:tcPr>
            <w:tcW w:w="4395" w:type="dxa"/>
            <w:vAlign w:val="center"/>
          </w:tcPr>
          <w:p w:rsidRDefault="00CC1A15" w:rsidR="00CC1A15" w:rsidP="002C1818" w14:paraId="59D04F3D" w14:textId="5FC9DF27">
            <w:pPr>
              <w:jc w:val="center"/>
              <w:rPr>
                <w:noProof/>
              </w:rPr>
            </w:pPr>
            <w:r>
              <w:rPr>
                <w:noProof/>
              </w:rPr>
              <w:drawing>
                <wp:inline distL="0" wp14:anchorId="5948CD36" distT="0" distB="0" distR="0" wp14:editId="6956A51A">
                  <wp:extent cx="2033713" cy="2249786"/>
                  <wp:effectExtent r="5080" b="0" t="0" l="0"/>
                  <wp:docPr name="Imagen 83" id="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73" id="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41643" cy="2258558"/>
                          </a:xfrm>
                          <a:prstGeom prst="rect">
                            <a:avLst/>
                          </a:prstGeom>
                          <a:noFill/>
                          <a:ln>
                            <a:noFill/>
                          </a:ln>
                        </pic:spPr>
                      </pic:pic>
                    </a:graphicData>
                  </a:graphic>
                </wp:inline>
              </w:drawing>
            </w:r>
          </w:p>
        </w:tc>
        <w:tc>
          <w:tcPr>
            <w:tcW w:w="3822" w:type="dxa"/>
            <w:vAlign w:val="center"/>
          </w:tcPr>
          <w:p w:rsidRDefault="00CC1A15" w:rsidR="00CC1A15" w:rsidP="002C1818" w14:paraId="277CC47B" w14:textId="21367248">
            <w:pPr>
              <w:jc w:val="center"/>
              <w:rPr>
                <w:noProof/>
              </w:rPr>
            </w:pPr>
            <w:bookmarkStart w:id="3" w:name="_GoBack"/>
            <w:r>
              <w:rPr>
                <w:noProof/>
              </w:rPr>
              <w:drawing>
                <wp:inline distL="0" wp14:anchorId="40CB0634" distT="0" distB="0" distR="0" wp14:editId="6A6D17A5">
                  <wp:extent cx="2051911" cy="2249786"/>
                  <wp:effectExtent r="5715" b="0" t="0" l="0"/>
                  <wp:docPr name="Imagen 82" id="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71" id="0"/>
                          <pic:cNvPicPr>
                            <a:picLocks noChangeAspect="1" noChangeArrowheads="1"/>
                          </pic:cNvPicPr>
                        </pic:nvPicPr>
                        <pic:blipFill>
                          <a:blip cstate="print" r:embed="rId53">
                            <a:extLst>
                              <a:ext uri="{28A0092B-C50C-407E-A947-70E740481C1C}">
                                <a14:useLocalDpi xmlns:a14="http://schemas.microsoft.com/office/drawing/2010/main" val="0"/>
                              </a:ext>
                            </a:extLst>
                          </a:blip>
                          <a:srcRect/>
                          <a:stretch>
                            <a:fillRect/>
                          </a:stretch>
                        </pic:blipFill>
                        <pic:spPr bwMode="auto">
                          <a:xfrm>
                            <a:off x="0" y="0"/>
                            <a:ext cx="2078680" cy="2279136"/>
                          </a:xfrm>
                          <a:prstGeom prst="rect">
                            <a:avLst/>
                          </a:prstGeom>
                          <a:noFill/>
                          <a:ln>
                            <a:noFill/>
                          </a:ln>
                        </pic:spPr>
                      </pic:pic>
                    </a:graphicData>
                  </a:graphic>
                </wp:inline>
              </w:drawing>
            </w:r>
            <w:bookmarkEnd w:id="3"/>
          </w:p>
        </w:tc>
      </w:tr>
      <w:tr w:rsidTr="004A5A17" w:rsidR="00DD0898" w14:paraId="266D44CA" w14:textId="77777777">
        <w:trPr>
          <w:jc w:val="center"/>
        </w:trPr>
        <w:tc>
          <w:tcPr>
            <w:tcW w:w="8217" w:type="dxa"/>
            <w:gridSpan w:val="2"/>
          </w:tcPr>
          <w:p w:rsidRPr="008D22B8" w:rsidRDefault="00DD0898" w:rsidR="00DD0898" w:rsidP="00DD0898" w14:paraId="6945F932" w14:textId="77777777">
            <w:pPr>
              <w:jc w:val="center"/>
              <w:rPr>
                <w:i/>
                <w:iCs/>
                <w:noProof/>
                <w:sz w:val="16"/>
                <w:szCs w:val="16"/>
              </w:rPr>
            </w:pPr>
            <w:r w:rsidRPr="008D22B8">
              <w:rPr>
                <w:i/>
                <w:iCs/>
                <w:noProof/>
                <w:sz w:val="16"/>
                <w:szCs w:val="16"/>
              </w:rPr>
              <w:t>Fuente: Elaboración propia.</w:t>
            </w:r>
          </w:p>
          <w:p w:rsidRDefault="00DD0898" w:rsidR="00DD0898" w:rsidP="00DD0898" w14:paraId="75039B64" w14:textId="3C75D0E6">
            <w:pPr>
              <w:jc w:val="center"/>
              <w:rPr>
                <w:noProof/>
              </w:rPr>
            </w:pPr>
            <w:r w:rsidRPr="008D22B8">
              <w:rPr>
                <w:i/>
                <w:iCs/>
                <w:noProof/>
                <w:sz w:val="16"/>
                <w:szCs w:val="16"/>
              </w:rPr>
              <w:t>Datos:</w:t>
            </w:r>
            <w:r>
              <w:rPr>
                <w:i/>
                <w:iCs/>
                <w:noProof/>
                <w:sz w:val="16"/>
                <w:szCs w:val="16"/>
              </w:rPr>
              <w:t xml:space="preserve"> DANE 2018 &amp; DAP Gobernación de Antioquia</w:t>
            </w:r>
            <w:r w:rsidRPr="00461898">
              <w:rPr>
                <w:i/>
                <w:iCs/>
                <w:noProof/>
                <w:sz w:val="16"/>
                <w:szCs w:val="16"/>
              </w:rPr>
              <w:t xml:space="preserve"> 2018</w:t>
            </w:r>
            <w:r>
              <w:rPr>
                <w:i/>
                <w:iCs/>
                <w:noProof/>
                <w:sz w:val="16"/>
                <w:szCs w:val="16"/>
              </w:rPr>
              <w:t>.</w:t>
            </w:r>
          </w:p>
        </w:tc>
      </w:tr>
    </w:tbl>
    <w:p w:rsidRPr="009C0949" w:rsidRDefault="00823EBA" w:rsidR="00823EBA" w:rsidP="009C0949" w14:paraId="186278D0" w14:textId="673B38EB">
      <w:pPr>
        <w:pStyle w:val="Ttulo1"/>
        <w:rPr>
          <w:b/>
          <w:bCs/>
          <w:sz w:val="36"/>
          <w:szCs w:val="36"/>
        </w:rPr>
      </w:pPr>
      <w:r w:rsidRPr="009C0949">
        <w:rPr>
          <w:b/>
          <w:bCs/>
          <w:sz w:val="36"/>
          <w:szCs w:val="36"/>
        </w:rPr>
        <w:t>Conclusiones</w:t>
      </w:r>
    </w:p>
    <w:p w:rsidRDefault="004D3F35" w:rsidR="00823EBA" w:rsidP="00177BAC" w14:paraId="5EAFB8E7" w14:textId="4B4CB5D9">
      <w:pPr>
        <w:jc w:val="both"/>
      </w:pPr>
      <w:r>
        <w:t xml:space="preserve">En este trabajo se han estudiado los patrones espaciales de la pobreza medida a través del NBI y el efecto que tiene sobre la propensión </w:t>
      </w:r>
      <w:r w:rsidR="007110B5">
        <w:t xml:space="preserve">a apostar en juegos de suerte y azar </w:t>
      </w:r>
      <w:r w:rsidR="00177BAC">
        <w:t>representada por el</w:t>
      </w:r>
      <w:r w:rsidR="007110B5">
        <w:t xml:space="preserve"> total de ventas per cápita de chance de la empresa Grupo Réditos en Antioquia en 2018.</w:t>
      </w:r>
    </w:p>
    <w:p w:rsidRDefault="007110B5" w:rsidR="007110B5" w:rsidP="00177BAC" w14:paraId="6D213573" w14:textId="7F6AC81A">
      <w:pPr>
        <w:jc w:val="both"/>
      </w:pPr>
      <w:r>
        <w:t xml:space="preserve">El análisis exploratorio de datos revela algunas características sociales en unas determinadas zonas del departamento que sugiere la existencia de </w:t>
      </w:r>
      <w:r w:rsidR="00213BFD">
        <w:t>clústeres</w:t>
      </w:r>
      <w:r>
        <w:t xml:space="preserve"> espaciales de municipios en pobreza y de apostadores de chance. Las particularidades mencionadas son:</w:t>
      </w:r>
    </w:p>
    <w:p w:rsidRDefault="007110B5" w:rsidR="007110B5" w:rsidP="00177BAC" w14:paraId="42DA15EB" w14:textId="29B77E71">
      <w:pPr>
        <w:pStyle w:val="Prrafodelista"/>
        <w:numPr>
          <w:ilvl w:val="0"/>
          <w:numId w:val="1"/>
        </w:numPr>
        <w:jc w:val="both"/>
      </w:pPr>
      <w:r>
        <w:t>La pobreza medida a través del NBI está claramente concentrada, donde clúster de municipios pobres se localiza en la zona norte y nororiental del departamento, en las regiones del Urabá, Bajo Cauca, Norte y el Occidente antioqueño. Mientras que los países menos pobres están localizados en el centro de departamento en los municipios del Valle de Aburrá y del Oriente y algunas zonas cercanas a estos.</w:t>
      </w:r>
    </w:p>
    <w:p w:rsidRDefault="007110B5" w:rsidR="007110B5" w:rsidP="00177BAC" w14:paraId="75B682CF" w14:textId="1A49A0CF">
      <w:pPr>
        <w:pStyle w:val="Prrafodelista"/>
        <w:numPr>
          <w:ilvl w:val="0"/>
          <w:numId w:val="1"/>
        </w:numPr>
        <w:jc w:val="both"/>
      </w:pPr>
      <w:r>
        <w:lastRenderedPageBreak/>
        <w:t xml:space="preserve">Mientras que la venta de lotería no tiene un clúster definido y se identifican varias agrupaciones atípicas, lo que </w:t>
      </w:r>
      <w:r w:rsidR="007D43F5">
        <w:t>sugiriere</w:t>
      </w:r>
      <w:r>
        <w:t xml:space="preserve"> que no hay patrones claros para la adquisición de chance.</w:t>
      </w:r>
    </w:p>
    <w:p w:rsidRDefault="007D43F5" w:rsidR="007D43F5" w:rsidP="00177BAC" w14:paraId="15AAF381" w14:textId="55D592C1">
      <w:pPr>
        <w:jc w:val="both"/>
      </w:pPr>
      <w:r>
        <w:t xml:space="preserve">Lo anterior se confirma en el análisis bivariado en donde se </w:t>
      </w:r>
      <w:r w:rsidR="00EF4AC5">
        <w:t>mide la dependencia espacial entre</w:t>
      </w:r>
      <w:r>
        <w:t xml:space="preserve"> las dos variables y se encuentra una correlación espacial negativa de muy bajo peso </w:t>
      </w:r>
      <w:r w:rsidR="00EF4AC5">
        <w:t>(</w:t>
      </w:r>
      <w:r>
        <w:t>-0.334</w:t>
      </w:r>
      <w:r w:rsidR="00EF4AC5">
        <w:t>)</w:t>
      </w:r>
      <w:r>
        <w:t xml:space="preserve"> medida a través del índice bivariado de Moran</w:t>
      </w:r>
      <w:r w:rsidR="00657DAA">
        <w:t>. Esta baja correlación da señales de la baja dependencia del hecho de vivir en una región pobre y las decisiones de los vecinos en la propensión de adquirir productos de suerte y azar para superar dichas condiciones.</w:t>
      </w:r>
    </w:p>
    <w:p w:rsidRDefault="00657DAA" w:rsidR="00657DAA" w:rsidP="007D43F5" w14:paraId="0FFB2284" w14:textId="74D5E57F">
      <w:pPr>
        <w:jc w:val="both"/>
      </w:pPr>
      <w:r>
        <w:t>Por ende, en este estudio se encontró que la hipotesis planteada inicialmente de que la pobreza es un factor determinante para adquirir chance en Antioquia no es completamente cierta y que por el contrario se encuentra una correlación baja entre estas.</w:t>
      </w:r>
    </w:p>
    <w:p w:rsidRDefault="00164648" w:rsidR="00164648" w:rsidP="007D43F5" w14:paraId="4CD232AC" w14:textId="159774B2">
      <w:pPr>
        <w:jc w:val="both"/>
      </w:pPr>
      <w:r>
        <w:t xml:space="preserve">Es importante aclarar entonces que esto también puede deberse al posicionamiento de la Red Gana en aquellos municipios pobres y las estrategias comerciales de dicha empresa en esos lugares que por este mismo criterio, no deseen invertir en ampliar su red a dichos sitios donde sabe que no tendrá altos ingresos, sin embargo, la red cobija cada uno de los municipios del departamento y cuenta con más de 1.500 puntos de atención en todo el departamento por lo que esta hipótesis puede </w:t>
      </w:r>
      <w:r w:rsidR="00E32057">
        <w:t>no ser razón para la conclusión encontrada en este trabajo.</w:t>
      </w:r>
    </w:p>
    <w:p w:rsidRDefault="000C5052" w:rsidR="000C5052" w:rsidP="007D43F5" w14:paraId="6E6494D9" w14:textId="4CE9573A">
      <w:pPr>
        <w:jc w:val="both"/>
      </w:pPr>
      <w:r>
        <w:t xml:space="preserve">Dado esta conclusión se busco encontrar una explicación </w:t>
      </w:r>
      <w:r w:rsidR="00213BFD">
        <w:t xml:space="preserve">ya </w:t>
      </w:r>
      <w:r>
        <w:t xml:space="preserve">que se puede plantear la idea que las personas no compran chance pese a tener el perfil para hacerlo debido a que no tienen acceso a estos servicios </w:t>
      </w:r>
      <w:r w:rsidR="00213BFD">
        <w:t>puesto que</w:t>
      </w:r>
      <w:r>
        <w:t xml:space="preserve"> una alta población de los municipios es rural. Esta hipotesis también se descartó </w:t>
      </w:r>
      <w:r w:rsidR="00450065">
        <w:t xml:space="preserve">al encontrar un indicador de dependencia espacial entre estas dos variables negativo, por lo que se concluye que tampoco importa realmente a la población el acceso que tienen o no a la compra de chance </w:t>
      </w:r>
      <w:r w:rsidR="00FE5371">
        <w:t xml:space="preserve">por su condición de ruralidad </w:t>
      </w:r>
      <w:r w:rsidR="00450065">
        <w:t>y no es un factor determinante para esto.</w:t>
      </w:r>
    </w:p>
    <w:p w:rsidRDefault="00450065" w:rsidR="00450065" w:rsidP="007D43F5" w14:paraId="07D4B8D5" w14:textId="4B696DD0">
      <w:pPr>
        <w:jc w:val="both"/>
      </w:pPr>
      <w:r>
        <w:t xml:space="preserve">A su vez, se buscó </w:t>
      </w:r>
      <w:r w:rsidR="00FE5371">
        <w:t>encontrar si</w:t>
      </w:r>
      <w:r>
        <w:t xml:space="preserve"> hay alguna variable de cada municipio que motive o no a la compra, estableciendo como premisa que, de tener mayor interés en otras necesidades, como servicios públicos no destinarán sus recursos al ocio. También </w:t>
      </w:r>
      <w:r w:rsidR="00FE5371">
        <w:t xml:space="preserve">se consideró </w:t>
      </w:r>
      <w:r>
        <w:t xml:space="preserve">el nivel de escolarización, el empleo, el nivel de ingreso y hasta los accesos viales a las regiones para continuar buscando la incidencia de la accesibilidad. De los anteriores, dieron significativos el nivel de cobertura de servicios públicos, el empleo, los accesos y el ingreso per cápita. Esto nos lleva a la conclusión de que efectivamente, el chance y los juegos de azar no son un producto enfocado a las personas pobres que aspiran incrementar sus niveles de ingreso por suerte, sino que está enfocado a personas donde tengan una </w:t>
      </w:r>
      <w:r w:rsidR="00FE5371">
        <w:t>suficiente</w:t>
      </w:r>
      <w:r>
        <w:t xml:space="preserve"> cobertura de ingresos, necesidades básicas, ingresos, empleos y movilidad municipal fácil, por lo que se conclu</w:t>
      </w:r>
      <w:r w:rsidR="00FE5371">
        <w:t>ye</w:t>
      </w:r>
      <w:r>
        <w:t xml:space="preserve"> que el chance se destina </w:t>
      </w:r>
      <w:r w:rsidR="00FE5371">
        <w:t>e</w:t>
      </w:r>
      <w:r>
        <w:t xml:space="preserve"> importa más en Antioquia a la población</w:t>
      </w:r>
      <w:r w:rsidR="00FE5371">
        <w:t xml:space="preserve"> a partir de </w:t>
      </w:r>
      <w:r>
        <w:t>estrato</w:t>
      </w:r>
      <w:r w:rsidR="00FE5371">
        <w:t>s</w:t>
      </w:r>
      <w:r>
        <w:t xml:space="preserve"> bajo</w:t>
      </w:r>
      <w:r w:rsidR="00FE5371">
        <w:t>s</w:t>
      </w:r>
      <w:r>
        <w:t xml:space="preserve"> y medio</w:t>
      </w:r>
      <w:r w:rsidR="00FE5371">
        <w:t>s (no pobres)</w:t>
      </w:r>
      <w:r>
        <w:t>. Otra conclusión importante es que la educación no es un nivel relevante para la compra de chance</w:t>
      </w:r>
      <w:r w:rsidR="00FE5371">
        <w:t xml:space="preserve"> en Antioquia.</w:t>
      </w:r>
    </w:p>
    <w:p w:rsidRDefault="00450065" w:rsidR="00450065" w:rsidP="007D43F5" w14:paraId="19FE5240" w14:textId="7553E3B9">
      <w:pPr>
        <w:jc w:val="both"/>
      </w:pPr>
      <w:r>
        <w:t>Por último, bajo un análisis clúster k-</w:t>
      </w:r>
      <w:proofErr w:type="spellStart"/>
      <w:r>
        <w:t>means</w:t>
      </w:r>
      <w:proofErr w:type="spellEnd"/>
      <w:r>
        <w:t xml:space="preserve"> se buscó encontrar la existencia de un patrón en específico de un grupo de municipios con las mismas características tuviera incidencia en la compra de chance, pero tampoco se encontró un patrón significativo e incluso una dependencia espacial negativa. Salvo la región del norte, y una leve parte del occidente y suroeste cumplen con los mismos patrones de baja compra de chance</w:t>
      </w:r>
      <w:r w:rsidR="00EE18E4">
        <w:t xml:space="preserve"> y características similares y la zona del Valle de Aburrá, el oriente y la zona más próxima del suroeste antioqueño</w:t>
      </w:r>
      <w:r w:rsidR="00FE5371">
        <w:t xml:space="preserve"> para alta compra de chance.</w:t>
      </w:r>
    </w:p>
    <w:p w:rsidRPr="00823EBA" w:rsidRDefault="00E32057" w:rsidR="007110B5" w:rsidP="00E32057" w14:paraId="6311F7E2" w14:textId="31998AFC">
      <w:pPr>
        <w:jc w:val="both"/>
      </w:pPr>
      <w:r>
        <w:lastRenderedPageBreak/>
        <w:t xml:space="preserve">En este trabajo se decidió optar por elegir únicamente la venta de chance por el tipo de personalidad que tiene el apostador antioqueño en el cual para la red Gana, la venta de chance representa el 95% de sus ventas de juegos de suerte y azar. Sin embargo, se pueden hacer otros estudios en los cuales se añadan otros tipos de juegos como las loterías físicas, el bingo, el baloto, las rifas y otras apuestas para determinar la incidencia de las personas pobres a intentar mejorar sus vidas a través del azar. De igual forma, se puede hacer este mismo ejercicio para otras regiones del país y determinar si esta </w:t>
      </w:r>
      <w:r w:rsidR="00EF4AC5">
        <w:t>baja</w:t>
      </w:r>
      <w:r>
        <w:t xml:space="preserve"> dependencia espacial entre estas dos variables </w:t>
      </w:r>
      <w:r w:rsidR="00880ABD">
        <w:t xml:space="preserve">(pobreza y venta de chance) </w:t>
      </w:r>
      <w:r>
        <w:t>es un caso común o es algo atípico del departamento de Antioquia.</w:t>
      </w:r>
    </w:p>
    <w:p w:rsidRPr="009C0949" w:rsidRDefault="00CB6523" w:rsidR="00F40A66" w:rsidP="00823EBA" w14:paraId="00000012" w14:textId="0738056D">
      <w:pPr>
        <w:pStyle w:val="Ttulo1"/>
        <w:rPr>
          <w:b/>
          <w:bCs/>
          <w:sz w:val="36"/>
          <w:szCs w:val="36"/>
        </w:rPr>
      </w:pPr>
      <w:r w:rsidRPr="009C0949">
        <w:rPr>
          <w:b/>
          <w:bCs/>
          <w:sz w:val="36"/>
          <w:szCs w:val="36"/>
        </w:rPr>
        <w:t>Referencias</w:t>
      </w:r>
    </w:p>
    <w:p w:rsidRPr="004D3F35" w:rsidRDefault="004D3F35" w:rsidR="004D3F35" w:rsidP="004D3F35" w14:paraId="0B34E877" w14:textId="77777777"/>
    <w:p w:rsidRDefault="00CB6523" w:rsidR="00F40A66" w14:paraId="00000013" w14:textId="77777777">
      <w:pPr>
        <w:jc w:val="both"/>
        <w:rPr>
          <w:i/>
        </w:rPr>
      </w:pPr>
      <w:r>
        <w:t xml:space="preserve">Alonso Cifuentes, J. C., &amp; Gallego Londoño, A. I. (2010). </w:t>
      </w:r>
      <w:r>
        <w:rPr>
          <w:i/>
        </w:rPr>
        <w:t>Concesión del monopolio de juegos de   apuesta y azar en el Valle del Cauca.</w:t>
      </w:r>
    </w:p>
    <w:p w:rsidRDefault="00CB6523" w:rsidR="00F40A66" w14:paraId="00000014" w14:textId="77777777">
      <w:pPr>
        <w:jc w:val="both"/>
      </w:pPr>
      <w:r>
        <w:t xml:space="preserve">Banco Mundial. (2018). </w:t>
      </w:r>
      <w:r>
        <w:rPr>
          <w:i/>
        </w:rPr>
        <w:t>Según el Banco Mundial, la pobreza extrema a nivel mundial continúa disminuyendo, aunque a un ritmo más lento</w:t>
      </w:r>
      <w:r>
        <w:t xml:space="preserve">. Comunicado de Prensa. </w:t>
      </w:r>
      <w:proofErr w:type="spellStart"/>
      <w:r>
        <w:t>Retrieved</w:t>
      </w:r>
      <w:proofErr w:type="spellEnd"/>
      <w:r>
        <w:t xml:space="preserve"> </w:t>
      </w:r>
      <w:proofErr w:type="spellStart"/>
      <w:r>
        <w:t>from</w:t>
      </w:r>
      <w:proofErr w:type="spellEnd"/>
      <w:r>
        <w:t xml:space="preserve"> https://www.bancomundial.org/es/news/press-release/2018/09/19/decline-of-global-extreme-poverty-continues-but-has-slowed-world-bank</w:t>
      </w:r>
    </w:p>
    <w:p w:rsidRDefault="00CB6523" w:rsidR="00F40A66" w14:paraId="00000015" w14:textId="77777777">
      <w:pPr>
        <w:jc w:val="both"/>
        <w:rPr>
          <w:i/>
        </w:rPr>
      </w:pPr>
      <w:proofErr w:type="spellStart"/>
      <w:r>
        <w:t>BrandSmart</w:t>
      </w:r>
      <w:proofErr w:type="spellEnd"/>
      <w:r>
        <w:t xml:space="preserve">. (2017). </w:t>
      </w:r>
      <w:r>
        <w:rPr>
          <w:i/>
        </w:rPr>
        <w:t>Mercado y alternativas de juegos de suerte y azar en Colombia: Análisis de mercado.</w:t>
      </w:r>
    </w:p>
    <w:p w:rsidRDefault="00CB6523" w:rsidR="00F40A66" w14:paraId="00000016" w14:textId="12B146E4">
      <w:pPr>
        <w:jc w:val="both"/>
        <w:rPr>
          <w:lang w:val="en-US"/>
        </w:rPr>
      </w:pPr>
      <w:r>
        <w:t xml:space="preserve">Carlos, J., Victoria, M., Alberto, O., Osorio, H., Eugenia, B., &amp; Grajales, G. (2020). </w:t>
      </w:r>
      <w:r>
        <w:rPr>
          <w:i/>
        </w:rPr>
        <w:t>Multidimensionalidad de la pobreza. una mirada desde los trabajadores informales</w:t>
      </w:r>
      <w:r>
        <w:t xml:space="preserve">. </w:t>
      </w:r>
      <w:r w:rsidRPr="00251676">
        <w:rPr>
          <w:lang w:val="en-US"/>
        </w:rPr>
        <w:t>Retrieved from http://www.scoif.com/revistas</w:t>
      </w:r>
    </w:p>
    <w:p w:rsidRPr="00CC1309" w:rsidRDefault="00CC1309" w:rsidR="00CC1309" w14:paraId="35F959FB" w14:textId="4F2B54E1">
      <w:pPr>
        <w:jc w:val="both"/>
        <w:rPr>
          <w:lang w:val="en-US"/>
        </w:rPr>
      </w:pPr>
      <w:r>
        <w:rPr>
          <w:lang w:val="en-US"/>
        </w:rPr>
        <w:t xml:space="preserve">Carvalho, L. (2016) </w:t>
      </w:r>
      <w:r w:rsidRPr="00CC1309">
        <w:rPr>
          <w:i/>
          <w:iCs/>
          <w:lang w:val="en-US"/>
        </w:rPr>
        <w:t>Poverty and Decision-Making</w:t>
      </w:r>
      <w:r>
        <w:rPr>
          <w:i/>
          <w:iCs/>
          <w:lang w:val="en-US"/>
        </w:rPr>
        <w:t xml:space="preserve">. </w:t>
      </w:r>
      <w:r w:rsidRPr="00CC1309">
        <w:rPr>
          <w:lang w:val="en-US"/>
        </w:rPr>
        <w:t>The Evidence Base</w:t>
      </w:r>
      <w:r>
        <w:rPr>
          <w:lang w:val="en-US"/>
        </w:rPr>
        <w:t xml:space="preserve">, </w:t>
      </w:r>
      <w:r w:rsidRPr="00CC1309">
        <w:rPr>
          <w:lang w:val="en-US"/>
        </w:rPr>
        <w:t>USC Schaeffer</w:t>
      </w:r>
      <w:r>
        <w:rPr>
          <w:lang w:val="en-US"/>
        </w:rPr>
        <w:t>.</w:t>
      </w:r>
      <w:r>
        <w:rPr>
          <w:i/>
          <w:iCs/>
          <w:lang w:val="en-US"/>
        </w:rPr>
        <w:t xml:space="preserve"> </w:t>
      </w:r>
      <w:r w:rsidRPr="00CC1309">
        <w:rPr>
          <w:lang w:val="en-US"/>
        </w:rPr>
        <w:t>Retrieved from</w:t>
      </w:r>
      <w:r>
        <w:rPr>
          <w:lang w:val="en-US"/>
        </w:rPr>
        <w:t xml:space="preserve"> </w:t>
      </w:r>
      <w:r w:rsidRPr="00CC1309">
        <w:rPr>
          <w:lang w:val="en-US"/>
        </w:rPr>
        <w:t>https://healthpolicy.usc.edu/evidence-base/poverty-and-decision-making/</w:t>
      </w:r>
    </w:p>
    <w:p w:rsidRDefault="00CB6523" w:rsidR="00F40A66" w14:paraId="00000017" w14:textId="4C2C69C3">
      <w:pPr>
        <w:jc w:val="both"/>
      </w:pPr>
      <w:r w:rsidRPr="00B0693C">
        <w:t xml:space="preserve">Cid, J. C. (2013). </w:t>
      </w:r>
      <w:r>
        <w:rPr>
          <w:i/>
        </w:rPr>
        <w:t>La pobreza en la Argentina y las estrategias de los hogares.</w:t>
      </w:r>
      <w:r>
        <w:t xml:space="preserve"> UNIVERSIDAD NACIONAL DE SALTA.</w:t>
      </w:r>
    </w:p>
    <w:p w:rsidRDefault="005774C0" w:rsidR="005774C0" w14:paraId="5EE23CEC" w14:textId="185B4346">
      <w:pPr>
        <w:jc w:val="both"/>
      </w:pPr>
      <w:r w:rsidRPr="00ED599C">
        <w:t xml:space="preserve">DANE (2020). </w:t>
      </w:r>
      <w:r w:rsidRPr="005774C0">
        <w:rPr>
          <w:i/>
          <w:iCs/>
        </w:rPr>
        <w:t>Censo nacional de población y vivienda 2018.</w:t>
      </w:r>
      <w:r>
        <w:rPr>
          <w:i/>
          <w:iCs/>
        </w:rPr>
        <w:t xml:space="preserve"> </w:t>
      </w:r>
      <w:proofErr w:type="spellStart"/>
      <w:r>
        <w:t>from</w:t>
      </w:r>
      <w:proofErr w:type="spellEnd"/>
      <w:r w:rsidRPr="005774C0">
        <w:t xml:space="preserve"> https://www.dane.gov.co/index.php/estadisticas-por-tema/demografia-y-poblacion/censo-nacional-de-poblacion-y-vivenda-2018</w:t>
      </w:r>
    </w:p>
    <w:p w:rsidRPr="00FE5371" w:rsidRDefault="00FE5371" w:rsidR="00FE5371" w14:paraId="0030A01D" w14:textId="49E06B48">
      <w:pPr>
        <w:jc w:val="both"/>
        <w:rPr>
          <w:i/>
          <w:iCs/>
        </w:rPr>
      </w:pPr>
      <w:r>
        <w:t xml:space="preserve">Gobernación de Antioquia (2019). </w:t>
      </w:r>
      <w:r>
        <w:rPr>
          <w:i/>
          <w:iCs/>
        </w:rPr>
        <w:t>Anuario Estadístico de Antioquia 2018 - Departamento Administrativo de Planeación de Antioquia.</w:t>
      </w:r>
      <w:r w:rsidRPr="00FE5371">
        <w:t xml:space="preserve"> http://www.antioquiadatos.gov.co/</w:t>
      </w:r>
    </w:p>
    <w:p w:rsidRDefault="00CB6523" w:rsidR="00F40A66" w14:paraId="00000018" w14:textId="77777777">
      <w:pPr>
        <w:jc w:val="both"/>
      </w:pPr>
      <w:r>
        <w:t xml:space="preserve">Duque-Escobar, G. (2006). </w:t>
      </w:r>
      <w:r>
        <w:rPr>
          <w:i/>
        </w:rPr>
        <w:t>Movilidad y Desarrollo en el eje urbano y periurbano de Manizales</w:t>
      </w:r>
      <w:r>
        <w:t>.</w:t>
      </w:r>
    </w:p>
    <w:p w:rsidRDefault="00CB6523" w:rsidR="00F40A66" w14:paraId="00000019" w14:textId="77777777">
      <w:pPr>
        <w:jc w:val="both"/>
        <w:rPr>
          <w:i/>
        </w:rPr>
      </w:pPr>
      <w:r>
        <w:t xml:space="preserve">Esguerra, M. del P., Zapata, J. G., Velasco, A. M., &amp; Fedesarrollo. (2000). </w:t>
      </w:r>
      <w:r>
        <w:rPr>
          <w:i/>
        </w:rPr>
        <w:t>Costos operativos de algunos juegos de azar en Colombia.</w:t>
      </w:r>
    </w:p>
    <w:p w:rsidRDefault="00CB6523" w:rsidR="00F40A66" w14:paraId="0000001A" w14:textId="77777777">
      <w:pPr>
        <w:jc w:val="both"/>
        <w:rPr>
          <w:i/>
        </w:rPr>
      </w:pPr>
      <w:r>
        <w:t xml:space="preserve">Fiasco, M. en, &amp; </w:t>
      </w:r>
      <w:proofErr w:type="spellStart"/>
      <w:r>
        <w:t>Palumberi</w:t>
      </w:r>
      <w:proofErr w:type="spellEnd"/>
      <w:r>
        <w:t xml:space="preserve"> y </w:t>
      </w:r>
      <w:proofErr w:type="spellStart"/>
      <w:r>
        <w:t>Mannino</w:t>
      </w:r>
      <w:proofErr w:type="spellEnd"/>
      <w:r>
        <w:t xml:space="preserve">. (2001). </w:t>
      </w:r>
      <w:proofErr w:type="spellStart"/>
      <w:r>
        <w:rPr>
          <w:i/>
        </w:rPr>
        <w:t>Aspetti</w:t>
      </w:r>
      <w:proofErr w:type="spellEnd"/>
      <w:r>
        <w:rPr>
          <w:i/>
        </w:rPr>
        <w:t xml:space="preserve"> </w:t>
      </w:r>
      <w:proofErr w:type="spellStart"/>
      <w:r>
        <w:rPr>
          <w:i/>
        </w:rPr>
        <w:t>sociologici</w:t>
      </w:r>
      <w:proofErr w:type="spellEnd"/>
      <w:r>
        <w:rPr>
          <w:i/>
        </w:rPr>
        <w:t xml:space="preserve">, </w:t>
      </w:r>
      <w:proofErr w:type="spellStart"/>
      <w:r>
        <w:rPr>
          <w:i/>
        </w:rPr>
        <w:t>economici</w:t>
      </w:r>
      <w:proofErr w:type="spellEnd"/>
      <w:r>
        <w:rPr>
          <w:i/>
        </w:rPr>
        <w:t xml:space="preserve"> e </w:t>
      </w:r>
      <w:proofErr w:type="spellStart"/>
      <w:r>
        <w:rPr>
          <w:i/>
        </w:rPr>
        <w:t>rischio</w:t>
      </w:r>
      <w:proofErr w:type="spellEnd"/>
      <w:r>
        <w:rPr>
          <w:i/>
        </w:rPr>
        <w:t xml:space="preserve"> di </w:t>
      </w:r>
      <w:proofErr w:type="spellStart"/>
      <w:r>
        <w:rPr>
          <w:i/>
        </w:rPr>
        <w:t>criminalità</w:t>
      </w:r>
      <w:proofErr w:type="spellEnd"/>
      <w:r>
        <w:rPr>
          <w:i/>
        </w:rPr>
        <w:t>.</w:t>
      </w:r>
    </w:p>
    <w:p w:rsidRDefault="00CB6523" w:rsidR="00F40A66" w14:paraId="0000001B" w14:textId="1F4E9BDC">
      <w:pPr>
        <w:jc w:val="both"/>
        <w:rPr>
          <w:i/>
        </w:rPr>
      </w:pPr>
      <w:r>
        <w:t xml:space="preserve">Gil Corredor, O. L. (2019). </w:t>
      </w:r>
      <w:r>
        <w:rPr>
          <w:i/>
        </w:rPr>
        <w:t>El IVA en los juegos de suerte y azar en Colombia.</w:t>
      </w:r>
    </w:p>
    <w:p w:rsidRPr="005774C0" w:rsidRDefault="005774C0" w:rsidR="005774C0" w14:paraId="25BDFD66" w14:textId="41BCF5D1">
      <w:pPr>
        <w:jc w:val="both"/>
        <w:rPr>
          <w:iCs/>
        </w:rPr>
      </w:pPr>
      <w:r>
        <w:rPr>
          <w:iCs/>
        </w:rPr>
        <w:t>Grupo Réditos (2020). Venta de chance en Antioquia 2018.</w:t>
      </w:r>
    </w:p>
    <w:p w:rsidRPr="00251676" w:rsidRDefault="00CB6523" w:rsidR="00F40A66" w14:paraId="0000001C" w14:textId="77777777">
      <w:pPr>
        <w:jc w:val="both"/>
        <w:rPr>
          <w:lang w:val="en-US"/>
        </w:rPr>
      </w:pPr>
      <w:r>
        <w:lastRenderedPageBreak/>
        <w:t xml:space="preserve">Havas Media </w:t>
      </w:r>
      <w:proofErr w:type="spellStart"/>
      <w:r>
        <w:t>Group</w:t>
      </w:r>
      <w:proofErr w:type="spellEnd"/>
      <w:r>
        <w:t xml:space="preserve">. (2011, </w:t>
      </w:r>
      <w:proofErr w:type="spellStart"/>
      <w:r>
        <w:t>October</w:t>
      </w:r>
      <w:proofErr w:type="spellEnd"/>
      <w:r>
        <w:t xml:space="preserve"> 31). </w:t>
      </w:r>
      <w:r>
        <w:rPr>
          <w:i/>
        </w:rPr>
        <w:t>Perfiles de consumo en estratos bajos</w:t>
      </w:r>
      <w:r>
        <w:t xml:space="preserve">. </w:t>
      </w:r>
      <w:r w:rsidRPr="00251676">
        <w:rPr>
          <w:lang w:val="en-US"/>
        </w:rPr>
        <w:t>Retrieved from https://revistapym.com.co/noticias/consumidor-pobre/asi-consumidor-bajos-recursos-perfiles-consumo-estratos-bajos</w:t>
      </w:r>
    </w:p>
    <w:p w:rsidRPr="00251676" w:rsidRDefault="00CB6523" w:rsidR="00F40A66" w14:paraId="0000001D" w14:textId="77777777">
      <w:pPr>
        <w:jc w:val="both"/>
        <w:rPr>
          <w:lang w:val="en-US"/>
        </w:rPr>
      </w:pPr>
      <w:proofErr w:type="spellStart"/>
      <w:r>
        <w:t>Lever</w:t>
      </w:r>
      <w:proofErr w:type="spellEnd"/>
      <w:r>
        <w:t xml:space="preserve">, J. P., &amp; Martínez Cienfuegos, I. Y. (2006). </w:t>
      </w:r>
      <w:r>
        <w:rPr>
          <w:i/>
        </w:rPr>
        <w:t>Impacto de las variables de personalidad sobre la percepción de la pobreza</w:t>
      </w:r>
      <w:r>
        <w:t xml:space="preserve">. </w:t>
      </w:r>
      <w:r w:rsidRPr="00251676">
        <w:rPr>
          <w:lang w:val="en-US"/>
        </w:rPr>
        <w:t>Retrieved from www.um.es/analesps</w:t>
      </w:r>
    </w:p>
    <w:p w:rsidRDefault="00CB6523" w:rsidR="00F40A66" w14:paraId="0000001E" w14:textId="77777777">
      <w:pPr>
        <w:jc w:val="both"/>
      </w:pPr>
      <w:proofErr w:type="spellStart"/>
      <w:r w:rsidRPr="00251676">
        <w:rPr>
          <w:lang w:val="en-US"/>
        </w:rPr>
        <w:t>Muñeton</w:t>
      </w:r>
      <w:proofErr w:type="spellEnd"/>
      <w:r w:rsidRPr="00251676">
        <w:rPr>
          <w:lang w:val="en-US"/>
        </w:rPr>
        <w:t xml:space="preserve">, G., &amp; Vanegas, J. G. (2014). </w:t>
      </w:r>
      <w:r>
        <w:rPr>
          <w:i/>
        </w:rPr>
        <w:t>Análisis espacial de la pobreza en Antioquia, Colombia.</w:t>
      </w:r>
      <w:r>
        <w:t xml:space="preserve"> Equidad y Desarrollo, (21), 29. https://doi.org/10.19052/ed.2366</w:t>
      </w:r>
    </w:p>
    <w:p w:rsidRDefault="00CB6523" w:rsidR="00F40A66" w14:paraId="0000001F" w14:textId="77777777">
      <w:pPr>
        <w:jc w:val="both"/>
      </w:pPr>
      <w:proofErr w:type="spellStart"/>
      <w:r>
        <w:t>Palumberi</w:t>
      </w:r>
      <w:proofErr w:type="spellEnd"/>
      <w:r>
        <w:t xml:space="preserve">, E., &amp; </w:t>
      </w:r>
      <w:proofErr w:type="spellStart"/>
      <w:r>
        <w:t>Mannino</w:t>
      </w:r>
      <w:proofErr w:type="spellEnd"/>
      <w:r>
        <w:t xml:space="preserve">, G. (2008). </w:t>
      </w:r>
      <w:r>
        <w:rPr>
          <w:i/>
        </w:rPr>
        <w:t>Ludopatía. Un estudio comparativo realizado en Italia y España.</w:t>
      </w:r>
      <w:r>
        <w:t xml:space="preserve"> Universidad de León.</w:t>
      </w:r>
    </w:p>
    <w:p w:rsidRDefault="00CB6523" w:rsidR="00F40A66" w14:paraId="00000020" w14:textId="77777777">
      <w:pPr>
        <w:jc w:val="both"/>
        <w:rPr>
          <w:i/>
        </w:rPr>
      </w:pPr>
      <w:r>
        <w:t xml:space="preserve">Pérez V, G. J. (2005). </w:t>
      </w:r>
      <w:r>
        <w:rPr>
          <w:i/>
        </w:rPr>
        <w:t>Dimensión espacial de la pobreza en Colombia.</w:t>
      </w:r>
    </w:p>
    <w:p w:rsidRDefault="00CB6523" w:rsidR="00F40A66" w14:paraId="00000021" w14:textId="77777777">
      <w:pPr>
        <w:jc w:val="both"/>
      </w:pPr>
      <w:r>
        <w:t xml:space="preserve">Tobón, D. (2009). </w:t>
      </w:r>
      <w:r>
        <w:rPr>
          <w:i/>
        </w:rPr>
        <w:t>Lotería para salir de pobres</w:t>
      </w:r>
      <w:r>
        <w:t>. El Colombiano.</w:t>
      </w:r>
    </w:p>
    <w:p w:rsidRDefault="00F40A66" w:rsidR="00F40A66" w14:paraId="00000022" w14:textId="77777777"/>
    <w:sectPr w:rsidR="00F40A66">
      <w:pgSz w:w="12240" w:h="15840"/>
      <w:pgMar w:gutter="0" w:bottom="1417" w:left="1701" w:footer="708" w:top="1417" w:right="1701" w:header="708"/>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date="2020-12-09T22:03:49Z" w:author="OSMAR LEANDRO LOAIZA QUINTERO" w:id="0">
    <w:p w14:paraId="00000023" w14:textId="00000024">
      <w:pPr>
        <w:pStyle w:val="CommentText"/>
      </w:pPr>
      <w:r>
        <w:rPr>
          <w:rStyle w:val="CommentReference"/>
        </w:rPr>
        <w:annotationRef/>
      </w:r>
      <w:r>
        <w:t>Afirmación extraña</w:t>
      </w:r>
    </w:p>
  </w:comment>
  <w:comment w:date="2020-12-09T22:08:20Z" w:author="OSMAR LEANDRO LOAIZA QUINTERO" w:id="1">
    <w:p w14:paraId="00000025" w14:textId="00000026">
      <w:pPr>
        <w:pStyle w:val="CommentText"/>
      </w:pPr>
      <w:r>
        <w:rPr>
          <w:rStyle w:val="CommentReference"/>
        </w:rPr>
        <w:annotationRef/>
      </w:r>
      <w:r>
        <w:t>Figuras 3 y 4 son esencialmente las mismas.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023"/>
  <w15:commentEx w15:paraId="00000025"/>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47F581" w14:textId="77777777" w:rsidR="00714308" w:rsidRDefault="00714308" w:rsidP="00F37C64">
      <w:pPr>
        <w:spacing w:after="0" w:line="240" w:lineRule="auto"/>
      </w:pPr>
      <w:r>
        <w:separator/>
      </w:r>
    </w:p>
  </w:endnote>
  <w:endnote w:type="continuationSeparator" w:id="0">
    <w:p w14:paraId="0E2ACD58" w14:textId="77777777" w:rsidR="00714308" w:rsidRDefault="00714308" w:rsidP="00F37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FB558F" w14:textId="77777777" w:rsidR="00714308" w:rsidRDefault="00714308" w:rsidP="00F37C64">
      <w:pPr>
        <w:spacing w:after="0" w:line="240" w:lineRule="auto"/>
      </w:pPr>
      <w:r>
        <w:separator/>
      </w:r>
    </w:p>
  </w:footnote>
  <w:footnote w:type="continuationSeparator" w:id="0">
    <w:p w14:paraId="3F3FCA91" w14:textId="77777777" w:rsidR="00714308" w:rsidRDefault="00714308" w:rsidP="00F37C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8745DA"/>
    <w:multiLevelType w:val="hybridMultilevel"/>
    <w:tmpl w:val="114AB5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0A66"/>
    <w:rsid w:val="0003587A"/>
    <w:rsid w:val="00071303"/>
    <w:rsid w:val="00081199"/>
    <w:rsid w:val="000C5052"/>
    <w:rsid w:val="00154737"/>
    <w:rsid w:val="00160ADC"/>
    <w:rsid w:val="00164648"/>
    <w:rsid w:val="00177BAC"/>
    <w:rsid w:val="00182D3E"/>
    <w:rsid w:val="001C19BB"/>
    <w:rsid w:val="001C2E0C"/>
    <w:rsid w:val="001D058D"/>
    <w:rsid w:val="00213BFD"/>
    <w:rsid w:val="00251676"/>
    <w:rsid w:val="00264F3C"/>
    <w:rsid w:val="002C1818"/>
    <w:rsid w:val="002E1F7F"/>
    <w:rsid w:val="00331DF4"/>
    <w:rsid w:val="00361409"/>
    <w:rsid w:val="003821D0"/>
    <w:rsid w:val="00392FD3"/>
    <w:rsid w:val="003E6AE5"/>
    <w:rsid w:val="004213FD"/>
    <w:rsid w:val="00446845"/>
    <w:rsid w:val="00450065"/>
    <w:rsid w:val="00461898"/>
    <w:rsid w:val="004846AE"/>
    <w:rsid w:val="004A0020"/>
    <w:rsid w:val="004D3F35"/>
    <w:rsid w:val="00511823"/>
    <w:rsid w:val="0057263B"/>
    <w:rsid w:val="005774C0"/>
    <w:rsid w:val="00594558"/>
    <w:rsid w:val="005A0F3A"/>
    <w:rsid w:val="005D5A64"/>
    <w:rsid w:val="0060241C"/>
    <w:rsid w:val="006238E2"/>
    <w:rsid w:val="00630BE7"/>
    <w:rsid w:val="00657DAA"/>
    <w:rsid w:val="006705E4"/>
    <w:rsid w:val="00675BEB"/>
    <w:rsid w:val="007110B5"/>
    <w:rsid w:val="00714308"/>
    <w:rsid w:val="0075787E"/>
    <w:rsid w:val="007B5F9C"/>
    <w:rsid w:val="007D291D"/>
    <w:rsid w:val="007D43F5"/>
    <w:rsid w:val="007E35F6"/>
    <w:rsid w:val="008109CE"/>
    <w:rsid w:val="00823EBA"/>
    <w:rsid w:val="00837E44"/>
    <w:rsid w:val="00867700"/>
    <w:rsid w:val="00880ABD"/>
    <w:rsid w:val="00890913"/>
    <w:rsid w:val="008916AB"/>
    <w:rsid w:val="008A690E"/>
    <w:rsid w:val="008D22B8"/>
    <w:rsid w:val="008E6EFE"/>
    <w:rsid w:val="0092096B"/>
    <w:rsid w:val="00925FAC"/>
    <w:rsid w:val="0093772F"/>
    <w:rsid w:val="00956143"/>
    <w:rsid w:val="00990A09"/>
    <w:rsid w:val="009C0949"/>
    <w:rsid w:val="009C2B46"/>
    <w:rsid w:val="009C3FC0"/>
    <w:rsid w:val="00A126F6"/>
    <w:rsid w:val="00AF6547"/>
    <w:rsid w:val="00B0693C"/>
    <w:rsid w:val="00B2788C"/>
    <w:rsid w:val="00B35208"/>
    <w:rsid w:val="00B437D3"/>
    <w:rsid w:val="00B47084"/>
    <w:rsid w:val="00BD1462"/>
    <w:rsid w:val="00BD7D75"/>
    <w:rsid w:val="00C71581"/>
    <w:rsid w:val="00C9103D"/>
    <w:rsid w:val="00CA23D0"/>
    <w:rsid w:val="00CA5332"/>
    <w:rsid w:val="00CB6523"/>
    <w:rsid w:val="00CC1309"/>
    <w:rsid w:val="00CC1A15"/>
    <w:rsid w:val="00D30D78"/>
    <w:rsid w:val="00D36F4B"/>
    <w:rsid w:val="00D41BB6"/>
    <w:rsid w:val="00D85A0E"/>
    <w:rsid w:val="00DC193D"/>
    <w:rsid w:val="00DC1E3E"/>
    <w:rsid w:val="00DD0898"/>
    <w:rsid w:val="00E0040E"/>
    <w:rsid w:val="00E22915"/>
    <w:rsid w:val="00E32057"/>
    <w:rsid w:val="00E4359D"/>
    <w:rsid w:val="00E72BF9"/>
    <w:rsid w:val="00E92525"/>
    <w:rsid w:val="00ED599C"/>
    <w:rsid w:val="00ED6107"/>
    <w:rsid w:val="00EE18E4"/>
    <w:rsid w:val="00EF14AC"/>
    <w:rsid w:val="00EF4AC5"/>
    <w:rsid w:val="00F20A9A"/>
    <w:rsid w:val="00F20ED5"/>
    <w:rsid w:val="00F37C64"/>
    <w:rsid w:val="00F40A66"/>
    <w:rsid w:val="00F43F1A"/>
    <w:rsid w:val="00F63FB9"/>
    <w:rsid w:val="00F70FA5"/>
    <w:rsid w:val="00FA3B0B"/>
    <w:rsid w:val="00FB2FDA"/>
    <w:rsid w:val="00FC1505"/>
    <w:rsid w:val="00FE537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7BDD2"/>
  <w15:docId w15:val="{24E323FF-79CC-489E-939F-971EFB294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hAnsi="Calibri" w:cs="Calibri" w:eastAsia="Calibri" w:ascii="Calibri"/>
        <w:sz w:val="22"/>
        <w:szCs w:val="22"/>
        <w:lang w:bidi="ar-SA" w:val="es-CO" w:eastAsia="es-CO"/>
      </w:rPr>
    </w:rPrDefault>
    <w:pPrDefault>
      <w:pPr>
        <w:spacing w:line="259" w:after="160" w:lineRule="auto"/>
      </w:pPr>
    </w:pPrDefault>
  </w:docDefaults>
  <w:latentStyles w:defUIPriority="99" w:defQFormat="0" w:defSemiHidden="0" w:count="376" w:defLockedState="0" w:defUnhideWhenUsed="0">
    <w:lsdException w:name="Normal" w:uiPriority="0" w:qFormat="1"/>
    <w:lsdException w:name="heading 1" w:uiPriority="9" w:qFormat="1"/>
    <w:lsdException w:unhideWhenUsed="1" w:semiHidden="1" w:name="heading 2" w:uiPriority="9" w:qFormat="1"/>
    <w:lsdException w:unhideWhenUsed="1" w:semiHidden="1" w:name="heading 3" w:uiPriority="9" w:qFormat="1"/>
    <w:lsdException w:unhideWhenUsed="1" w:semiHidden="1" w:name="heading 4" w:uiPriority="9" w:qFormat="1"/>
    <w:lsdException w:unhideWhenUsed="1" w:semiHidden="1" w:name="heading 5" w:uiPriority="9" w:qFormat="1"/>
    <w:lsdException w:unhideWhenUsed="1" w:semiHidden="1" w:name="heading 6" w:uiPriority="9" w:qFormat="1"/>
    <w:lsdException w:unhideWhenUsed="1" w:semiHidden="1" w:name="heading 7" w:uiPriority="9" w:qFormat="1"/>
    <w:lsdException w:unhideWhenUsed="1" w:semiHidden="1" w:name="heading 8" w:uiPriority="9" w:qFormat="1"/>
    <w:lsdException w:unhideWhenUsed="1" w:semiHidden="1" w:name="heading 9" w:uiPriority="9" w:qFormat="1"/>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name="toc 1" w:uiPriority="39"/>
    <w:lsdException w:unhideWhenUsed="1" w:semiHidden="1" w:name="toc 2" w:uiPriority="39"/>
    <w:lsdException w:unhideWhenUsed="1" w:semiHidden="1" w:name="toc 3" w:uiPriority="39"/>
    <w:lsdException w:unhideWhenUsed="1" w:semiHidden="1" w:name="toc 4" w:uiPriority="39"/>
    <w:lsdException w:unhideWhenUsed="1" w:semiHidden="1" w:name="toc 5" w:uiPriority="39"/>
    <w:lsdException w:unhideWhenUsed="1" w:semiHidden="1" w:name="toc 6" w:uiPriority="39"/>
    <w:lsdException w:unhideWhenUsed="1" w:semiHidden="1" w:name="toc 7" w:uiPriority="39"/>
    <w:lsdException w:unhideWhenUsed="1" w:semiHidden="1" w:name="toc 8" w:uiPriority="39"/>
    <w:lsdException w:unhideWhenUsed="1" w:semiHidden="1" w:name="toc 9" w:uiPriority="3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unhideWhenUsed="1" w:semiHidden="1" w:name="caption" w:uiPriority="35" w:qFormat="1"/>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name="Title" w:uiPriority="10" w:qFormat="1"/>
    <w:lsdException w:unhideWhenUsed="1" w:semiHidden="1" w:name="Closing"/>
    <w:lsdException w:unhideWhenUsed="1" w:semiHidden="1" w:name="Signature"/>
    <w:lsdException w:unhideWhenUsed="1" w:semiHidden="1" w:name="Default Paragraph Font" w:uiPriority="1"/>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name="Subtitle" w:uiPriority="11" w:qFormat="1"/>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name="Strong" w:uiPriority="22" w:qFormat="1"/>
    <w:lsdException w:name="Emphasis" w:uiPriority="20" w:qFormat="1"/>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name="Table Grid" w:uiPriority="39"/>
    <w:lsdException w:unhideWhenUsed="1" w:semiHidden="1" w:name="Table Theme"/>
    <w:lsdException w:semiHidden="1" w:name="Placeholder Text"/>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semiHidden="1" w:name="Revision"/>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unhideWhenUsed="1" w:semiHidden="1" w:name="Bibliography" w:uiPriority="37"/>
    <w:lsdException w:unhideWhenUsed="1" w:semiHidden="1"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unhideWhenUsed="1" w:semiHidden="1" w:name="Mention"/>
    <w:lsdException w:unhideWhenUsed="1" w:semiHidden="1" w:name="Smart Hyperlink"/>
    <w:lsdException w:unhideWhenUsed="1" w:semiHidden="1" w:name="Hashtag"/>
    <w:lsdException w:unhideWhenUsed="1" w:semiHidden="1" w:name="Unresolved Mention"/>
    <w:lsdException w:unhideWhenUsed="1" w:semiHidden="1" w:name="Smart Link"/>
  </w:latentStyles>
  <w:style w:default="1" w:styleId="Normal" w:type="paragraph">
    <w:name w:val="Normal"/>
    <w:qFormat/>
  </w:style>
  <w:style w:styleId="Ttulo1" w:type="paragraph">
    <w:name w:val="heading 1"/>
    <w:basedOn w:val="Normal"/>
    <w:next w:val="Normal"/>
    <w:link w:val="Ttulo1Car"/>
    <w:uiPriority w:val="9"/>
    <w:qFormat/>
    <w:rsid w:val="00143175"/>
    <w:pPr>
      <w:keepNext/>
      <w:keepLines/>
      <w:spacing w:before="240" w:after="0"/>
      <w:outlineLvl w:val="0"/>
    </w:pPr>
    <w:rPr>
      <w:rFonts w:eastAsiaTheme="majorEastAsia" w:cstheme="majorBidi" w:asciiTheme="majorHAnsi" w:hAnsiTheme="majorHAnsi"/>
      <w:color w:val="2F5496" w:themeColor="accent1" w:themeShade="BF"/>
      <w:sz w:val="32"/>
      <w:szCs w:val="32"/>
    </w:rPr>
  </w:style>
  <w:style w:styleId="Ttulo2" w:type="paragraph">
    <w:name w:val="heading 2"/>
    <w:basedOn w:val="Normal"/>
    <w:next w:val="Normal"/>
    <w:uiPriority w:val="9"/>
    <w:unhideWhenUsed/>
    <w:qFormat/>
    <w:pPr>
      <w:keepNext/>
      <w:keepLines/>
      <w:spacing w:before="360" w:after="80"/>
      <w:outlineLvl w:val="1"/>
    </w:pPr>
    <w:rPr>
      <w:b/>
      <w:sz w:val="36"/>
      <w:szCs w:val="36"/>
    </w:rPr>
  </w:style>
  <w:style w:styleId="Ttulo3" w:type="paragraph">
    <w:name w:val="heading 3"/>
    <w:basedOn w:val="Normal"/>
    <w:next w:val="Normal"/>
    <w:uiPriority w:val="9"/>
    <w:unhideWhenUsed/>
    <w:qFormat/>
    <w:pPr>
      <w:keepNext/>
      <w:keepLines/>
      <w:spacing w:before="280" w:after="80"/>
      <w:outlineLvl w:val="2"/>
    </w:pPr>
    <w:rPr>
      <w:b/>
      <w:sz w:val="28"/>
      <w:szCs w:val="28"/>
    </w:rPr>
  </w:style>
  <w:style w:styleId="Ttulo4" w:type="paragraph">
    <w:name w:val="heading 4"/>
    <w:basedOn w:val="Normal"/>
    <w:next w:val="Normal"/>
    <w:uiPriority w:val="9"/>
    <w:unhideWhenUsed/>
    <w:qFormat/>
    <w:pPr>
      <w:keepNext/>
      <w:keepLines/>
      <w:spacing w:before="240" w:after="40"/>
      <w:outlineLvl w:val="3"/>
    </w:pPr>
    <w:rPr>
      <w:b/>
      <w:sz w:val="24"/>
      <w:szCs w:val="24"/>
    </w:rPr>
  </w:style>
  <w:style w:styleId="Ttulo5" w:type="paragraph">
    <w:name w:val="heading 5"/>
    <w:basedOn w:val="Normal"/>
    <w:next w:val="Normal"/>
    <w:uiPriority w:val="9"/>
    <w:unhideWhenUsed/>
    <w:qFormat/>
    <w:pPr>
      <w:keepNext/>
      <w:keepLines/>
      <w:spacing w:before="220" w:after="40"/>
      <w:outlineLvl w:val="4"/>
    </w:pPr>
    <w:rPr>
      <w:b/>
    </w:rPr>
  </w:style>
  <w:style w:styleId="Ttulo6" w:type="paragraph">
    <w:name w:val="heading 6"/>
    <w:basedOn w:val="Normal"/>
    <w:next w:val="Normal"/>
    <w:uiPriority w:val="9"/>
    <w:semiHidden/>
    <w:unhideWhenUsed/>
    <w:qFormat/>
    <w:pPr>
      <w:keepNext/>
      <w:keepLines/>
      <w:spacing w:before="200" w:after="40"/>
      <w:outlineLvl w:val="5"/>
    </w:pPr>
    <w:rPr>
      <w:b/>
      <w:sz w:val="20"/>
      <w:szCs w:val="20"/>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w="0" w:type="dxa"/>
      <w:tblCellMar>
        <w:top w:w="0" w:type="dxa"/>
        <w:left w:w="108" w:type="dxa"/>
        <w:bottom w:w="0" w:type="dxa"/>
        <w:right w:w="108" w:type="dxa"/>
      </w:tblCellMar>
    </w:tblPr>
  </w:style>
  <w:style w:default="1" w:styleId="Sinlista" w:type="numbering">
    <w:name w:val="No List"/>
    <w:uiPriority w:val="99"/>
    <w:semiHidden/>
    <w:unhideWhenUsed/>
  </w:style>
  <w:style w:styleId="TableNormal" w:customStyle="1" w:type="table">
    <w:name w:val="Table Normal"/>
    <w:tblPr>
      <w:tblCellMar>
        <w:top w:w="0" w:type="dxa"/>
        <w:left w:w="0" w:type="dxa"/>
        <w:bottom w:w="0" w:type="dxa"/>
        <w:right w:w="0" w:type="dxa"/>
      </w:tblCellMar>
    </w:tblPr>
  </w:style>
  <w:style w:styleId="Ttulo" w:type="paragraph">
    <w:name w:val="Title"/>
    <w:basedOn w:val="Normal"/>
    <w:next w:val="Normal"/>
    <w:link w:val="TtuloCar"/>
    <w:uiPriority w:val="10"/>
    <w:qFormat/>
    <w:rsid w:val="00143175"/>
    <w:pPr>
      <w:spacing w:line="240" w:after="0" w:lineRule="auto"/>
      <w:contextualSpacing/>
    </w:pPr>
    <w:rPr>
      <w:rFonts w:eastAsiaTheme="majorEastAsia" w:cstheme="majorBidi" w:asciiTheme="majorHAnsi" w:hAnsiTheme="majorHAnsi"/>
      <w:spacing w:val="-10"/>
      <w:kern w:val="28"/>
      <w:sz w:val="56"/>
      <w:szCs w:val="56"/>
    </w:rPr>
  </w:style>
  <w:style w:styleId="contenido" w:customStyle="1" w:type="paragraph">
    <w:name w:val="contenido"/>
    <w:basedOn w:val="Normal"/>
    <w:rsid w:val="00E74BF7"/>
    <w:pPr>
      <w:spacing w:line="240" w:before="100" w:beforeAutospacing="1" w:after="100" w:lineRule="auto" w:afterAutospacing="1"/>
    </w:pPr>
    <w:rPr>
      <w:rFonts w:hAnsi="Times New Roman" w:cs="Times New Roman" w:eastAsia="Times New Roman" w:ascii="Times New Roman"/>
      <w:sz w:val="24"/>
      <w:szCs w:val="24"/>
    </w:rPr>
  </w:style>
  <w:style w:styleId="NormalWeb" w:type="paragraph">
    <w:name w:val="Normal (Web)"/>
    <w:basedOn w:val="Normal"/>
    <w:uiPriority w:val="99"/>
    <w:semiHidden/>
    <w:unhideWhenUsed/>
    <w:rsid w:val="00293BE1"/>
    <w:pPr>
      <w:spacing w:line="240" w:before="100" w:beforeAutospacing="1" w:after="100" w:lineRule="auto" w:afterAutospacing="1"/>
    </w:pPr>
    <w:rPr>
      <w:rFonts w:hAnsi="Times New Roman" w:cs="Times New Roman" w:eastAsia="Times New Roman" w:ascii="Times New Roman"/>
      <w:sz w:val="24"/>
      <w:szCs w:val="24"/>
    </w:rPr>
  </w:style>
  <w:style w:styleId="TtuloCar" w:customStyle="1" w:type="character">
    <w:name w:val="Título Car"/>
    <w:basedOn w:val="Fuentedeprrafopredeter"/>
    <w:link w:val="Ttulo"/>
    <w:uiPriority w:val="10"/>
    <w:rsid w:val="00143175"/>
    <w:rPr>
      <w:rFonts w:eastAsiaTheme="majorEastAsia" w:cstheme="majorBidi" w:asciiTheme="majorHAnsi" w:hAnsiTheme="majorHAnsi"/>
      <w:spacing w:val="-10"/>
      <w:kern w:val="28"/>
      <w:sz w:val="56"/>
      <w:szCs w:val="56"/>
    </w:rPr>
  </w:style>
  <w:style w:styleId="Ttulo1Car" w:customStyle="1" w:type="character">
    <w:name w:val="Título 1 Car"/>
    <w:basedOn w:val="Fuentedeprrafopredeter"/>
    <w:link w:val="Ttulo1"/>
    <w:uiPriority w:val="9"/>
    <w:rsid w:val="00143175"/>
    <w:rPr>
      <w:rFonts w:eastAsiaTheme="majorEastAsia" w:cstheme="majorBidi" w:asciiTheme="majorHAnsi" w:hAnsiTheme="majorHAnsi"/>
      <w:color w:val="2F5496" w:themeColor="accent1" w:themeShade="BF"/>
      <w:sz w:val="32"/>
      <w:szCs w:val="32"/>
    </w:rPr>
  </w:style>
  <w:style w:styleId="Hipervnculo" w:type="character">
    <w:name w:val="Hyperlink"/>
    <w:basedOn w:val="Fuentedeprrafopredeter"/>
    <w:uiPriority w:val="99"/>
    <w:unhideWhenUsed/>
    <w:rsid w:val="000B6D5A"/>
    <w:rPr>
      <w:color w:val="0563C1" w:themeColor="hyperlink"/>
      <w:u w:val="single"/>
    </w:rPr>
  </w:style>
  <w:style w:styleId="Mencinsinresolver" w:type="character">
    <w:name w:val="Unresolved Mention"/>
    <w:basedOn w:val="Fuentedeprrafopredeter"/>
    <w:uiPriority w:val="99"/>
    <w:semiHidden/>
    <w:unhideWhenUsed/>
    <w:rsid w:val="000B6D5A"/>
    <w:rPr>
      <w:color w:val="605E5C"/>
      <w:shd w:val="clear" w:color="auto" w:fill="E1DFDD"/>
    </w:rPr>
  </w:style>
  <w:style w:styleId="Bibliografa" w:type="paragraph">
    <w:name w:val="Bibliography"/>
    <w:basedOn w:val="Normal"/>
    <w:next w:val="Normal"/>
    <w:uiPriority w:val="37"/>
    <w:unhideWhenUsed/>
    <w:rsid w:val="00A653FA"/>
  </w:style>
  <w:style w:styleId="Prrafodelista" w:type="paragraph">
    <w:name w:val="List Paragraph"/>
    <w:basedOn w:val="Normal"/>
    <w:uiPriority w:val="34"/>
    <w:qFormat/>
    <w:rsid w:val="00A653FA"/>
    <w:pPr>
      <w:ind w:left="720"/>
      <w:contextualSpacing/>
    </w:pPr>
  </w:style>
  <w:style w:styleId="Subttulo" w:type="paragraph">
    <w:name w:val="Subtitle"/>
    <w:basedOn w:val="Normal"/>
    <w:next w:val="Normal"/>
    <w:uiPriority w:val="11"/>
    <w:qFormat/>
    <w:pPr>
      <w:keepNext/>
      <w:keepLines/>
      <w:spacing w:before="360" w:after="80"/>
    </w:pPr>
    <w:rPr>
      <w:rFonts w:hAnsi="Georgia" w:cs="Georgia" w:eastAsia="Georgia" w:ascii="Georgia"/>
      <w:i/>
      <w:color w:val="666666"/>
      <w:sz w:val="48"/>
      <w:szCs w:val="48"/>
    </w:rPr>
  </w:style>
  <w:style w:styleId="Textocomentario" w:type="paragraph">
    <w:name w:val="annotation text"/>
    <w:basedOn w:val="Normal"/>
    <w:link w:val="TextocomentarioCar1"/>
    <w:uiPriority w:val="99"/>
    <w:semiHidden/>
    <w:unhideWhenUsed/>
    <w:pPr>
      <w:spacing w:line="240" w:lineRule="auto"/>
    </w:pPr>
    <w:rPr>
      <w:sz w:val="20"/>
      <w:szCs w:val="20"/>
    </w:rPr>
  </w:style>
  <w:style w:styleId="TextocomentarioCar" w:customStyle="1" w:type="character">
    <w:name w:val="Texto comentario Car"/>
    <w:basedOn w:val="Fuentedeprrafopredeter"/>
    <w:uiPriority w:val="99"/>
    <w:semiHidden/>
    <w:rPr>
      <w:sz w:val="20"/>
      <w:szCs w:val="20"/>
    </w:rPr>
  </w:style>
  <w:style w:styleId="Refdecomentario" w:type="character">
    <w:name w:val="annotation reference"/>
    <w:uiPriority w:val="99"/>
    <w:semiHidden/>
    <w:unhideWhenUsed/>
    <w:rPr>
      <w:sz w:val="16"/>
      <w:szCs w:val="16"/>
    </w:rPr>
  </w:style>
  <w:style w:styleId="Textodeglobo" w:type="paragraph">
    <w:name w:val="Balloon Text"/>
    <w:basedOn w:val="Normal"/>
    <w:link w:val="TextodegloboCar"/>
    <w:uiPriority w:val="99"/>
    <w:semiHidden/>
    <w:unhideWhenUsed/>
    <w:rsid w:val="00251676"/>
    <w:pPr>
      <w:spacing w:line="240" w:after="0" w:lineRule="auto"/>
    </w:pPr>
    <w:rPr>
      <w:rFonts w:hAnsi="Segoe UI" w:cs="Segoe UI" w:ascii="Segoe UI"/>
      <w:sz w:val="18"/>
      <w:szCs w:val="18"/>
    </w:rPr>
  </w:style>
  <w:style w:styleId="TextodegloboCar" w:customStyle="1" w:type="character">
    <w:name w:val="Texto de globo Car"/>
    <w:basedOn w:val="Fuentedeprrafopredeter"/>
    <w:link w:val="Textodeglobo"/>
    <w:uiPriority w:val="99"/>
    <w:semiHidden/>
    <w:rsid w:val="00251676"/>
    <w:rPr>
      <w:rFonts w:hAnsi="Segoe UI" w:cs="Segoe UI" w:ascii="Segoe UI"/>
      <w:sz w:val="18"/>
      <w:szCs w:val="18"/>
    </w:rPr>
  </w:style>
  <w:style w:styleId="Asuntodelcomentario" w:type="paragraph">
    <w:name w:val="annotation subject"/>
    <w:basedOn w:val="Textocomentario"/>
    <w:next w:val="Textocomentario"/>
    <w:link w:val="AsuntodelcomentarioCar1"/>
    <w:uiPriority w:val="99"/>
    <w:semiHidden/>
    <w:unhideWhenUsed/>
    <w:rPr>
      <w:b/>
      <w:bCs/>
    </w:rPr>
  </w:style>
  <w:style w:styleId="AsuntodelcomentarioCar" w:customStyle="1" w:type="character">
    <w:name w:val="Asunto del comentario Car"/>
    <w:basedOn w:val="TextocomentarioCar"/>
    <w:uiPriority w:val="99"/>
    <w:semiHidden/>
    <w:rsid w:val="00B47084"/>
    <w:rPr>
      <w:b/>
      <w:bCs/>
      <w:sz w:val="20"/>
      <w:szCs w:val="20"/>
    </w:rPr>
  </w:style>
  <w:style w:styleId="Tablaconcuadrcula" w:type="table">
    <w:name w:val="Table Grid"/>
    <w:basedOn w:val="Tablanormal"/>
    <w:uiPriority w:val="39"/>
    <w:rsid w:val="001C2E0C"/>
    <w:pPr>
      <w:spacing w:line="240" w:after="0" w:lineRule="auto"/>
    </w:pPr>
    <w:tblPr>
      <w:tblBorders>
        <w:top w:val="single" w:sz="4" w:color="auto" w:space="0"/>
        <w:left w:val="single" w:sz="4" w:color="auto" w:space="0"/>
        <w:bottom w:val="single" w:sz="4" w:color="auto" w:space="0"/>
        <w:right w:val="single" w:sz="4" w:color="auto" w:space="0"/>
        <w:insideH w:val="single" w:sz="4" w:color="auto" w:space="0"/>
        <w:insideV w:val="single" w:sz="4" w:color="auto" w:space="0"/>
      </w:tblBorders>
    </w:tblPr>
  </w:style>
  <w:style w:styleId="Textoennegrita" w:type="character">
    <w:name w:val="Strong"/>
    <w:basedOn w:val="Fuentedeprrafopredeter"/>
    <w:uiPriority w:val="22"/>
    <w:qFormat/>
    <w:rsid w:val="00C71581"/>
    <w:rPr>
      <w:b/>
      <w:bCs/>
    </w:rPr>
  </w:style>
  <w:style w:styleId="nfasis" w:type="character">
    <w:name w:val="Emphasis"/>
    <w:basedOn w:val="Fuentedeprrafopredeter"/>
    <w:uiPriority w:val="20"/>
    <w:qFormat/>
    <w:rsid w:val="00C71581"/>
    <w:rPr>
      <w:i/>
      <w:iCs/>
    </w:rPr>
  </w:style>
  <w:style w:styleId="Textodelmarcadordeposicin" w:type="character">
    <w:name w:val="Placeholder Text"/>
    <w:basedOn w:val="Fuentedeprrafopredeter"/>
    <w:uiPriority w:val="99"/>
    <w:semiHidden/>
    <w:rsid w:val="00EF14AC"/>
    <w:rPr>
      <w:color w:val="808080"/>
    </w:rPr>
  </w:style>
  <w:style w:styleId="CdigoHTML" w:type="character">
    <w:name w:val="HTML Code"/>
    <w:basedOn w:val="Fuentedeprrafopredeter"/>
    <w:uiPriority w:val="99"/>
    <w:semiHidden/>
    <w:unhideWhenUsed/>
    <w:rsid w:val="00DC193D"/>
    <w:rPr>
      <w:rFonts w:hAnsi="Courier New" w:cs="Courier New" w:eastAsia="Times New Roman" w:ascii="Courier New"/>
      <w:sz w:val="20"/>
      <w:szCs w:val="20"/>
    </w:rPr>
  </w:style>
  <w:style w:styleId="AsuntodelcomentarioCar1" w:customStyle="1" w:type="character">
    <w:name w:val="Asunto del comentario Car1"/>
    <w:basedOn w:val="TextocomentarioCar1"/>
    <w:link w:val="Asuntodelcomentario"/>
    <w:uiPriority w:val="99"/>
    <w:semiHidden/>
    <w:rPr>
      <w:b/>
      <w:bCs/>
      <w:sz w:val="20"/>
      <w:szCs w:val="20"/>
    </w:rPr>
  </w:style>
  <w:style w:styleId="TextocomentarioCar1" w:customStyle="1" w:type="character">
    <w:name w:val="Texto comentario Car1"/>
    <w:link w:val="Textocomentario"/>
    <w:uiPriority w:val="99"/>
    <w:semiHidden/>
    <w:rPr>
      <w:sz w:val="20"/>
      <w:szCs w:val="20"/>
    </w:rPr>
  </w:style>
  <w:style w:styleId="Encabezado" w:type="paragraph">
    <w:name w:val="header"/>
    <w:basedOn w:val="Normal"/>
    <w:link w:val="EncabezadoCar"/>
    <w:uiPriority w:val="99"/>
    <w:unhideWhenUsed/>
    <w:rsid w:val="00F37C64"/>
    <w:pPr>
      <w:tabs>
        <w:tab w:val="center" w:pos="4419"/>
        <w:tab w:val="right" w:pos="8838"/>
      </w:tabs>
      <w:spacing w:line="240" w:after="0" w:lineRule="auto"/>
    </w:pPr>
  </w:style>
  <w:style w:styleId="EncabezadoCar" w:customStyle="1" w:type="character">
    <w:name w:val="Encabezado Car"/>
    <w:basedOn w:val="Fuentedeprrafopredeter"/>
    <w:link w:val="Encabezado"/>
    <w:uiPriority w:val="99"/>
    <w:rsid w:val="00F37C64"/>
  </w:style>
  <w:style w:styleId="Piedepgina" w:type="paragraph">
    <w:name w:val="footer"/>
    <w:basedOn w:val="Normal"/>
    <w:link w:val="PiedepginaCar"/>
    <w:uiPriority w:val="99"/>
    <w:unhideWhenUsed/>
    <w:rsid w:val="00F37C64"/>
    <w:pPr>
      <w:tabs>
        <w:tab w:val="center" w:pos="4419"/>
        <w:tab w:val="right" w:pos="8838"/>
      </w:tabs>
      <w:spacing w:line="240" w:after="0" w:lineRule="auto"/>
    </w:pPr>
  </w:style>
  <w:style w:styleId="PiedepginaCar" w:customStyle="1" w:type="character">
    <w:name w:val="Pie de página Car"/>
    <w:basedOn w:val="Fuentedeprrafopredeter"/>
    <w:link w:val="Piedepgina"/>
    <w:uiPriority w:val="99"/>
    <w:rsid w:val="00F37C64"/>
  </w:style>
  <w:style w:styleId="CommentReference" w:type="character">
    <w:name w:val="annotation reference"/>
    <w:basedOn w:val="DefaultParagraphFont"/>
    <w:uiPriority w:val="99"/>
    <w:semiHidden/>
    <w:unhideWhenUsed/>
    <w:rPr>
      <w:sz w:val="16"/>
      <w:szCs w:val="16"/>
    </w:rPr>
  </w:style>
  <w:style w:styleId="CommentSubject" w:type="paragraph">
    <w:name w:val="annotation subject"/>
    <w:basedOn w:val="CommentText"/>
    <w:next w:val="CommentText"/>
    <w:link w:val="CommentSubjectChar"/>
    <w:uiPriority w:val="99"/>
    <w:semiHidden/>
    <w:unhideWhenUsed/>
    <w:rPr>
      <w:b/>
      <w:bCs/>
    </w:rPr>
  </w:style>
  <w:style w:styleId="CommentSubjectChar" w:customStyle="1" w:type="character">
    <w:name w:val="Comment Subject Char"/>
    <w:basedOn w:val="CommentTextChar"/>
    <w:link w:val="CommentSubject"/>
    <w:uiPriority w:val="99"/>
    <w:semiHidden/>
    <w:rPr>
      <w:b/>
      <w:bCs/>
      <w:sz w:val="20"/>
      <w:szCs w:val="20"/>
    </w:rPr>
  </w:style>
  <w:style w:styleId="CommentText" w:type="paragraph">
    <w:name w:val="annotation text"/>
    <w:basedOn w:val="Normal"/>
    <w:link w:val="CommentTextChar"/>
    <w:uiPriority w:val="99"/>
    <w:semiHidden/>
    <w:unhideWhenUsed/>
    <w:pPr>
      <w:spacing w:line="240" w:lineRule="auto"/>
    </w:pPr>
    <w:rPr>
      <w:sz w:val="20"/>
      <w:szCs w:val="20"/>
    </w:rPr>
  </w:style>
  <w:style w:styleId="CommentTextChar" w:customStyle="1" w:type="character">
    <w:name w:val="Comment Text Char"/>
    <w:basedOn w:val="DefaultParagraphFont"/>
    <w:link w:val="CommentText"/>
    <w:uiPriority w:val="99"/>
    <w:semiHidden/>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12523">
      <w:bodyDiv w:val="1"/>
      <w:marLeft w:val="0"/>
      <w:marRight w:val="0"/>
      <w:marTop w:val="0"/>
      <w:marBottom w:val="0"/>
      <w:divBdr>
        <w:top w:val="none" w:sz="0" w:space="0" w:color="auto"/>
        <w:left w:val="none" w:sz="0" w:space="0" w:color="auto"/>
        <w:bottom w:val="none" w:sz="0" w:space="0" w:color="auto"/>
        <w:right w:val="none" w:sz="0" w:space="0" w:color="auto"/>
      </w:divBdr>
    </w:div>
    <w:div w:id="190195259">
      <w:bodyDiv w:val="1"/>
      <w:marLeft w:val="0"/>
      <w:marRight w:val="0"/>
      <w:marTop w:val="0"/>
      <w:marBottom w:val="0"/>
      <w:divBdr>
        <w:top w:val="none" w:sz="0" w:space="0" w:color="auto"/>
        <w:left w:val="none" w:sz="0" w:space="0" w:color="auto"/>
        <w:bottom w:val="none" w:sz="0" w:space="0" w:color="auto"/>
        <w:right w:val="none" w:sz="0" w:space="0" w:color="auto"/>
      </w:divBdr>
    </w:div>
    <w:div w:id="330110183">
      <w:bodyDiv w:val="1"/>
      <w:marLeft w:val="0"/>
      <w:marRight w:val="0"/>
      <w:marTop w:val="0"/>
      <w:marBottom w:val="0"/>
      <w:divBdr>
        <w:top w:val="none" w:sz="0" w:space="0" w:color="auto"/>
        <w:left w:val="none" w:sz="0" w:space="0" w:color="auto"/>
        <w:bottom w:val="none" w:sz="0" w:space="0" w:color="auto"/>
        <w:right w:val="none" w:sz="0" w:space="0" w:color="auto"/>
      </w:divBdr>
    </w:div>
    <w:div w:id="377124272">
      <w:bodyDiv w:val="1"/>
      <w:marLeft w:val="0"/>
      <w:marRight w:val="0"/>
      <w:marTop w:val="0"/>
      <w:marBottom w:val="0"/>
      <w:divBdr>
        <w:top w:val="none" w:sz="0" w:space="0" w:color="auto"/>
        <w:left w:val="none" w:sz="0" w:space="0" w:color="auto"/>
        <w:bottom w:val="none" w:sz="0" w:space="0" w:color="auto"/>
        <w:right w:val="none" w:sz="0" w:space="0" w:color="auto"/>
      </w:divBdr>
    </w:div>
    <w:div w:id="404184629">
      <w:bodyDiv w:val="1"/>
      <w:marLeft w:val="0"/>
      <w:marRight w:val="0"/>
      <w:marTop w:val="0"/>
      <w:marBottom w:val="0"/>
      <w:divBdr>
        <w:top w:val="none" w:sz="0" w:space="0" w:color="auto"/>
        <w:left w:val="none" w:sz="0" w:space="0" w:color="auto"/>
        <w:bottom w:val="none" w:sz="0" w:space="0" w:color="auto"/>
        <w:right w:val="none" w:sz="0" w:space="0" w:color="auto"/>
      </w:divBdr>
    </w:div>
    <w:div w:id="648751692">
      <w:bodyDiv w:val="1"/>
      <w:marLeft w:val="0"/>
      <w:marRight w:val="0"/>
      <w:marTop w:val="0"/>
      <w:marBottom w:val="0"/>
      <w:divBdr>
        <w:top w:val="none" w:sz="0" w:space="0" w:color="auto"/>
        <w:left w:val="none" w:sz="0" w:space="0" w:color="auto"/>
        <w:bottom w:val="none" w:sz="0" w:space="0" w:color="auto"/>
        <w:right w:val="none" w:sz="0" w:space="0" w:color="auto"/>
      </w:divBdr>
    </w:div>
    <w:div w:id="821778083">
      <w:bodyDiv w:val="1"/>
      <w:marLeft w:val="0"/>
      <w:marRight w:val="0"/>
      <w:marTop w:val="0"/>
      <w:marBottom w:val="0"/>
      <w:divBdr>
        <w:top w:val="none" w:sz="0" w:space="0" w:color="auto"/>
        <w:left w:val="none" w:sz="0" w:space="0" w:color="auto"/>
        <w:bottom w:val="none" w:sz="0" w:space="0" w:color="auto"/>
        <w:right w:val="none" w:sz="0" w:space="0" w:color="auto"/>
      </w:divBdr>
    </w:div>
    <w:div w:id="822818014">
      <w:bodyDiv w:val="1"/>
      <w:marLeft w:val="0"/>
      <w:marRight w:val="0"/>
      <w:marTop w:val="0"/>
      <w:marBottom w:val="0"/>
      <w:divBdr>
        <w:top w:val="none" w:sz="0" w:space="0" w:color="auto"/>
        <w:left w:val="none" w:sz="0" w:space="0" w:color="auto"/>
        <w:bottom w:val="none" w:sz="0" w:space="0" w:color="auto"/>
        <w:right w:val="none" w:sz="0" w:space="0" w:color="auto"/>
      </w:divBdr>
    </w:div>
    <w:div w:id="1011034352">
      <w:bodyDiv w:val="1"/>
      <w:marLeft w:val="0"/>
      <w:marRight w:val="0"/>
      <w:marTop w:val="0"/>
      <w:marBottom w:val="0"/>
      <w:divBdr>
        <w:top w:val="none" w:sz="0" w:space="0" w:color="auto"/>
        <w:left w:val="none" w:sz="0" w:space="0" w:color="auto"/>
        <w:bottom w:val="none" w:sz="0" w:space="0" w:color="auto"/>
        <w:right w:val="none" w:sz="0" w:space="0" w:color="auto"/>
      </w:divBdr>
    </w:div>
    <w:div w:id="1053768461">
      <w:bodyDiv w:val="1"/>
      <w:marLeft w:val="0"/>
      <w:marRight w:val="0"/>
      <w:marTop w:val="0"/>
      <w:marBottom w:val="0"/>
      <w:divBdr>
        <w:top w:val="none" w:sz="0" w:space="0" w:color="auto"/>
        <w:left w:val="none" w:sz="0" w:space="0" w:color="auto"/>
        <w:bottom w:val="none" w:sz="0" w:space="0" w:color="auto"/>
        <w:right w:val="none" w:sz="0" w:space="0" w:color="auto"/>
      </w:divBdr>
    </w:div>
    <w:div w:id="1438714282">
      <w:bodyDiv w:val="1"/>
      <w:marLeft w:val="0"/>
      <w:marRight w:val="0"/>
      <w:marTop w:val="0"/>
      <w:marBottom w:val="0"/>
      <w:divBdr>
        <w:top w:val="none" w:sz="0" w:space="0" w:color="auto"/>
        <w:left w:val="none" w:sz="0" w:space="0" w:color="auto"/>
        <w:bottom w:val="none" w:sz="0" w:space="0" w:color="auto"/>
        <w:right w:val="none" w:sz="0" w:space="0" w:color="auto"/>
      </w:divBdr>
      <w:divsChild>
        <w:div w:id="2083020680">
          <w:marLeft w:val="0"/>
          <w:marRight w:val="0"/>
          <w:marTop w:val="150"/>
          <w:marBottom w:val="300"/>
          <w:divBdr>
            <w:top w:val="none" w:sz="0" w:space="0" w:color="auto"/>
            <w:left w:val="none" w:sz="0" w:space="0" w:color="auto"/>
            <w:bottom w:val="single" w:sz="6" w:space="7" w:color="EEEEEE"/>
            <w:right w:val="none" w:sz="0" w:space="0" w:color="auto"/>
          </w:divBdr>
        </w:div>
      </w:divsChild>
    </w:div>
    <w:div w:id="1448042899">
      <w:bodyDiv w:val="1"/>
      <w:marLeft w:val="0"/>
      <w:marRight w:val="0"/>
      <w:marTop w:val="0"/>
      <w:marBottom w:val="0"/>
      <w:divBdr>
        <w:top w:val="none" w:sz="0" w:space="0" w:color="auto"/>
        <w:left w:val="none" w:sz="0" w:space="0" w:color="auto"/>
        <w:bottom w:val="none" w:sz="0" w:space="0" w:color="auto"/>
        <w:right w:val="none" w:sz="0" w:space="0" w:color="auto"/>
      </w:divBdr>
    </w:div>
    <w:div w:id="1493326318">
      <w:bodyDiv w:val="1"/>
      <w:marLeft w:val="0"/>
      <w:marRight w:val="0"/>
      <w:marTop w:val="0"/>
      <w:marBottom w:val="0"/>
      <w:divBdr>
        <w:top w:val="none" w:sz="0" w:space="0" w:color="auto"/>
        <w:left w:val="none" w:sz="0" w:space="0" w:color="auto"/>
        <w:bottom w:val="none" w:sz="0" w:space="0" w:color="auto"/>
        <w:right w:val="none" w:sz="0" w:space="0" w:color="auto"/>
      </w:divBdr>
    </w:div>
    <w:div w:id="1624463370">
      <w:bodyDiv w:val="1"/>
      <w:marLeft w:val="0"/>
      <w:marRight w:val="0"/>
      <w:marTop w:val="0"/>
      <w:marBottom w:val="0"/>
      <w:divBdr>
        <w:top w:val="none" w:sz="0" w:space="0" w:color="auto"/>
        <w:left w:val="none" w:sz="0" w:space="0" w:color="auto"/>
        <w:bottom w:val="none" w:sz="0" w:space="0" w:color="auto"/>
        <w:right w:val="none" w:sz="0" w:space="0" w:color="auto"/>
      </w:divBdr>
    </w:div>
    <w:div w:id="1722708576">
      <w:bodyDiv w:val="1"/>
      <w:marLeft w:val="0"/>
      <w:marRight w:val="0"/>
      <w:marTop w:val="0"/>
      <w:marBottom w:val="0"/>
      <w:divBdr>
        <w:top w:val="none" w:sz="0" w:space="0" w:color="auto"/>
        <w:left w:val="none" w:sz="0" w:space="0" w:color="auto"/>
        <w:bottom w:val="none" w:sz="0" w:space="0" w:color="auto"/>
        <w:right w:val="none" w:sz="0" w:space="0" w:color="auto"/>
      </w:divBdr>
    </w:div>
    <w:div w:id="1808817020">
      <w:bodyDiv w:val="1"/>
      <w:marLeft w:val="0"/>
      <w:marRight w:val="0"/>
      <w:marTop w:val="0"/>
      <w:marBottom w:val="0"/>
      <w:divBdr>
        <w:top w:val="none" w:sz="0" w:space="0" w:color="auto"/>
        <w:left w:val="none" w:sz="0" w:space="0" w:color="auto"/>
        <w:bottom w:val="none" w:sz="0" w:space="0" w:color="auto"/>
        <w:right w:val="none" w:sz="0" w:space="0" w:color="auto"/>
      </w:divBdr>
    </w:div>
    <w:div w:id="1908564001">
      <w:bodyDiv w:val="1"/>
      <w:marLeft w:val="0"/>
      <w:marRight w:val="0"/>
      <w:marTop w:val="0"/>
      <w:marBottom w:val="0"/>
      <w:divBdr>
        <w:top w:val="none" w:sz="0" w:space="0" w:color="auto"/>
        <w:left w:val="none" w:sz="0" w:space="0" w:color="auto"/>
        <w:bottom w:val="none" w:sz="0" w:space="0" w:color="auto"/>
        <w:right w:val="none" w:sz="0" w:space="0" w:color="auto"/>
      </w:divBdr>
    </w:div>
    <w:div w:id="1922793381">
      <w:bodyDiv w:val="1"/>
      <w:marLeft w:val="0"/>
      <w:marRight w:val="0"/>
      <w:marTop w:val="0"/>
      <w:marBottom w:val="0"/>
      <w:divBdr>
        <w:top w:val="none" w:sz="0" w:space="0" w:color="auto"/>
        <w:left w:val="none" w:sz="0" w:space="0" w:color="auto"/>
        <w:bottom w:val="none" w:sz="0" w:space="0" w:color="auto"/>
        <w:right w:val="none" w:sz="0" w:space="0" w:color="auto"/>
      </w:divBdr>
    </w:div>
    <w:div w:id="19501218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Type="http://schemas.openxmlformats.org/officeDocument/2006/relationships/image" Target="media/image5.png" Id="rId13"></Relationship><Relationship Type="http://schemas.openxmlformats.org/officeDocument/2006/relationships/image" Target="media/image10.png" Id="rId18"></Relationship><Relationship Type="http://schemas.openxmlformats.org/officeDocument/2006/relationships/image" Target="media/image18.png" Id="rId26"></Relationship><Relationship Type="http://schemas.openxmlformats.org/officeDocument/2006/relationships/image" Target="media/image31.png" Id="rId39"></Relationship><Relationship Type="http://schemas.openxmlformats.org/officeDocument/2006/relationships/image" Target="media/image13.png" Id="rId21"></Relationship><Relationship Type="http://schemas.openxmlformats.org/officeDocument/2006/relationships/image" Target="media/image26.png" Id="rId34"></Relationship><Relationship Type="http://schemas.openxmlformats.org/officeDocument/2006/relationships/image" Target="media/image34.png" Id="rId42"></Relationship><Relationship Type="http://schemas.openxmlformats.org/officeDocument/2006/relationships/image" Target="media/image39.png" Id="rId47"></Relationship><Relationship Type="http://schemas.openxmlformats.org/officeDocument/2006/relationships/image" Target="media/image42.png" Id="rId50"></Relationship><Relationship Type="http://schemas.openxmlformats.org/officeDocument/2006/relationships/theme" Target="theme/theme1.xml" Id="rId55"></Relationship><Relationship Type="http://schemas.openxmlformats.org/officeDocument/2006/relationships/footnotes" Target="footnotes.xml" Id="rId7"></Relationship><Relationship Type="http://schemas.openxmlformats.org/officeDocument/2006/relationships/customXml" Target="../customXml/item2.xml" Id="rId2"></Relationship><Relationship Type="http://schemas.openxmlformats.org/officeDocument/2006/relationships/image" Target="media/image8.png" Id="rId16"></Relationship><Relationship Type="http://schemas.openxmlformats.org/officeDocument/2006/relationships/image" Target="media/image21.png" Id="rId29"></Relationship><Relationship Type="http://schemas.openxmlformats.org/officeDocument/2006/relationships/image" Target="media/image3.png" Id="rId11"></Relationship><Relationship Type="http://schemas.openxmlformats.org/officeDocument/2006/relationships/image" Target="media/image16.png" Id="rId24"></Relationship><Relationship Type="http://schemas.openxmlformats.org/officeDocument/2006/relationships/image" Target="media/image24.png" Id="rId32"></Relationship><Relationship Type="http://schemas.openxmlformats.org/officeDocument/2006/relationships/image" Target="media/image29.png" Id="rId37"></Relationship><Relationship Type="http://schemas.openxmlformats.org/officeDocument/2006/relationships/image" Target="media/image32.png" Id="rId40"></Relationship><Relationship Type="http://schemas.openxmlformats.org/officeDocument/2006/relationships/image" Target="media/image37.png" Id="rId45"></Relationship><Relationship Type="http://schemas.openxmlformats.org/officeDocument/2006/relationships/image" Target="media/image45.png" Id="rId53"></Relationship><Relationship Type="http://schemas.openxmlformats.org/officeDocument/2006/relationships/settings" Target="settings.xml" Id="rId5"></Relationship><Relationship Type="http://schemas.openxmlformats.org/officeDocument/2006/relationships/image" Target="media/image2.png" Id="rId10"></Relationship><Relationship Type="http://schemas.openxmlformats.org/officeDocument/2006/relationships/image" Target="media/image11.png" Id="rId19"></Relationship><Relationship Type="http://schemas.openxmlformats.org/officeDocument/2006/relationships/image" Target="media/image23.png" Id="rId31"></Relationship><Relationship Type="http://schemas.openxmlformats.org/officeDocument/2006/relationships/image" Target="media/image36.png" Id="rId44"></Relationship><Relationship Type="http://schemas.openxmlformats.org/officeDocument/2006/relationships/image" Target="media/image44.png" Id="rId52"></Relationship><Relationship Type="http://schemas.openxmlformats.org/officeDocument/2006/relationships/styles" Target="styles.xml" Id="rId4"></Relationship><Relationship Type="http://schemas.openxmlformats.org/officeDocument/2006/relationships/image" Target="media/image1.png" Id="rId9"></Relationship><Relationship Type="http://schemas.openxmlformats.org/officeDocument/2006/relationships/image" Target="media/image6.png" Id="rId14"></Relationship><Relationship Type="http://schemas.openxmlformats.org/officeDocument/2006/relationships/image" Target="media/image14.png" Id="rId22"></Relationship><Relationship Type="http://schemas.openxmlformats.org/officeDocument/2006/relationships/image" Target="media/image19.png" Id="rId27"></Relationship><Relationship Type="http://schemas.openxmlformats.org/officeDocument/2006/relationships/image" Target="media/image22.png" Id="rId30"></Relationship><Relationship Type="http://schemas.openxmlformats.org/officeDocument/2006/relationships/image" Target="media/image27.png" Id="rId35"></Relationship><Relationship Type="http://schemas.openxmlformats.org/officeDocument/2006/relationships/image" Target="media/image35.png" Id="rId43"></Relationship><Relationship Type="http://schemas.openxmlformats.org/officeDocument/2006/relationships/image" Target="media/image40.png" Id="rId48"></Relationship><Relationship Type="http://schemas.openxmlformats.org/officeDocument/2006/relationships/endnotes" Target="endnotes.xml" Id="rId8"></Relationship><Relationship Type="http://schemas.openxmlformats.org/officeDocument/2006/relationships/image" Target="media/image43.png" Id="rId51"></Relationship><Relationship Type="http://schemas.openxmlformats.org/officeDocument/2006/relationships/numbering" Target="numbering.xml" Id="rId3"></Relationship><Relationship Type="http://schemas.openxmlformats.org/officeDocument/2006/relationships/image" Target="media/image4.png" Id="rId12"></Relationship><Relationship Type="http://schemas.openxmlformats.org/officeDocument/2006/relationships/image" Target="media/image9.png" Id="rId17"></Relationship><Relationship Type="http://schemas.openxmlformats.org/officeDocument/2006/relationships/image" Target="media/image17.png" Id="rId25"></Relationship><Relationship Type="http://schemas.openxmlformats.org/officeDocument/2006/relationships/image" Target="media/image25.png" Id="rId33"></Relationship><Relationship Type="http://schemas.openxmlformats.org/officeDocument/2006/relationships/image" Target="media/image30.png" Id="rId38"></Relationship><Relationship Type="http://schemas.openxmlformats.org/officeDocument/2006/relationships/image" Target="media/image38.png" Id="rId46"></Relationship><Relationship Type="http://schemas.openxmlformats.org/officeDocument/2006/relationships/image" Target="media/image12.png" Id="rId20"></Relationship><Relationship Type="http://schemas.openxmlformats.org/officeDocument/2006/relationships/image" Target="media/image33.png" Id="rId41"></Relationship><Relationship Type="http://schemas.openxmlformats.org/officeDocument/2006/relationships/fontTable" Target="fontTable.xml" Id="rId54"></Relationship><Relationship Type="http://schemas.openxmlformats.org/officeDocument/2006/relationships/customXml" Target="../customXml/item1.xml" Id="rId1"></Relationship><Relationship Type="http://schemas.openxmlformats.org/officeDocument/2006/relationships/webSettings" Target="webSettings.xml" Id="rId6"></Relationship><Relationship Type="http://schemas.openxmlformats.org/officeDocument/2006/relationships/image" Target="media/image7.png" Id="rId15"></Relationship><Relationship Type="http://schemas.openxmlformats.org/officeDocument/2006/relationships/image" Target="media/image15.png" Id="rId23"></Relationship><Relationship Type="http://schemas.openxmlformats.org/officeDocument/2006/relationships/image" Target="media/image20.png" Id="rId28"></Relationship><Relationship Type="http://schemas.openxmlformats.org/officeDocument/2006/relationships/image" Target="media/image28.png" Id="rId36"></Relationship><Relationship Type="http://schemas.openxmlformats.org/officeDocument/2006/relationships/image" Target="media/image41.png" Id="rId49"></Relationship><Relationship Target="comments.xml" Type="http://schemas.openxmlformats.org/officeDocument/2006/relationships/comments" Id="rId56"></Relationship><Relationship Target="commentsExtended.xml" Type="http://schemas.microsoft.com/office/2011/relationships/commentsExtended" Id="rId57"></Relationshi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iKzciDGJLPZ5GCLaFcDjp56vVEug==">AMUW2mUkewTAI/cvyqZXsuAQ89FTlBAhKgl4I6ewL6z+qtxu+grm5A1ukZkXrnwa5+XqRhhIwQ9bruxI8plRdB494ynD6H8/QaQ1KU0DRG+DbcKMl6dUUk2tpFKUlNt7r2E0wxeZM99kAwN1MW6CvxJETVEQNw6GDYTIsNA115AEHFIMWGyJUgChHA0nV7v3yd/1cXgJbKtobhTbgBNb80oB/3EQsmtyM2YJ4Y+PymCVYIhQzAyKVrQz+Ug2f+ElpdSb0WNpg+j3paEy6e2AZvd+Pzo4Dkd9a2+QVacBHXNbkFywR+MV/XqvbU02HiHSlrOzdgSeToKHRtt/qs7Hq0GAw6K2lUCAo9z4onDHkdkTQJoKg53aicVeODyenifk0Rf+Q5V5tNAnnnlY4Ct91EsbJhDCBwjAYxp+f3zvc7YqglLK1N9LHKTDZokxGPcIOeNN9JTJkwdLxPfhelksj8NljBjZxTtC+NGKenpBZgP3v5qzHbFVwW+J+BhMAK09Xr16IbSoN3yJHmtElDws5svL4nnoNNEsiX3Nn/IIU7hPvN62d1KQynqHwEgLQnzSKIujD6+zd5jhy5kERsuaYjRGSVMkVJC4Y43jcc4luYQT8ndcN2n+sRpSGc6FoC/gr1t4861NiByGTEYqSNu3lTUa1Y15l9dFhOuNq/fCwi7n9WVH76sazbS0sBUTXu1xBjiX0cL18QJOoyDO/KdAVlxkCWkSTv00MHN0eVLG3GqF56uxnEMqw6JfXocLRpyEmZtrlTCscEygRPekJA2wxVcXUn/WTx/ofxLsq4Vvl6VvphuL9N96kIe7rMvK5uklYBGW6FAGtOAp7fhSKHIuQH1ImWKtBZfIuAttBU5BGY3HhW5MWbxhmxaKr97hv0kuIUeEZhGrG/JkBLq5+LxfAj4UIRNADZRUs3clj7Wqvzmwcm1Wh4UXE5fHaqrUWZ/k4XbGHRDH3d1tF1cbI5ENhkcKVtMzVbsZ+GxrQnx+Tkou4Y4M8Kfu8LaZaBPsDZYFGjLGQQcchiGEwMOPPSakS6tgS7Plil473fr1BU7qIWUFjpWLz8fX3XOgVZwXeI0M6n8zB6/SVwBoeTsjNpfxSp1uY0f1nYPKmsBCYb2U57pF/TOQry3NWMVILOez2MYafPZjjaatjIYX/UWvzgp2ByZYE3S7LohI/SEYHvkDE7+MRNlY96Uz8PMskLhrp8LXWP/8TD7R1yA62ZDXjdqcDr4OKOaiPfhF3l2l6HUCB3YkXH6X/3Su2dkqqJK5r7Zf0a1rmhzJ1abrUtUL76ms2ZJ/mh0HeWLpuTpza3Fr/jmdX9Ng2TLt/19BlS0wJtfFEXVo1GR/IV+l1H5ny42o+SJQE3By1Js1C/VB1EkyoNLLBoYYEEzKDuG9s/aMeQsG3wFAfxfftynWuKyCjKplSOUJLwwfOlEHv8d0n9l4rGZR3mwf18Y8h/GTfKiSZ/xcsL4IAaNKxTlrAV8cc9DH5jStL/RJyNkmSAYX8N58ktMvheS7bSaWLQL/LcrjHSEy2H7ZGODSGPTVymuKOc81aAkZ29A3TbnlZOSYmUHciJvqsofZ6hX4GYtprF+4IXpD6zFN8nGiLfZENUtbDAEKVkFTMMmty5VuEf0hltdCyU8fd7w7ptSw70wbyFJAGINsPzfTEOx4ZySEZaCltik0e9RJggy7rZPNF2UV9d6jPyWM2NQ5r6cwjkSuUZ/RJtb7JR0g0sH2a2+WNl2J3K9aGiTBXoox+Jje7NCQ+nlZD8idHfjFJ6sZGPQYpuAz92TfL8FPNsdZJDMqqzBc9fmjojDwRNPmDttut+j0MCNo+Ib3fqLORb23kqpYO84wSAu5L0dfERpSluLD7dwjSwLnAdQIwQ+f5eS/QOv19tmMB/l/xXusOb3koSnSPlasTOsVvgKiFAYqji7NWybkrGps33/natFRCUz/GpWwegSGP7a0fN2uCOtSodvVn2vtgwHuv9fqDEJsOYWcH/QpHH5Hcjw773j4HHvikzNpLCICiFy5FHhRqBaNTD2NR3FFKC6p2c3lGTB0Xi5hQdsdk330d0k3zdVE2pjsN2XFCI5ap7eHkBvsHJUkPPd13dpyPU/3Un5E+iXvAXbWSBUwTP0S5UTE7EqlAZJegWJhDRcKLR4yehwc6upebZTJsLFwi2jevfwHqQWoeK17xaRQzDvhFm3nc/bhm+SW4HqwfyfXEWgoz8UTXWGkxd+XXDWLrvGFi/u8lMGRjTTUpccJtcPkfYfzbiz6bhBn/GKB27vgmuvzyvYk5FigK2fOoG+6N1U4IDuV4ijA4S6qfGAjuS0GA1lxWiQIC0H9Yyl5t6GqlPHGlQcgsSmqSo4VOHS+qEn515whmwNTyQMhNlh6qA0XbW6CCyMbmgh+aQee0pvsPOcgvmFe9L+E/X8fViXwrHOyO1z4LDF0iIN1hy5no3TO7MLaWdI3qErnvVs7tsJxndh7TcOQF8i5BX2G0DllCs7wBsCCeC5QW31hMwYyaaWwt1cj6TsBHsySqZ1A4Z2uUtf8vcxqpxPXkAF+k8F/LMyimq6e3diAkIvTJSF7USDMuH/gaGfSFoJ6wizxsEwNLQN3+I8BhPQcc8R+bRc498KJIGBPTfo9HkFR1/heK4VNjpIgV5TaYUvfC1z/9Vd5xnAqo3Elf1DFbFbBNzdUwLkKmOeelK3ttyyJyQhNOwM38lYrCb6+MydFfo07OWZyIAgvH6esRMOwEV7h48kUJikNC2KsRbP3C4iIwff4yjL4FvGwuFe7jzlbMxYRmvBoC1y7myS4rNsJRamDa6JYP82To7lcop+XFtVvPM7I4TK6K9qIjjQ+pCFwtC4ZnfJ3dfA8j4/utwcyGI2K4oenw46TNgKek1AK4DHQff6CRsipYqRAtabphNoGVUEtPt81GV9H06jZabgFUFls7Cn4r1tGxk5D3Rd1cMrUvIMNwQxmAiUljax6esgs/jvmR74QGzn4/cYmchZuSzqjDZrrRSOTN+tCbQUnPNCoTEb5DpkRk/Wzo2G1JT9AO3M3tr0QHtnbr7oT4PNfQNySJtan5xLiJwrE8uUJ2YqgQg4gNNXe/+AYDvqurn0okiooL8FV04TZgL+QQTMIaifayvukZiSgNzNV+RqshUMa53aVNSYg+KDCgcQPIj58O3fjzlLciOC5fnC1EygvXKWy34AERBlYKM/adOgPgxpnVjIzYbaktW917jhgQMHb/+CAbYMLnB/b9zRo/mghuQOl73IhuWBVY4drCgyX57TcpoH7Gdzx4H2TxlTkimASuElGIKZ6NuO3a0o6nYHKd8au6AyeqsMXcx0v56qjhJyqcrjO3l3ITXjtrYSI4E0F1q7Py2QqOM3kJq5gI0PkyPxXomATmMByuO3piTgei41gAO3V741vp42VIzSy8dISw7IXIbZ00XxjqPDkgbfOZ3uL0MnrMc5LxD+Sz8R4o4B5OR1WvuqYyWmQsFy4bjiWIYdfhbOZEYpENXlJv2F1xkU9s4MTNI9LaAWEwAaMLg/16//O8QmlpxjzBUHtILeD19hoNVve0BNp93NBBk3RXtyDLPKpOiW9qu5OQG9K2Garh1P1jIJbVT8CVYGMphboVVncPehxIzsFaVLXGU1XD6xLMejT22xRXo1v0Qhy5f5Y0BNiWgPpQb95c3IRAenxfEFWECT4jqR15uYPQ8+ubDt5GHlt9wUTKmajbLKo2OYG3eeDtc2j4uIQtc7ROuQkVNpyVppPc3gLlY3S2kZXhoiCoH4zgSvoF2aOuoV8tFfgya/h0Qv+JOMLf3x2TiHA3KypszsCw/iNN6Rw//m23gePewZo4JyQHg5SMyuygvE0yqdkwbbRGwpA1M58cNfeu6Rjhp2+m4yaPhTQx0e+dY7KkK5xfBzdJJz2bsTFYthx2TroiCuCWxenwBrDW7DL25KgZxS5f4lqRev8B30BUCDOEtsNRxPWPBahQ3CxSsYcYHYXcdwFGIYL9EaayQZkxwE6ibavNUQ+Zpqr3KtBsU5tj921OG1lz2nlwFhmH8f4AmqNHRCOpRd5RAwtkRB/qVE+2hmVvtiwr5Sw4aKiIHfCKYggMUEkKwtN73MaRzAqbW73XO1G9NMEnPMmUm7H5krkMR+TAzPX5At62Tbx/UhSTqzqoDrw5yQwf+085oESfiSTdbCLEwV6lPVW/XFWBG52eSkhgrKAiqjYtX7jptWeh58fSh82F9asTW6KDx2jXxbXHTLlCLQQETMNOP6Fca+adYtkx6VYqG/1egqCoGh1JgYI/3JeR+nA1LE9YdaDmCOOG89WN95MaQ7pZatUc7NUO6B9tqOcx/CeyiOsXGeb8+1d3BtIIoZ57DAqSuFUv/ndzIf2nyoMMgBmHdA9dFqAq9SGqBdZ8C7lg0bYZ1h8VGgPQo8LzIIDnG6DKymGkRjXlnm6ZNYFdxZzdKYLUQIt5EF17Wk6smJcwOCCESzQvDmUoDM3dVGw8+4RkFoe4BObqRFO8ZhtasDaU+qnjbWhcJ0UoyaSh4XMET3Aa5t6nRC6MzV1fSVyl80k31r+EJYaUSorL0Fkxcq4HWbHOiAdYD/ZzjiUjGRel//lAkBX6BaoMFMqtw4lzjUgEUM2OyjUZhq+6MbU1alaT3HzNmQa8+UOO6dB8P9baBKH2jqcAUdnkovnazQkj7kQDnNfpaegVxgeWiHx5A3lk/SuoJr1QzIBtBpdGPugQpfYw7b1te6OmMYFLwCqVpm5wH2zz1q/n3Z5Pq82f26ISUQGnQU31XAlFDIdn/FTClkeunNFmIpY3bkK5wdyCnJqThdYjhpaLg6MdaPr74qiTgY/HQ4IhdCnShqtBmje811tV72iTHVoKqbrbn1A7tuN82BVoSCXoOcccmvLNBIKt9uaIB/dVFuLfaGdwy4FKCay5YCCf0Sfp4rjCdrzFxl83WEVhkZixxdfVMEZDqajmg3ziQnvEOBopO+/71z98Aa1sLh6Tq9hg1c/HFeTsY2L3fmAvSsONT8+NxUfPexpq4taWs5/SH0Ah5bYznce/3KNBQVsUpidi+at9maUOmn1B2Ap4SzrUNU1i7pgxFrPC9AUZajwoqKMpyUVUQdoAittMtz317rJEALJZjNJiHVtmw7AMeh7GwnQoJ1nxtAQB83+7pVC/iersASrcELmZvb+KxR8cF48aYPdqc4Gm4w288px7rZIzWJk5gKpK5AA3ckOssPIhFksbi99mYfJUbWcUK+fI6L8nQZpNjRi6w4yOTRZZ1UxIJ+9SnLuBLQfUsXB8ePaT3gfPW9zD7EqvcnwZy4F2o/vAtYnEWR8UewL6S0d/+5Dhk3wKaTePQKPwf16lYM48Wm2uk/MNzzAdW7vSrnwqaooMoiwX4QkdEO7345YK+oBnS7MWBJyDdetfzhy9Bac12faDjJO3EVrZwXu0mkr8pgUM9QmffCiep2buKfoDKSbPaV0x3sIo/voPqgnYVA+l3ylvlddeLTRb2kPtqZlYMtKNi4TV9bF43Q9QLwwKo5fyl1NkV49RtOzJ11ceMTERwmDdUZ2oBhVAAgAJSUgc3bBMRm6u1VLEgYdSdULv06mMbXacx/Kdphzjp5eYKhueLPT5V6uyiTWOErhYZ18LcwuMf+vARDmARiJPG4KuIjUs6S2KN1UgfTw/BsZ+NVec9J47W0RyLCrqGwj2gLTL6VEVxjVoxG5PfA2njyg+3nNcKVltbjZ5yCkXpTbI81xHYrvVZl61VG70PyaYb9xgOwzwRdTf/iPF5AUxN4BqMygl66yxEQ5Pmks0W4gVoe5VVodg7C728cstC7HrCDR6gKwQ1BqHb4Xr+086kXIfDAOlCn/Z2NFmGmXBclESnWhYGdYoPzW1lnkxB7AqDjQnWkpmkf+Rn3ijdHAGZzb8HQTzvLeC3l98ECF0JCnRXoPwSgNG0PVulxv9ImbKMoAz5qKH7mVwG9TJ7ACDeJr529LJ23md4NROoHdctQI2WQcxUh5T+4ZX+cHIEaznMiXsqRNykhzfiPtgosKSKdEZsk5uHgVa8VwO7NeVtbSGmxFqTErmqbc5PgZTMeir+MBr+e8fPO17GTwLlGl28sMROKbi48q+xgBdKr6J6gglEMe2BU4rv9HkfZxcaBK1O6qvYDLQqnFZZlblI0fOo5dacK+ThuqEfVKm5VoiSlgx829Nfzsknadd9Civz8A1QAwbpDj/jpTzgCZm6EbzlGHBuGtRR8fthdXCR7/m0IQ08I6Jx2f7m3mysAohYVaW+FOBE+YyjT7qcEp4qQqTvwWddJ7yNDMtClqQKeNRSQOHPhQCc12/4LnMKZlbFjEbFf+EtNm0G+8Buc02BAYwM7utlvGDk8XXM1/e/1m/szynnoYlJuFZxSPwXFzFhkU8E2Q52NIkB3VZvMRaavudZgmBacEoMpVXEb/r9uZ6PhL8TbjUyEP8nPf378plSz45gcKGseLimrFi6ldkisvxaqBlOLiZbKt8U0T2LdXMhGnZw46ODL1n6DKvvyJy0isp+6il2NjIrc/QvMQtyE+ohaVQYTOKirPnv9MyO7Wg5qMzdZ7w4X4rG4jEoyzpXZIQdRarPPLAlDFr+DIoiHtpfdU/w9aObeRdny/wzRtnzo3O+XEdXIV6q260ISBrpZXEVZiMfeQEvqcCBbKWSgwFQzN96nwDR/evImChtGejUIPMJ6ZoFD/IBsV+2qxVXLwD5ADgFC17n1jdH/vSuv5z0s7y4eoC79w4sTjwtC4u0hwXwJZOIsVR/QuBI1h5N2rMwTw49ESyM4F4dtiA5aUrcwhovn4eyIB8R3QncVHDFTpSmVOiltyrYd82meXL0sAVG7ShDabeIfDH5TZY1dUzrV1DekKHTKtloejN8OukyYaopPc1CUOCvvoI9y3x8JMFX7Kq2GH4i/Dj2iMt+FzxxASiQSnm6BrifYURxBgWRoFly+YI5wi7dYHsTG1KLiVrzAQlamyFFF6iqrIBRwIKP0yX01oWNrAeCIW2LsY5fUMq4sxmL95GREpTeKpuv0AxY90OQPGyg7A+8ol1ky6KCzxRgb1pBrYW+hkN8jq6c4j0us+sMTzVVddPzx5b1v5bH3Les9K76pBs0tcq7VWAunjfoIJwVNg7+RMUsGnriI03Tth7QpijvYF8QO5H2dscQgkZ3FWWIxl2DPBgIIKROJbbvnx9EHLWPotmrxZ42kAiW9ap82JG4ggK+QIc0DDF6fDnePrpKV4YDhUz+W0j/y6rwDIEJIe3xoF+FWxmJ/+lm01xDYj1Ox+iIFKoylm7uxQOP4fuh8hFXSidnzm24JeIzex31OhcApMXhRxvI1ZLBp3FbQ/Q5Bd/Cp1S9ZEvMfE13c7krouQ06HgOZNR8pmeaB64JJhwl6FsvVowcxI4F7TofmzMvxZTXxFRQooQqeELqxt4eMbSnFCjooA3rEWRegSQA05rAm261lvL9qxAAvgTIY4eA3JLSrLGOGdbd14waKyQPrqr3mVci6Kz4GmQbvA4p7zZ9jWgowe7trLn/42bA45RAqzfAkp99eBeEtFQvMPY+FyTNK8nJFKBw8UOovlUoYvUdqB35pTHe6alxBQ5KyaPnJtTVfYyoZ4tpVCVxV0wzsMr4aY+nHuPMrAoHe5Jrh8TMHH+PsJQgmu6GTR0vYZtdasifjZTqR/xaHG6m+a+N4Tbmq0nIFifbtNV/DViA1A18J6GL/CvNZuszNLbDwx/iTPWUlGhGDCJJc9nZwPdq2EULmsDRcPyExfnH8+QyX50aJhBEd7ZESPFYHdQM/wHZ31LU0l3MjHnRp/oXPtGWIAb6DwCVOS1n4zA6Co6gBwpU3yBJZb2BLpN9JYQy2NN77fvzVPpIUZshGct280ooKwuZiXReida+/b5V3uy/DuQsLzsYBKTHPnTsQefy25dVXcyep8vW4V6mw0YmH6zoAYDLkXHWkaT1TMY5l7JI8Ph3yDKlwFgl2qE6NqxJI7JZiiVC1Iud9JcvPptk9ycQIWXGx9Y1w33n4DSHZzhGvBlYf9Ev4bkqJzC1cttSLMUesX//aqS0BGyGpWknbVLR5CfS928rUw8LjazhX8xNeOEr5kPzEslCkZhvDCEecC3efxInBG5fHiVl0ZqLjXr2kg1hEUQ2CQlwl+38x1qbsAUL+8G/g7Skk0t9U+VMCADEJ3hSzRzRz5cd3PWFre0/m2zXyQ0yPlz9QCyQ6hpscrWP3Z55RlvnLUkgnBXYTyiYOLK3Z+4wXUvg4r4NnoA1+434JgxXHwRw1jPRrsDjC2OEvc7EUQjYmepTmDABCVbXYREAbm8Oi58x0NRNFHtswwkJTpHlHpJ4Y6EZcB2RhWvUyJEAlS0ek1jNYc4YOXIDo3US62gNGc8iW3QzCI4STUCFUVTouGfFZAGf+sGlylKXtw0VSwlnIT77cDMwNEtsAk7+5pOogaNDoCXIVqhC5g0YHQNsK+GhsJGDgOi+j4/HlvfIu7wo0jtNtZrksn0GGKYS71mFgaO8+RivLYO9Z2fFDtrWXXWmt75dMl6h+BGL0lNAc9ZAzr0bDF0pMfWkx6ItCI9Hg8oihwiIpGCsu3vE9osyQAESyuN3mC7rkQTWsCjrQy2xWf12E0tiSqExcMjlsE5V3nL8cnaRGOHpdCwGwhpRIQgd+ABJL/5WrHX8xaEPep1Y8cp1VqETB5lazfGEbo3uNdgtqLmtyHFtTJUoarIora5WiByknYsi4oZWpk2hJcC4+gQSSmbMJE2lGbx+ccMj7dtwfe1a7eR3aGF4fqZfrKsOatj2uWQSTdATzR07ocmb+iM7xq+HmlaDvC03cUW5K365BPDIJRhADIvDBLAbez58OP26+XoTwg9WJengOwAJiHbGtZlcxt08El+YMFxu2pLKLnwARv+vlOkeqYaMPbAnWA52Ekbg0sMWyNwvBm1g6FsY4uRDZix0BleHArWsWghtMPzfQLVjPhqHI3FMdI6Qd81bDw9VZ70Y3Wt3mzGgs8NAZSlHvc1kUh5wIZip5A1bxtkF6QplbUmKAgEmyunid+eOaNHm3ZdGDcgIOKx6QDaKNtrc0RsbzmgaZUMBcJYi1a67qgCFHpwkRgBVrsiy65l07EnAOunD6EH/3QXzECzm0CFRjVKXGYhMWUphp+XZmiUUfXNGYCSJZKQrVKOQIra+HDoGRNcpy8IEL2wTPrDURcFyiPyUvjibOIlFvED7s2H88cNRsjhuOt1R3JQwxiOROS2//xEbnS2ZjI8p4Y0hH4TeOyNrlkVeJYD4a3X0bUitTJ9Ju/J6+zNHdPh9yngpvRyKBSQmFyKTh3sy8ty+feTrP6gsw0VFuaHhp7QcN8VGblP+uZPTAmiC1v9GvF/r3RXRdrHBfaPrXvuwyoHjh0y0EhqcD2Q28fXuuqHthMRCYZ+28saHvC6VO8PhI6cWU2b1TcApqW1yoMtqn7KWwpYoIG94tIBEylgp+kpArsFV5SYaJ+PboRuhUzoRSdxFdiu8Lmy2Ms2Yh7DTotJc5PIpJ4TOmex67iBsmTz1iOQ+d7FOZT2h2rGMTHh9uypmCMmNuIdRUGEqNpMFdqXG0dNL/laqbBxfWomgItHJz4UnX2HLf/j8pRgFeb9EbJd+86ITBkGkd2u7Xm5rMpGtM7qs5iMbXeKFcc6qTCz4VrGAbm5vUIats08GNaLgS8fSdOss3EHUrTZARCE8qyzOrv15fR9c2ZldSAA7a7pvI427g4bWRAs/gjpvYFmZQjg1S3T+HdeY1HQmfj3Inp14SQ608loP9idjo7pVUd1gT5lT1GtvjfDB5KdczXaLJaAA91Sx6nif3+yPcyI38aRSWwf02X70SYIBmobLprRTGosHKjpFTmG9WqFodc58UB7DnFfeyyD6HHtGfreCvz7MwQnFOB9cB/pmx3zsHiMUvzw33SYesk/bh6kk9qIwGrVzgQqwFUU7prLONjluNVFMLxMIJkZheHvyOiUAAg+XNK1ePzO2XLCAvsXHqe+OGt3D2TyUyvakdgUNuFauaVTpzTbSPzVRvgkjaOdNGzBRkn9ajsrEKJft1mGLfCh4q/TtcUZ9U2VozdnGT+Ur9+501GgpJsO5OOEWUUD0sEdlzQ9FGK6agrlqYOt7Xd22kSe8HXxw6SnBEgm1zCw+v+AJ5J4/7DhRWiYpT+VeybnEpli7H+xrz13GqTyk26FEFjbKTZPf9j5Ez5TNIkSKQc/kU5u2fZohYjsifyF+cS7RogSSLRhUPD9WXfBMqyKcnNVgOuv1fudsRgwqIun2wU4gelEwIPXYzCb5FWi4BIXPte7nTuLWi5DrDUMXY33gwEHoC8vxdZJcTMhejXkKSLvw/P2ckz5lDpUFRho+r/MLnCGkJrpsgEMCnvcyQSVdIA0EE6vvZBtPt/xMlO0y/kGf7pKqSVxUK3bvPCE0+jAKF/lJjVP1vM4YKsZaLJ8B6zpU4o5w1ZcFjvYeB/RXszXX0f1398oUK8ntnu8McUEiSYxAAQj0aUfBIlsBpOLBYykJrMpUAMXBbwgYa355gDqH7R1wKLRsTreBUU+jdFo1x8Kj6xZOnSbzwbCGtiwzubgs6aCX4E8cJNdBI1qDFUPSpPF0Y7tyJCvGSjmuwzf+Odz7h4i09Qf+JPIWY02wVUhuIzrmTXeZDQVgAn/mYT4usgYwfvgzh/pFt/1KiQ9Kn2ZA83HuhqzKkOzqyJ5emqo6V2/Mk1M5jCpsylIZCA2wE009bJWGcij91TmcT7p9C7XBUT0P1yytLBnDb2tzfrdYrNF9lcGKTtLBY3nWtGUF6D5moyL9t1EZ8kjKEfmDxvQa/YKRPgaQjKDW0XVvtI+ftAywaBd/Tf4xXJlSi09eWox7LaIzziC+Zq/xTd3GQ+20eQpetNA7qVv1hBhRKapKouEJ3x6LNEza1Oae36Asmomo8FJDCsRV5mcIXvqcniYWO6EIBjdpbyyS+J41iNJjADp2ExD08ot97JY8iQi//ZQHe1KY/Q7DwE8taR6E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Gob19</b:Tag>
    <b:SourceType>DocumentFromInternetSite</b:SourceType>
    <b:Guid>{7B3791D4-A6E2-4DDD-BC53-D1AAB9B9CF70}</b:Guid>
    <b:Title>Departamento Administrativo de Planeación de Antioquia</b:Title>
    <b:Year>2019</b:Year>
    <b:Author>
      <b:Author>
        <b:NameList>
          <b:Person>
            <b:Last>Gobernación de Antioquia</b:Last>
          </b:Person>
        </b:NameList>
      </b:Author>
    </b:Author>
    <b:InternetSiteTitle>Anuario Estadístico de Antioquia 2018</b:InternetSiteTitle>
    <b:RefOrder>1</b:RefOrde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116387D8-504C-4A4D-9E9D-B31AEECED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2236</TotalTime>
  <Pages>21</Pages>
  <Words>6760</Words>
  <Characters>37184</Characters>
  <Application>Microsoft Office Word</Application>
  <DocSecurity>0</DocSecurity>
  <Lines>309</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Alejandro Moscoso Deossa</dc:creator>
  <cp:lastModifiedBy>Jorge Alejandro Moscoso Deossa</cp:lastModifiedBy>
  <cp:revision>50</cp:revision>
  <dcterms:created xsi:type="dcterms:W3CDTF">2020-09-18T04:01:00Z</dcterms:created>
  <dcterms:modified xsi:type="dcterms:W3CDTF">2020-11-29T20:43:00Z</dcterms:modified>
</cp:coreProperties>
</file>