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006A1" w:rsidR="0065570C" w:rsidP="002B1B35" w:rsidRDefault="0065570C" w14:paraId="25FC9CE9" w14:textId="671C5AFA">
      <w:pPr>
        <w:pStyle w:val="Ttulo"/>
        <w:spacing w:before="3400" w:after="480"/>
        <w:jc w:val="center"/>
        <w:rPr>
          <w:rFonts w:ascii="Inter" w:hAnsi="Inter"/>
          <w:b/>
          <w:color w:val="1A1A1A"/>
          <w:sz w:val="48"/>
          <w:lang w:val="es-ES"/>
        </w:rPr>
      </w:pPr>
      <w:r w:rsidRPr="008006A1">
        <w:rPr>
          <w:rFonts w:ascii="Inter" w:hAnsi="Inter"/>
          <w:b/>
          <w:color w:val="1A1A1A"/>
          <w:sz w:val="48"/>
          <w:lang w:val="es-ES"/>
        </w:rPr>
        <w:t>TicketRight: definición completa del caso de negocio</w:t>
      </w:r>
    </w:p>
    <w:p w:rsidRPr="002B1B35" w:rsidR="0065570C" w:rsidP="002B1B35" w:rsidRDefault="0065570C" w14:paraId="01C7B39E" w14:textId="654263D3">
      <w:pPr>
        <w:spacing w:after="80" w:line="280" w:lineRule="auto"/>
        <w:jc w:val="center"/>
        <w:rPr>
          <w:rFonts w:ascii="Inter" w:hAnsi="Inter"/>
          <w:sz w:val="22"/>
          <w:lang w:val="es-ES"/>
        </w:rPr>
      </w:pPr>
      <w:r w:rsidRPr="002B1B35">
        <w:rPr>
          <w:rFonts w:ascii="Inter" w:hAnsi="Inter"/>
          <w:b/>
          <w:color w:val="000000"/>
          <w:sz w:val="22"/>
          <w:lang w:val="es-ES"/>
        </w:rPr>
        <w:t>Entrega 1 del proyecto integrador</w:t>
      </w:r>
    </w:p>
    <w:p w:rsidRPr="002B1B35" w:rsidR="0065570C" w:rsidP="002B1B35" w:rsidRDefault="0065570C" w14:paraId="7AEE3CA7" w14:textId="47D9CB28">
      <w:pPr>
        <w:spacing w:after="80" w:line="280" w:lineRule="auto"/>
        <w:jc w:val="center"/>
        <w:rPr>
          <w:rFonts w:ascii="Inter" w:hAnsi="Inter"/>
          <w:sz w:val="22"/>
          <w:lang w:val="es-ES"/>
        </w:rPr>
      </w:pPr>
      <w:r w:rsidRPr="002B1B35">
        <w:rPr>
          <w:rFonts w:ascii="Inter" w:hAnsi="Inter"/>
          <w:b/>
          <w:color w:val="000000"/>
          <w:sz w:val="22"/>
          <w:lang w:val="es-ES"/>
        </w:rPr>
        <w:t>Asignatura:</w:t>
      </w:r>
      <w:r w:rsidRPr="002B1B35">
        <w:rPr>
          <w:rFonts w:ascii="Inter" w:hAnsi="Inter"/>
          <w:color w:val="000000"/>
          <w:sz w:val="22"/>
          <w:lang w:val="es-ES"/>
        </w:rPr>
        <w:t xml:space="preserve"> Arquitecturas Avanzadas de Software</w:t>
      </w:r>
    </w:p>
    <w:p w:rsidRPr="002B1B35" w:rsidR="0065570C" w:rsidP="002B1B35" w:rsidRDefault="0065570C" w14:paraId="65DD54F3" w14:textId="5E3DE601">
      <w:pPr>
        <w:spacing w:after="80" w:line="280" w:lineRule="auto"/>
        <w:jc w:val="center"/>
        <w:rPr>
          <w:rFonts w:ascii="Inter" w:hAnsi="Inter"/>
          <w:sz w:val="22"/>
          <w:lang w:val="es-ES"/>
        </w:rPr>
      </w:pPr>
      <w:r w:rsidRPr="002B1B35">
        <w:rPr>
          <w:rFonts w:ascii="Inter" w:hAnsi="Inter"/>
          <w:b/>
          <w:color w:val="000000"/>
          <w:sz w:val="22"/>
          <w:lang w:val="es-ES"/>
        </w:rPr>
        <w:t>Universidad:</w:t>
      </w:r>
      <w:r w:rsidRPr="002B1B35">
        <w:rPr>
          <w:rFonts w:ascii="Inter" w:hAnsi="Inter"/>
          <w:color w:val="000000"/>
          <w:sz w:val="22"/>
          <w:lang w:val="es-ES"/>
        </w:rPr>
        <w:t xml:space="preserve"> EAFIT</w:t>
      </w:r>
    </w:p>
    <w:p w:rsidRPr="002B1B35" w:rsidR="0065570C" w:rsidP="002B1B35" w:rsidRDefault="0065570C" w14:paraId="2823F357" w14:textId="24BBC167">
      <w:pPr>
        <w:spacing w:after="80" w:line="280" w:lineRule="auto"/>
        <w:jc w:val="center"/>
        <w:rPr>
          <w:rFonts w:ascii="Inter" w:hAnsi="Inter"/>
          <w:sz w:val="22"/>
          <w:lang w:val="es-ES"/>
        </w:rPr>
      </w:pPr>
      <w:r w:rsidRPr="002B1B35">
        <w:rPr>
          <w:rFonts w:ascii="Inter" w:hAnsi="Inter"/>
          <w:b/>
          <w:color w:val="000000"/>
          <w:sz w:val="22"/>
          <w:lang w:val="es-ES"/>
        </w:rPr>
        <w:t>Fecha:</w:t>
      </w:r>
      <w:r w:rsidRPr="002B1B35">
        <w:rPr>
          <w:rFonts w:ascii="Inter" w:hAnsi="Inter"/>
          <w:color w:val="000000"/>
          <w:sz w:val="22"/>
          <w:lang w:val="es-ES"/>
        </w:rPr>
        <w:t xml:space="preserve"> 12 de septiembre de 2026</w:t>
      </w:r>
    </w:p>
    <w:p w:rsidRPr="002B1B35" w:rsidR="0065570C" w:rsidP="1211A574" w:rsidRDefault="266246E0" w14:paraId="166939B6" w14:textId="4115199B">
      <w:pPr>
        <w:spacing w:after="80" w:line="280" w:lineRule="auto"/>
        <w:jc w:val="center"/>
        <w:rPr>
          <w:rFonts w:ascii="Inter" w:hAnsi="Inter"/>
          <w:sz w:val="22"/>
          <w:szCs w:val="22"/>
          <w:lang w:val="es-ES"/>
        </w:rPr>
      </w:pPr>
      <w:r w:rsidRPr="1211A574">
        <w:rPr>
          <w:rFonts w:ascii="Inter" w:hAnsi="Inter"/>
          <w:b/>
          <w:bCs/>
          <w:color w:val="000000" w:themeColor="text1"/>
          <w:sz w:val="22"/>
          <w:szCs w:val="22"/>
          <w:lang w:val="es-ES"/>
        </w:rPr>
        <w:t>Integrantes:</w:t>
      </w:r>
      <w:r w:rsidRPr="1211A574">
        <w:rPr>
          <w:rFonts w:ascii="Inter" w:hAnsi="Inter"/>
          <w:color w:val="000000" w:themeColor="text1"/>
          <w:sz w:val="22"/>
          <w:szCs w:val="22"/>
          <w:lang w:val="es-ES"/>
        </w:rPr>
        <w:t xml:space="preserve"> Alejandro Ríos, Lina Ballesteros y Quinnie Villar</w:t>
      </w:r>
      <w:r w:rsidRPr="1211A574" w:rsidR="1AAE7694">
        <w:rPr>
          <w:rFonts w:ascii="Inter" w:hAnsi="Inter"/>
          <w:color w:val="000000" w:themeColor="text1"/>
          <w:sz w:val="22"/>
          <w:szCs w:val="22"/>
          <w:lang w:val="es-ES"/>
        </w:rPr>
        <w:t>r</w:t>
      </w:r>
      <w:r w:rsidRPr="1211A574">
        <w:rPr>
          <w:rFonts w:ascii="Inter" w:hAnsi="Inter"/>
          <w:color w:val="000000" w:themeColor="text1"/>
          <w:sz w:val="22"/>
          <w:szCs w:val="22"/>
          <w:lang w:val="es-ES"/>
        </w:rPr>
        <w:t>eal</w:t>
      </w:r>
    </w:p>
    <w:p w:rsidRPr="00041110" w:rsidR="002B1B35" w:rsidP="002B1B35" w:rsidRDefault="002B1B35" w14:paraId="431786D3" w14:textId="77777777">
      <w:pPr>
        <w:spacing w:after="240"/>
        <w:rPr>
          <w:rFonts w:ascii="Inter" w:hAnsi="Inter"/>
          <w:b/>
          <w:color w:val="1A1A1A"/>
          <w:sz w:val="28"/>
          <w:lang w:val="es-ES"/>
        </w:rPr>
      </w:pPr>
      <w:r w:rsidRPr="00041110">
        <w:rPr>
          <w:rFonts w:ascii="Inter" w:hAnsi="Inter"/>
          <w:b/>
          <w:color w:val="1A1A1A"/>
          <w:sz w:val="28"/>
          <w:lang w:val="es-ES"/>
        </w:rPr>
        <w:br w:type="page"/>
      </w:r>
    </w:p>
    <w:p w:rsidR="002B1B35" w:rsidP="002B1B35" w:rsidRDefault="002B1B35" w14:paraId="36BDABB5" w14:textId="3D1754A8">
      <w:pPr>
        <w:spacing w:after="240"/>
        <w:rPr>
          <w:rFonts w:ascii="Inter" w:hAnsi="Inter"/>
          <w:b/>
          <w:color w:val="1A1A1A"/>
          <w:sz w:val="28"/>
        </w:rPr>
      </w:pPr>
      <w:r w:rsidRPr="002B1B35">
        <w:rPr>
          <w:rFonts w:ascii="Inter" w:hAnsi="Inter"/>
          <w:b/>
          <w:color w:val="1A1A1A"/>
          <w:sz w:val="28"/>
        </w:rPr>
        <w:lastRenderedPageBreak/>
        <w:t>Tabla de contenido</w:t>
      </w:r>
    </w:p>
    <w:p w:rsidR="008006A1" w:rsidRDefault="002B1B35" w14:paraId="211DEC4E" w14:textId="4EABF4DF">
      <w:pPr>
        <w:pStyle w:val="TDC1"/>
        <w:tabs>
          <w:tab w:val="right" w:leader="dot" w:pos="9350"/>
        </w:tabs>
        <w:rPr>
          <w:rFonts w:eastAsiaTheme="minorEastAsia"/>
          <w:noProof/>
        </w:rPr>
      </w:pPr>
      <w:r>
        <w:rPr>
          <w:rFonts w:ascii="Inter" w:hAnsi="Inter"/>
          <w:sz w:val="21"/>
        </w:rPr>
        <w:fldChar w:fldCharType="begin"/>
      </w:r>
      <w:r>
        <w:rPr>
          <w:rFonts w:ascii="Inter" w:hAnsi="Inter"/>
          <w:sz w:val="21"/>
        </w:rPr>
        <w:instrText xml:space="preserve"> TOC \o "1-2" \h \z \u \* MERGEFORMAT </w:instrText>
      </w:r>
      <w:r>
        <w:rPr>
          <w:rFonts w:ascii="Inter" w:hAnsi="Inter"/>
          <w:sz w:val="21"/>
        </w:rPr>
        <w:fldChar w:fldCharType="separate"/>
      </w:r>
      <w:hyperlink w:history="1" w:anchor="_Toc239897181">
        <w:r w:rsidRPr="001A67DC" w:rsidR="008006A1">
          <w:rPr>
            <w:rStyle w:val="Hipervnculo"/>
            <w:rFonts w:ascii="Inter" w:hAnsi="Inter"/>
            <w:b/>
            <w:noProof/>
            <w:lang w:val="es-ES"/>
          </w:rPr>
          <w:t>Convención de evidencia</w:t>
        </w:r>
        <w:r w:rsidR="008006A1">
          <w:rPr>
            <w:noProof/>
            <w:webHidden/>
          </w:rPr>
          <w:tab/>
        </w:r>
        <w:r w:rsidR="008006A1">
          <w:rPr>
            <w:noProof/>
            <w:webHidden/>
          </w:rPr>
          <w:fldChar w:fldCharType="begin"/>
        </w:r>
        <w:r w:rsidR="008006A1">
          <w:rPr>
            <w:noProof/>
            <w:webHidden/>
          </w:rPr>
          <w:instrText xml:space="preserve"> PAGEREF _Toc239897181 \h </w:instrText>
        </w:r>
        <w:r w:rsidR="008006A1">
          <w:rPr>
            <w:noProof/>
            <w:webHidden/>
          </w:rPr>
        </w:r>
        <w:r w:rsidR="008006A1">
          <w:rPr>
            <w:noProof/>
            <w:webHidden/>
          </w:rPr>
          <w:fldChar w:fldCharType="separate"/>
        </w:r>
        <w:r w:rsidR="008006A1">
          <w:rPr>
            <w:noProof/>
            <w:webHidden/>
          </w:rPr>
          <w:t>4</w:t>
        </w:r>
        <w:r w:rsidR="008006A1">
          <w:rPr>
            <w:noProof/>
            <w:webHidden/>
          </w:rPr>
          <w:fldChar w:fldCharType="end"/>
        </w:r>
      </w:hyperlink>
    </w:p>
    <w:p w:rsidR="008006A1" w:rsidRDefault="008006A1" w14:paraId="13FF2762" w14:textId="1EE431BB">
      <w:pPr>
        <w:pStyle w:val="TDC1"/>
        <w:tabs>
          <w:tab w:val="right" w:leader="dot" w:pos="9350"/>
        </w:tabs>
        <w:rPr>
          <w:rFonts w:eastAsiaTheme="minorEastAsia"/>
          <w:noProof/>
        </w:rPr>
      </w:pPr>
      <w:hyperlink w:history="1" w:anchor="_Toc239897182">
        <w:r w:rsidRPr="001A67DC">
          <w:rPr>
            <w:rStyle w:val="Hipervnculo"/>
            <w:rFonts w:ascii="Inter" w:hAnsi="Inter"/>
            <w:b/>
            <w:noProof/>
            <w:lang w:val="es-ES"/>
          </w:rPr>
          <w:t>Resumen ejecutivo</w:t>
        </w:r>
        <w:r>
          <w:rPr>
            <w:noProof/>
            <w:webHidden/>
          </w:rPr>
          <w:tab/>
        </w:r>
        <w:r>
          <w:rPr>
            <w:noProof/>
            <w:webHidden/>
          </w:rPr>
          <w:fldChar w:fldCharType="begin"/>
        </w:r>
        <w:r>
          <w:rPr>
            <w:noProof/>
            <w:webHidden/>
          </w:rPr>
          <w:instrText xml:space="preserve"> PAGEREF _Toc239897182 \h </w:instrText>
        </w:r>
        <w:r>
          <w:rPr>
            <w:noProof/>
            <w:webHidden/>
          </w:rPr>
        </w:r>
        <w:r>
          <w:rPr>
            <w:noProof/>
            <w:webHidden/>
          </w:rPr>
          <w:fldChar w:fldCharType="separate"/>
        </w:r>
        <w:r>
          <w:rPr>
            <w:noProof/>
            <w:webHidden/>
          </w:rPr>
          <w:t>4</w:t>
        </w:r>
        <w:r>
          <w:rPr>
            <w:noProof/>
            <w:webHidden/>
          </w:rPr>
          <w:fldChar w:fldCharType="end"/>
        </w:r>
      </w:hyperlink>
    </w:p>
    <w:p w:rsidR="008006A1" w:rsidRDefault="008006A1" w14:paraId="3E96932C" w14:textId="4D3975DE">
      <w:pPr>
        <w:pStyle w:val="TDC1"/>
        <w:tabs>
          <w:tab w:val="right" w:leader="dot" w:pos="9350"/>
        </w:tabs>
        <w:rPr>
          <w:rFonts w:eastAsiaTheme="minorEastAsia"/>
          <w:noProof/>
        </w:rPr>
      </w:pPr>
      <w:hyperlink w:history="1" w:anchor="_Toc239897183">
        <w:r w:rsidRPr="001A67DC">
          <w:rPr>
            <w:rStyle w:val="Hipervnculo"/>
            <w:rFonts w:ascii="Inter" w:hAnsi="Inter"/>
            <w:b/>
            <w:noProof/>
            <w:lang w:val="es-ES"/>
          </w:rPr>
          <w:t>1. Premisas, supuestos y restricciones</w:t>
        </w:r>
        <w:r>
          <w:rPr>
            <w:noProof/>
            <w:webHidden/>
          </w:rPr>
          <w:tab/>
        </w:r>
        <w:r>
          <w:rPr>
            <w:noProof/>
            <w:webHidden/>
          </w:rPr>
          <w:fldChar w:fldCharType="begin"/>
        </w:r>
        <w:r>
          <w:rPr>
            <w:noProof/>
            <w:webHidden/>
          </w:rPr>
          <w:instrText xml:space="preserve"> PAGEREF _Toc239897183 \h </w:instrText>
        </w:r>
        <w:r>
          <w:rPr>
            <w:noProof/>
            <w:webHidden/>
          </w:rPr>
        </w:r>
        <w:r>
          <w:rPr>
            <w:noProof/>
            <w:webHidden/>
          </w:rPr>
          <w:fldChar w:fldCharType="separate"/>
        </w:r>
        <w:r>
          <w:rPr>
            <w:noProof/>
            <w:webHidden/>
          </w:rPr>
          <w:t>5</w:t>
        </w:r>
        <w:r>
          <w:rPr>
            <w:noProof/>
            <w:webHidden/>
          </w:rPr>
          <w:fldChar w:fldCharType="end"/>
        </w:r>
      </w:hyperlink>
    </w:p>
    <w:p w:rsidR="008006A1" w:rsidRDefault="008006A1" w14:paraId="3198DE25" w14:textId="2C174CFB">
      <w:pPr>
        <w:pStyle w:val="TDC2"/>
        <w:tabs>
          <w:tab w:val="right" w:leader="dot" w:pos="9350"/>
        </w:tabs>
        <w:rPr>
          <w:rFonts w:eastAsiaTheme="minorEastAsia"/>
          <w:noProof/>
        </w:rPr>
      </w:pPr>
      <w:hyperlink w:history="1" w:anchor="_Toc239897184">
        <w:r w:rsidRPr="001A67DC">
          <w:rPr>
            <w:rStyle w:val="Hipervnculo"/>
            <w:rFonts w:ascii="Inter" w:hAnsi="Inter"/>
            <w:b/>
            <w:noProof/>
            <w:lang w:val="es-ES"/>
          </w:rPr>
          <w:t>1.1 Premisas verificadas</w:t>
        </w:r>
        <w:r>
          <w:rPr>
            <w:noProof/>
            <w:webHidden/>
          </w:rPr>
          <w:tab/>
        </w:r>
        <w:r>
          <w:rPr>
            <w:noProof/>
            <w:webHidden/>
          </w:rPr>
          <w:fldChar w:fldCharType="begin"/>
        </w:r>
        <w:r>
          <w:rPr>
            <w:noProof/>
            <w:webHidden/>
          </w:rPr>
          <w:instrText xml:space="preserve"> PAGEREF _Toc239897184 \h </w:instrText>
        </w:r>
        <w:r>
          <w:rPr>
            <w:noProof/>
            <w:webHidden/>
          </w:rPr>
        </w:r>
        <w:r>
          <w:rPr>
            <w:noProof/>
            <w:webHidden/>
          </w:rPr>
          <w:fldChar w:fldCharType="separate"/>
        </w:r>
        <w:r>
          <w:rPr>
            <w:noProof/>
            <w:webHidden/>
          </w:rPr>
          <w:t>5</w:t>
        </w:r>
        <w:r>
          <w:rPr>
            <w:noProof/>
            <w:webHidden/>
          </w:rPr>
          <w:fldChar w:fldCharType="end"/>
        </w:r>
      </w:hyperlink>
    </w:p>
    <w:p w:rsidR="008006A1" w:rsidRDefault="008006A1" w14:paraId="508EFF24" w14:textId="7C0F85E8">
      <w:pPr>
        <w:pStyle w:val="TDC2"/>
        <w:tabs>
          <w:tab w:val="right" w:leader="dot" w:pos="9350"/>
        </w:tabs>
        <w:rPr>
          <w:rFonts w:eastAsiaTheme="minorEastAsia"/>
          <w:noProof/>
        </w:rPr>
      </w:pPr>
      <w:hyperlink w:history="1" w:anchor="_Toc239897185">
        <w:r w:rsidRPr="001A67DC">
          <w:rPr>
            <w:rStyle w:val="Hipervnculo"/>
            <w:rFonts w:ascii="Inter" w:hAnsi="Inter"/>
            <w:b/>
            <w:noProof/>
            <w:lang w:val="es-ES"/>
          </w:rPr>
          <w:t>1.2 Supuestos críticos</w:t>
        </w:r>
        <w:r>
          <w:rPr>
            <w:noProof/>
            <w:webHidden/>
          </w:rPr>
          <w:tab/>
        </w:r>
        <w:r>
          <w:rPr>
            <w:noProof/>
            <w:webHidden/>
          </w:rPr>
          <w:fldChar w:fldCharType="begin"/>
        </w:r>
        <w:r>
          <w:rPr>
            <w:noProof/>
            <w:webHidden/>
          </w:rPr>
          <w:instrText xml:space="preserve"> PAGEREF _Toc239897185 \h </w:instrText>
        </w:r>
        <w:r>
          <w:rPr>
            <w:noProof/>
            <w:webHidden/>
          </w:rPr>
        </w:r>
        <w:r>
          <w:rPr>
            <w:noProof/>
            <w:webHidden/>
          </w:rPr>
          <w:fldChar w:fldCharType="separate"/>
        </w:r>
        <w:r>
          <w:rPr>
            <w:noProof/>
            <w:webHidden/>
          </w:rPr>
          <w:t>5</w:t>
        </w:r>
        <w:r>
          <w:rPr>
            <w:noProof/>
            <w:webHidden/>
          </w:rPr>
          <w:fldChar w:fldCharType="end"/>
        </w:r>
      </w:hyperlink>
    </w:p>
    <w:p w:rsidR="008006A1" w:rsidRDefault="008006A1" w14:paraId="18DEEFC8" w14:textId="27AAAD8F">
      <w:pPr>
        <w:pStyle w:val="TDC2"/>
        <w:tabs>
          <w:tab w:val="right" w:leader="dot" w:pos="9350"/>
        </w:tabs>
        <w:rPr>
          <w:rFonts w:eastAsiaTheme="minorEastAsia"/>
          <w:noProof/>
        </w:rPr>
      </w:pPr>
      <w:hyperlink w:history="1" w:anchor="_Toc239897186">
        <w:r w:rsidRPr="001A67DC">
          <w:rPr>
            <w:rStyle w:val="Hipervnculo"/>
            <w:rFonts w:ascii="Inter" w:hAnsi="Inter"/>
            <w:b/>
            <w:noProof/>
          </w:rPr>
          <w:t>1.3 Restricciones</w:t>
        </w:r>
        <w:r>
          <w:rPr>
            <w:noProof/>
            <w:webHidden/>
          </w:rPr>
          <w:tab/>
        </w:r>
        <w:r>
          <w:rPr>
            <w:noProof/>
            <w:webHidden/>
          </w:rPr>
          <w:fldChar w:fldCharType="begin"/>
        </w:r>
        <w:r>
          <w:rPr>
            <w:noProof/>
            <w:webHidden/>
          </w:rPr>
          <w:instrText xml:space="preserve"> PAGEREF _Toc239897186 \h </w:instrText>
        </w:r>
        <w:r>
          <w:rPr>
            <w:noProof/>
            <w:webHidden/>
          </w:rPr>
        </w:r>
        <w:r>
          <w:rPr>
            <w:noProof/>
            <w:webHidden/>
          </w:rPr>
          <w:fldChar w:fldCharType="separate"/>
        </w:r>
        <w:r>
          <w:rPr>
            <w:noProof/>
            <w:webHidden/>
          </w:rPr>
          <w:t>6</w:t>
        </w:r>
        <w:r>
          <w:rPr>
            <w:noProof/>
            <w:webHidden/>
          </w:rPr>
          <w:fldChar w:fldCharType="end"/>
        </w:r>
      </w:hyperlink>
    </w:p>
    <w:p w:rsidR="008006A1" w:rsidRDefault="008006A1" w14:paraId="3BA18E1E" w14:textId="443D5593">
      <w:pPr>
        <w:pStyle w:val="TDC2"/>
        <w:tabs>
          <w:tab w:val="right" w:leader="dot" w:pos="9350"/>
        </w:tabs>
        <w:rPr>
          <w:rFonts w:eastAsiaTheme="minorEastAsia"/>
          <w:noProof/>
        </w:rPr>
      </w:pPr>
      <w:hyperlink w:history="1" w:anchor="_Toc239897187">
        <w:r w:rsidRPr="001A67DC">
          <w:rPr>
            <w:rStyle w:val="Hipervnculo"/>
            <w:rFonts w:ascii="Inter" w:hAnsi="Inter"/>
            <w:b/>
            <w:noProof/>
          </w:rPr>
          <w:t>1.4 Dependencias principales</w:t>
        </w:r>
        <w:r>
          <w:rPr>
            <w:noProof/>
            <w:webHidden/>
          </w:rPr>
          <w:tab/>
        </w:r>
        <w:r>
          <w:rPr>
            <w:noProof/>
            <w:webHidden/>
          </w:rPr>
          <w:fldChar w:fldCharType="begin"/>
        </w:r>
        <w:r>
          <w:rPr>
            <w:noProof/>
            <w:webHidden/>
          </w:rPr>
          <w:instrText xml:space="preserve"> PAGEREF _Toc239897187 \h </w:instrText>
        </w:r>
        <w:r>
          <w:rPr>
            <w:noProof/>
            <w:webHidden/>
          </w:rPr>
        </w:r>
        <w:r>
          <w:rPr>
            <w:noProof/>
            <w:webHidden/>
          </w:rPr>
          <w:fldChar w:fldCharType="separate"/>
        </w:r>
        <w:r>
          <w:rPr>
            <w:noProof/>
            <w:webHidden/>
          </w:rPr>
          <w:t>7</w:t>
        </w:r>
        <w:r>
          <w:rPr>
            <w:noProof/>
            <w:webHidden/>
          </w:rPr>
          <w:fldChar w:fldCharType="end"/>
        </w:r>
      </w:hyperlink>
    </w:p>
    <w:p w:rsidR="008006A1" w:rsidRDefault="008006A1" w14:paraId="3FD5F329" w14:textId="6D04BFB1">
      <w:pPr>
        <w:pStyle w:val="TDC1"/>
        <w:tabs>
          <w:tab w:val="right" w:leader="dot" w:pos="9350"/>
        </w:tabs>
        <w:rPr>
          <w:rFonts w:eastAsiaTheme="minorEastAsia"/>
          <w:noProof/>
        </w:rPr>
      </w:pPr>
      <w:hyperlink w:history="1" w:anchor="_Toc239897188">
        <w:r w:rsidRPr="001A67DC">
          <w:rPr>
            <w:rStyle w:val="Hipervnculo"/>
            <w:rFonts w:ascii="Inter" w:hAnsi="Inter"/>
            <w:b/>
            <w:noProof/>
            <w:lang w:val="es-ES"/>
          </w:rPr>
          <w:t>2. Alcance y definición del caso de negocio</w:t>
        </w:r>
        <w:r>
          <w:rPr>
            <w:noProof/>
            <w:webHidden/>
          </w:rPr>
          <w:tab/>
        </w:r>
        <w:r>
          <w:rPr>
            <w:noProof/>
            <w:webHidden/>
          </w:rPr>
          <w:fldChar w:fldCharType="begin"/>
        </w:r>
        <w:r>
          <w:rPr>
            <w:noProof/>
            <w:webHidden/>
          </w:rPr>
          <w:instrText xml:space="preserve"> PAGEREF _Toc239897188 \h </w:instrText>
        </w:r>
        <w:r>
          <w:rPr>
            <w:noProof/>
            <w:webHidden/>
          </w:rPr>
        </w:r>
        <w:r>
          <w:rPr>
            <w:noProof/>
            <w:webHidden/>
          </w:rPr>
          <w:fldChar w:fldCharType="separate"/>
        </w:r>
        <w:r>
          <w:rPr>
            <w:noProof/>
            <w:webHidden/>
          </w:rPr>
          <w:t>7</w:t>
        </w:r>
        <w:r>
          <w:rPr>
            <w:noProof/>
            <w:webHidden/>
          </w:rPr>
          <w:fldChar w:fldCharType="end"/>
        </w:r>
      </w:hyperlink>
    </w:p>
    <w:p w:rsidR="008006A1" w:rsidRDefault="008006A1" w14:paraId="0DDE32B5" w14:textId="6D1207CD">
      <w:pPr>
        <w:pStyle w:val="TDC2"/>
        <w:tabs>
          <w:tab w:val="right" w:leader="dot" w:pos="9350"/>
        </w:tabs>
        <w:rPr>
          <w:rFonts w:eastAsiaTheme="minorEastAsia"/>
          <w:noProof/>
        </w:rPr>
      </w:pPr>
      <w:hyperlink w:history="1" w:anchor="_Toc239897189">
        <w:r w:rsidRPr="001A67DC">
          <w:rPr>
            <w:rStyle w:val="Hipervnculo"/>
            <w:rFonts w:ascii="Inter" w:hAnsi="Inter"/>
            <w:b/>
            <w:noProof/>
            <w:lang w:val="es-ES"/>
          </w:rPr>
          <w:t>2.1 Problema y oportunidad</w:t>
        </w:r>
        <w:r>
          <w:rPr>
            <w:noProof/>
            <w:webHidden/>
          </w:rPr>
          <w:tab/>
        </w:r>
        <w:r>
          <w:rPr>
            <w:noProof/>
            <w:webHidden/>
          </w:rPr>
          <w:fldChar w:fldCharType="begin"/>
        </w:r>
        <w:r>
          <w:rPr>
            <w:noProof/>
            <w:webHidden/>
          </w:rPr>
          <w:instrText xml:space="preserve"> PAGEREF _Toc239897189 \h </w:instrText>
        </w:r>
        <w:r>
          <w:rPr>
            <w:noProof/>
            <w:webHidden/>
          </w:rPr>
        </w:r>
        <w:r>
          <w:rPr>
            <w:noProof/>
            <w:webHidden/>
          </w:rPr>
          <w:fldChar w:fldCharType="separate"/>
        </w:r>
        <w:r>
          <w:rPr>
            <w:noProof/>
            <w:webHidden/>
          </w:rPr>
          <w:t>7</w:t>
        </w:r>
        <w:r>
          <w:rPr>
            <w:noProof/>
            <w:webHidden/>
          </w:rPr>
          <w:fldChar w:fldCharType="end"/>
        </w:r>
      </w:hyperlink>
    </w:p>
    <w:p w:rsidR="008006A1" w:rsidRDefault="008006A1" w14:paraId="204BEFD2" w14:textId="22187C1E">
      <w:pPr>
        <w:pStyle w:val="TDC2"/>
        <w:tabs>
          <w:tab w:val="right" w:leader="dot" w:pos="9350"/>
        </w:tabs>
        <w:rPr>
          <w:rFonts w:eastAsiaTheme="minorEastAsia"/>
          <w:noProof/>
        </w:rPr>
      </w:pPr>
      <w:hyperlink w:history="1" w:anchor="_Toc239897190">
        <w:r w:rsidRPr="001A67DC">
          <w:rPr>
            <w:rStyle w:val="Hipervnculo"/>
            <w:rFonts w:ascii="Inter" w:hAnsi="Inter"/>
            <w:b/>
            <w:noProof/>
            <w:lang w:val="es-ES"/>
          </w:rPr>
          <w:t>2.2 Clientes, usuarios y actores</w:t>
        </w:r>
        <w:r>
          <w:rPr>
            <w:noProof/>
            <w:webHidden/>
          </w:rPr>
          <w:tab/>
        </w:r>
        <w:r>
          <w:rPr>
            <w:noProof/>
            <w:webHidden/>
          </w:rPr>
          <w:fldChar w:fldCharType="begin"/>
        </w:r>
        <w:r>
          <w:rPr>
            <w:noProof/>
            <w:webHidden/>
          </w:rPr>
          <w:instrText xml:space="preserve"> PAGEREF _Toc239897190 \h </w:instrText>
        </w:r>
        <w:r>
          <w:rPr>
            <w:noProof/>
            <w:webHidden/>
          </w:rPr>
        </w:r>
        <w:r>
          <w:rPr>
            <w:noProof/>
            <w:webHidden/>
          </w:rPr>
          <w:fldChar w:fldCharType="separate"/>
        </w:r>
        <w:r>
          <w:rPr>
            <w:noProof/>
            <w:webHidden/>
          </w:rPr>
          <w:t>7</w:t>
        </w:r>
        <w:r>
          <w:rPr>
            <w:noProof/>
            <w:webHidden/>
          </w:rPr>
          <w:fldChar w:fldCharType="end"/>
        </w:r>
      </w:hyperlink>
    </w:p>
    <w:p w:rsidR="008006A1" w:rsidRDefault="008006A1" w14:paraId="1C3C0942" w14:textId="5D3ABBA3">
      <w:pPr>
        <w:pStyle w:val="TDC2"/>
        <w:tabs>
          <w:tab w:val="right" w:leader="dot" w:pos="9350"/>
        </w:tabs>
        <w:rPr>
          <w:rFonts w:eastAsiaTheme="minorEastAsia"/>
          <w:noProof/>
        </w:rPr>
      </w:pPr>
      <w:hyperlink w:history="1" w:anchor="_Toc239897191">
        <w:r w:rsidRPr="001A67DC">
          <w:rPr>
            <w:rStyle w:val="Hipervnculo"/>
            <w:rFonts w:ascii="Inter" w:hAnsi="Inter"/>
            <w:b/>
            <w:noProof/>
            <w:lang w:val="es-ES"/>
          </w:rPr>
          <w:t>2.3 Solución propuesta</w:t>
        </w:r>
        <w:r>
          <w:rPr>
            <w:noProof/>
            <w:webHidden/>
          </w:rPr>
          <w:tab/>
        </w:r>
        <w:r>
          <w:rPr>
            <w:noProof/>
            <w:webHidden/>
          </w:rPr>
          <w:fldChar w:fldCharType="begin"/>
        </w:r>
        <w:r>
          <w:rPr>
            <w:noProof/>
            <w:webHidden/>
          </w:rPr>
          <w:instrText xml:space="preserve"> PAGEREF _Toc239897191 \h </w:instrText>
        </w:r>
        <w:r>
          <w:rPr>
            <w:noProof/>
            <w:webHidden/>
          </w:rPr>
        </w:r>
        <w:r>
          <w:rPr>
            <w:noProof/>
            <w:webHidden/>
          </w:rPr>
          <w:fldChar w:fldCharType="separate"/>
        </w:r>
        <w:r>
          <w:rPr>
            <w:noProof/>
            <w:webHidden/>
          </w:rPr>
          <w:t>7</w:t>
        </w:r>
        <w:r>
          <w:rPr>
            <w:noProof/>
            <w:webHidden/>
          </w:rPr>
          <w:fldChar w:fldCharType="end"/>
        </w:r>
      </w:hyperlink>
    </w:p>
    <w:p w:rsidR="008006A1" w:rsidRDefault="008006A1" w14:paraId="463BE4C5" w14:textId="161E53F0">
      <w:pPr>
        <w:pStyle w:val="TDC2"/>
        <w:tabs>
          <w:tab w:val="right" w:leader="dot" w:pos="9350"/>
        </w:tabs>
        <w:rPr>
          <w:rFonts w:eastAsiaTheme="minorEastAsia"/>
          <w:noProof/>
        </w:rPr>
      </w:pPr>
      <w:hyperlink w:history="1" w:anchor="_Toc239897192">
        <w:r w:rsidRPr="001A67DC">
          <w:rPr>
            <w:rStyle w:val="Hipervnculo"/>
            <w:rFonts w:ascii="Inter" w:hAnsi="Inter"/>
            <w:b/>
            <w:noProof/>
          </w:rPr>
          <w:t>2.4 Dentro del alcance</w:t>
        </w:r>
        <w:r>
          <w:rPr>
            <w:noProof/>
            <w:webHidden/>
          </w:rPr>
          <w:tab/>
        </w:r>
        <w:r>
          <w:rPr>
            <w:noProof/>
            <w:webHidden/>
          </w:rPr>
          <w:fldChar w:fldCharType="begin"/>
        </w:r>
        <w:r>
          <w:rPr>
            <w:noProof/>
            <w:webHidden/>
          </w:rPr>
          <w:instrText xml:space="preserve"> PAGEREF _Toc239897192 \h </w:instrText>
        </w:r>
        <w:r>
          <w:rPr>
            <w:noProof/>
            <w:webHidden/>
          </w:rPr>
        </w:r>
        <w:r>
          <w:rPr>
            <w:noProof/>
            <w:webHidden/>
          </w:rPr>
          <w:fldChar w:fldCharType="separate"/>
        </w:r>
        <w:r>
          <w:rPr>
            <w:noProof/>
            <w:webHidden/>
          </w:rPr>
          <w:t>8</w:t>
        </w:r>
        <w:r>
          <w:rPr>
            <w:noProof/>
            <w:webHidden/>
          </w:rPr>
          <w:fldChar w:fldCharType="end"/>
        </w:r>
      </w:hyperlink>
    </w:p>
    <w:p w:rsidR="008006A1" w:rsidRDefault="008006A1" w14:paraId="02C43176" w14:textId="6722AA84">
      <w:pPr>
        <w:pStyle w:val="TDC2"/>
        <w:tabs>
          <w:tab w:val="right" w:leader="dot" w:pos="9350"/>
        </w:tabs>
        <w:rPr>
          <w:rFonts w:eastAsiaTheme="minorEastAsia"/>
          <w:noProof/>
        </w:rPr>
      </w:pPr>
      <w:hyperlink w:history="1" w:anchor="_Toc239897193">
        <w:r w:rsidRPr="001A67DC">
          <w:rPr>
            <w:rStyle w:val="Hipervnculo"/>
            <w:rFonts w:ascii="Inter" w:hAnsi="Inter"/>
            <w:b/>
            <w:noProof/>
          </w:rPr>
          <w:t>2.5 Fuera del alcance</w:t>
        </w:r>
        <w:r>
          <w:rPr>
            <w:noProof/>
            <w:webHidden/>
          </w:rPr>
          <w:tab/>
        </w:r>
        <w:r>
          <w:rPr>
            <w:noProof/>
            <w:webHidden/>
          </w:rPr>
          <w:fldChar w:fldCharType="begin"/>
        </w:r>
        <w:r>
          <w:rPr>
            <w:noProof/>
            <w:webHidden/>
          </w:rPr>
          <w:instrText xml:space="preserve"> PAGEREF _Toc239897193 \h </w:instrText>
        </w:r>
        <w:r>
          <w:rPr>
            <w:noProof/>
            <w:webHidden/>
          </w:rPr>
        </w:r>
        <w:r>
          <w:rPr>
            <w:noProof/>
            <w:webHidden/>
          </w:rPr>
          <w:fldChar w:fldCharType="separate"/>
        </w:r>
        <w:r>
          <w:rPr>
            <w:noProof/>
            <w:webHidden/>
          </w:rPr>
          <w:t>8</w:t>
        </w:r>
        <w:r>
          <w:rPr>
            <w:noProof/>
            <w:webHidden/>
          </w:rPr>
          <w:fldChar w:fldCharType="end"/>
        </w:r>
      </w:hyperlink>
    </w:p>
    <w:p w:rsidR="008006A1" w:rsidRDefault="008006A1" w14:paraId="3BAA31D1" w14:textId="3A8D5BE7">
      <w:pPr>
        <w:pStyle w:val="TDC1"/>
        <w:tabs>
          <w:tab w:val="right" w:leader="dot" w:pos="9350"/>
        </w:tabs>
        <w:rPr>
          <w:rFonts w:eastAsiaTheme="minorEastAsia"/>
          <w:noProof/>
        </w:rPr>
      </w:pPr>
      <w:hyperlink w:history="1" w:anchor="_Toc239897194">
        <w:r w:rsidRPr="001A67DC">
          <w:rPr>
            <w:rStyle w:val="Hipervnculo"/>
            <w:rFonts w:ascii="Inter" w:hAnsi="Inter"/>
            <w:b/>
            <w:noProof/>
            <w:lang w:val="es-ES"/>
          </w:rPr>
          <w:t>3. Business Model Canvas</w:t>
        </w:r>
        <w:r>
          <w:rPr>
            <w:noProof/>
            <w:webHidden/>
          </w:rPr>
          <w:tab/>
        </w:r>
        <w:r>
          <w:rPr>
            <w:noProof/>
            <w:webHidden/>
          </w:rPr>
          <w:fldChar w:fldCharType="begin"/>
        </w:r>
        <w:r>
          <w:rPr>
            <w:noProof/>
            <w:webHidden/>
          </w:rPr>
          <w:instrText xml:space="preserve"> PAGEREF _Toc239897194 \h </w:instrText>
        </w:r>
        <w:r>
          <w:rPr>
            <w:noProof/>
            <w:webHidden/>
          </w:rPr>
        </w:r>
        <w:r>
          <w:rPr>
            <w:noProof/>
            <w:webHidden/>
          </w:rPr>
          <w:fldChar w:fldCharType="separate"/>
        </w:r>
        <w:r>
          <w:rPr>
            <w:noProof/>
            <w:webHidden/>
          </w:rPr>
          <w:t>8</w:t>
        </w:r>
        <w:r>
          <w:rPr>
            <w:noProof/>
            <w:webHidden/>
          </w:rPr>
          <w:fldChar w:fldCharType="end"/>
        </w:r>
      </w:hyperlink>
    </w:p>
    <w:p w:rsidR="008006A1" w:rsidRDefault="008006A1" w14:paraId="0B45F061" w14:textId="417FAF2D">
      <w:pPr>
        <w:pStyle w:val="TDC2"/>
        <w:tabs>
          <w:tab w:val="right" w:leader="dot" w:pos="9350"/>
        </w:tabs>
        <w:rPr>
          <w:rFonts w:eastAsiaTheme="minorEastAsia"/>
          <w:noProof/>
        </w:rPr>
      </w:pPr>
      <w:hyperlink w:history="1" w:anchor="_Toc239897195">
        <w:r w:rsidRPr="001A67DC">
          <w:rPr>
            <w:rStyle w:val="Hipervnculo"/>
            <w:rFonts w:ascii="Inter" w:hAnsi="Inter"/>
            <w:b/>
            <w:noProof/>
            <w:lang w:val="es-ES"/>
          </w:rPr>
          <w:t>3.1 Segmentos de clientes</w:t>
        </w:r>
        <w:r>
          <w:rPr>
            <w:noProof/>
            <w:webHidden/>
          </w:rPr>
          <w:tab/>
        </w:r>
        <w:r>
          <w:rPr>
            <w:noProof/>
            <w:webHidden/>
          </w:rPr>
          <w:fldChar w:fldCharType="begin"/>
        </w:r>
        <w:r>
          <w:rPr>
            <w:noProof/>
            <w:webHidden/>
          </w:rPr>
          <w:instrText xml:space="preserve"> PAGEREF _Toc239897195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15236E5E" w14:textId="196FA20E">
      <w:pPr>
        <w:pStyle w:val="TDC2"/>
        <w:tabs>
          <w:tab w:val="right" w:leader="dot" w:pos="9350"/>
        </w:tabs>
        <w:rPr>
          <w:rFonts w:eastAsiaTheme="minorEastAsia"/>
          <w:noProof/>
        </w:rPr>
      </w:pPr>
      <w:hyperlink w:history="1" w:anchor="_Toc239897196">
        <w:r w:rsidRPr="001A67DC">
          <w:rPr>
            <w:rStyle w:val="Hipervnculo"/>
            <w:rFonts w:ascii="Inter" w:hAnsi="Inter"/>
            <w:b/>
            <w:noProof/>
            <w:lang w:val="es-ES"/>
          </w:rPr>
          <w:t>3.2 Propuesta de valor</w:t>
        </w:r>
        <w:r>
          <w:rPr>
            <w:noProof/>
            <w:webHidden/>
          </w:rPr>
          <w:tab/>
        </w:r>
        <w:r>
          <w:rPr>
            <w:noProof/>
            <w:webHidden/>
          </w:rPr>
          <w:fldChar w:fldCharType="begin"/>
        </w:r>
        <w:r>
          <w:rPr>
            <w:noProof/>
            <w:webHidden/>
          </w:rPr>
          <w:instrText xml:space="preserve"> PAGEREF _Toc239897196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0B4DB750" w14:textId="660A3174">
      <w:pPr>
        <w:pStyle w:val="TDC2"/>
        <w:tabs>
          <w:tab w:val="right" w:leader="dot" w:pos="9350"/>
        </w:tabs>
        <w:rPr>
          <w:rFonts w:eastAsiaTheme="minorEastAsia"/>
          <w:noProof/>
        </w:rPr>
      </w:pPr>
      <w:hyperlink w:history="1" w:anchor="_Toc239897197">
        <w:r w:rsidRPr="001A67DC">
          <w:rPr>
            <w:rStyle w:val="Hipervnculo"/>
            <w:rFonts w:ascii="Inter" w:hAnsi="Inter"/>
            <w:b/>
            <w:noProof/>
            <w:lang w:val="es-ES"/>
          </w:rPr>
          <w:t>3.3 Canales</w:t>
        </w:r>
        <w:r>
          <w:rPr>
            <w:noProof/>
            <w:webHidden/>
          </w:rPr>
          <w:tab/>
        </w:r>
        <w:r>
          <w:rPr>
            <w:noProof/>
            <w:webHidden/>
          </w:rPr>
          <w:fldChar w:fldCharType="begin"/>
        </w:r>
        <w:r>
          <w:rPr>
            <w:noProof/>
            <w:webHidden/>
          </w:rPr>
          <w:instrText xml:space="preserve"> PAGEREF _Toc239897197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3F7E1D27" w14:textId="26E0A28E">
      <w:pPr>
        <w:pStyle w:val="TDC2"/>
        <w:tabs>
          <w:tab w:val="right" w:leader="dot" w:pos="9350"/>
        </w:tabs>
        <w:rPr>
          <w:rFonts w:eastAsiaTheme="minorEastAsia"/>
          <w:noProof/>
        </w:rPr>
      </w:pPr>
      <w:hyperlink w:history="1" w:anchor="_Toc239897198">
        <w:r w:rsidRPr="001A67DC">
          <w:rPr>
            <w:rStyle w:val="Hipervnculo"/>
            <w:rFonts w:ascii="Inter" w:hAnsi="Inter"/>
            <w:b/>
            <w:noProof/>
            <w:lang w:val="es-ES"/>
          </w:rPr>
          <w:t>3.4 Relaciones con clientes</w:t>
        </w:r>
        <w:r>
          <w:rPr>
            <w:noProof/>
            <w:webHidden/>
          </w:rPr>
          <w:tab/>
        </w:r>
        <w:r>
          <w:rPr>
            <w:noProof/>
            <w:webHidden/>
          </w:rPr>
          <w:fldChar w:fldCharType="begin"/>
        </w:r>
        <w:r>
          <w:rPr>
            <w:noProof/>
            <w:webHidden/>
          </w:rPr>
          <w:instrText xml:space="preserve"> PAGEREF _Toc239897198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643137A2" w14:textId="3E57B056">
      <w:pPr>
        <w:pStyle w:val="TDC2"/>
        <w:tabs>
          <w:tab w:val="right" w:leader="dot" w:pos="9350"/>
        </w:tabs>
        <w:rPr>
          <w:rFonts w:eastAsiaTheme="minorEastAsia"/>
          <w:noProof/>
        </w:rPr>
      </w:pPr>
      <w:hyperlink w:history="1" w:anchor="_Toc239897199">
        <w:r w:rsidRPr="001A67DC">
          <w:rPr>
            <w:rStyle w:val="Hipervnculo"/>
            <w:rFonts w:ascii="Inter" w:hAnsi="Inter"/>
            <w:b/>
            <w:noProof/>
            <w:lang w:val="es-ES"/>
          </w:rPr>
          <w:t>3.5 Fuentes de ingreso</w:t>
        </w:r>
        <w:r>
          <w:rPr>
            <w:noProof/>
            <w:webHidden/>
          </w:rPr>
          <w:tab/>
        </w:r>
        <w:r>
          <w:rPr>
            <w:noProof/>
            <w:webHidden/>
          </w:rPr>
          <w:fldChar w:fldCharType="begin"/>
        </w:r>
        <w:r>
          <w:rPr>
            <w:noProof/>
            <w:webHidden/>
          </w:rPr>
          <w:instrText xml:space="preserve"> PAGEREF _Toc239897199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4F303338" w14:textId="4685A1B0">
      <w:pPr>
        <w:pStyle w:val="TDC2"/>
        <w:tabs>
          <w:tab w:val="right" w:leader="dot" w:pos="9350"/>
        </w:tabs>
        <w:rPr>
          <w:rFonts w:eastAsiaTheme="minorEastAsia"/>
          <w:noProof/>
        </w:rPr>
      </w:pPr>
      <w:hyperlink w:history="1" w:anchor="_Toc239897200">
        <w:r w:rsidRPr="001A67DC">
          <w:rPr>
            <w:rStyle w:val="Hipervnculo"/>
            <w:rFonts w:ascii="Inter" w:hAnsi="Inter"/>
            <w:b/>
            <w:noProof/>
            <w:lang w:val="es-ES"/>
          </w:rPr>
          <w:t>3.6 Recursos clave</w:t>
        </w:r>
        <w:r>
          <w:rPr>
            <w:noProof/>
            <w:webHidden/>
          </w:rPr>
          <w:tab/>
        </w:r>
        <w:r>
          <w:rPr>
            <w:noProof/>
            <w:webHidden/>
          </w:rPr>
          <w:fldChar w:fldCharType="begin"/>
        </w:r>
        <w:r>
          <w:rPr>
            <w:noProof/>
            <w:webHidden/>
          </w:rPr>
          <w:instrText xml:space="preserve"> PAGEREF _Toc239897200 \h </w:instrText>
        </w:r>
        <w:r>
          <w:rPr>
            <w:noProof/>
            <w:webHidden/>
          </w:rPr>
        </w:r>
        <w:r>
          <w:rPr>
            <w:noProof/>
            <w:webHidden/>
          </w:rPr>
          <w:fldChar w:fldCharType="separate"/>
        </w:r>
        <w:r>
          <w:rPr>
            <w:noProof/>
            <w:webHidden/>
          </w:rPr>
          <w:t>9</w:t>
        </w:r>
        <w:r>
          <w:rPr>
            <w:noProof/>
            <w:webHidden/>
          </w:rPr>
          <w:fldChar w:fldCharType="end"/>
        </w:r>
      </w:hyperlink>
    </w:p>
    <w:p w:rsidR="008006A1" w:rsidRDefault="008006A1" w14:paraId="0729BE5E" w14:textId="6FCB6BEC">
      <w:pPr>
        <w:pStyle w:val="TDC2"/>
        <w:tabs>
          <w:tab w:val="right" w:leader="dot" w:pos="9350"/>
        </w:tabs>
        <w:rPr>
          <w:rFonts w:eastAsiaTheme="minorEastAsia"/>
          <w:noProof/>
        </w:rPr>
      </w:pPr>
      <w:hyperlink w:history="1" w:anchor="_Toc239897201">
        <w:r w:rsidRPr="001A67DC">
          <w:rPr>
            <w:rStyle w:val="Hipervnculo"/>
            <w:rFonts w:ascii="Inter" w:hAnsi="Inter"/>
            <w:b/>
            <w:noProof/>
            <w:lang w:val="es-ES"/>
          </w:rPr>
          <w:t>3.7 Actividades clave</w:t>
        </w:r>
        <w:r>
          <w:rPr>
            <w:noProof/>
            <w:webHidden/>
          </w:rPr>
          <w:tab/>
        </w:r>
        <w:r>
          <w:rPr>
            <w:noProof/>
            <w:webHidden/>
          </w:rPr>
          <w:fldChar w:fldCharType="begin"/>
        </w:r>
        <w:r>
          <w:rPr>
            <w:noProof/>
            <w:webHidden/>
          </w:rPr>
          <w:instrText xml:space="preserve"> PAGEREF _Toc239897201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6778D983" w14:textId="6F0525DF">
      <w:pPr>
        <w:pStyle w:val="TDC2"/>
        <w:tabs>
          <w:tab w:val="right" w:leader="dot" w:pos="9350"/>
        </w:tabs>
        <w:rPr>
          <w:rFonts w:eastAsiaTheme="minorEastAsia"/>
          <w:noProof/>
        </w:rPr>
      </w:pPr>
      <w:hyperlink w:history="1" w:anchor="_Toc239897202">
        <w:r w:rsidRPr="001A67DC">
          <w:rPr>
            <w:rStyle w:val="Hipervnculo"/>
            <w:rFonts w:ascii="Inter" w:hAnsi="Inter"/>
            <w:b/>
            <w:noProof/>
            <w:lang w:val="es-ES"/>
          </w:rPr>
          <w:t>3.8 Socios clave</w:t>
        </w:r>
        <w:r>
          <w:rPr>
            <w:noProof/>
            <w:webHidden/>
          </w:rPr>
          <w:tab/>
        </w:r>
        <w:r>
          <w:rPr>
            <w:noProof/>
            <w:webHidden/>
          </w:rPr>
          <w:fldChar w:fldCharType="begin"/>
        </w:r>
        <w:r>
          <w:rPr>
            <w:noProof/>
            <w:webHidden/>
          </w:rPr>
          <w:instrText xml:space="preserve"> PAGEREF _Toc239897202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223D6DBA" w14:textId="6F772F96">
      <w:pPr>
        <w:pStyle w:val="TDC2"/>
        <w:tabs>
          <w:tab w:val="right" w:leader="dot" w:pos="9350"/>
        </w:tabs>
        <w:rPr>
          <w:rFonts w:eastAsiaTheme="minorEastAsia"/>
          <w:noProof/>
        </w:rPr>
      </w:pPr>
      <w:hyperlink w:history="1" w:anchor="_Toc239897203">
        <w:r w:rsidRPr="001A67DC">
          <w:rPr>
            <w:rStyle w:val="Hipervnculo"/>
            <w:rFonts w:ascii="Inter" w:hAnsi="Inter"/>
            <w:b/>
            <w:noProof/>
            <w:lang w:val="es-ES"/>
          </w:rPr>
          <w:t>3.9 Estructura de costos</w:t>
        </w:r>
        <w:r>
          <w:rPr>
            <w:noProof/>
            <w:webHidden/>
          </w:rPr>
          <w:tab/>
        </w:r>
        <w:r>
          <w:rPr>
            <w:noProof/>
            <w:webHidden/>
          </w:rPr>
          <w:fldChar w:fldCharType="begin"/>
        </w:r>
        <w:r>
          <w:rPr>
            <w:noProof/>
            <w:webHidden/>
          </w:rPr>
          <w:instrText xml:space="preserve"> PAGEREF _Toc239897203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29A74B11" w14:textId="4D346595">
      <w:pPr>
        <w:pStyle w:val="TDC2"/>
        <w:tabs>
          <w:tab w:val="right" w:leader="dot" w:pos="9350"/>
        </w:tabs>
        <w:rPr>
          <w:rFonts w:eastAsiaTheme="minorEastAsia"/>
          <w:noProof/>
        </w:rPr>
      </w:pPr>
      <w:hyperlink w:history="1" w:anchor="_Toc239897204">
        <w:r w:rsidRPr="001A67DC">
          <w:rPr>
            <w:rStyle w:val="Hipervnculo"/>
            <w:rFonts w:ascii="Inter" w:hAnsi="Inter"/>
            <w:b/>
            <w:noProof/>
            <w:lang w:val="es-ES"/>
          </w:rPr>
          <w:t>3.10 Coherencia del Canvas</w:t>
        </w:r>
        <w:r>
          <w:rPr>
            <w:noProof/>
            <w:webHidden/>
          </w:rPr>
          <w:tab/>
        </w:r>
        <w:r>
          <w:rPr>
            <w:noProof/>
            <w:webHidden/>
          </w:rPr>
          <w:fldChar w:fldCharType="begin"/>
        </w:r>
        <w:r>
          <w:rPr>
            <w:noProof/>
            <w:webHidden/>
          </w:rPr>
          <w:instrText xml:space="preserve"> PAGEREF _Toc239897204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11F7A47E" w14:textId="57B4BDC1">
      <w:pPr>
        <w:pStyle w:val="TDC1"/>
        <w:tabs>
          <w:tab w:val="right" w:leader="dot" w:pos="9350"/>
        </w:tabs>
        <w:rPr>
          <w:rFonts w:eastAsiaTheme="minorEastAsia"/>
          <w:noProof/>
        </w:rPr>
      </w:pPr>
      <w:hyperlink w:history="1" w:anchor="_Toc239897205">
        <w:r w:rsidRPr="001A67DC">
          <w:rPr>
            <w:rStyle w:val="Hipervnculo"/>
            <w:rFonts w:ascii="Inter" w:hAnsi="Inter"/>
            <w:b/>
            <w:noProof/>
            <w:lang w:val="es-ES"/>
          </w:rPr>
          <w:t>4. Modelo de ingresos, costos y viabilidad</w:t>
        </w:r>
        <w:r>
          <w:rPr>
            <w:noProof/>
            <w:webHidden/>
          </w:rPr>
          <w:tab/>
        </w:r>
        <w:r>
          <w:rPr>
            <w:noProof/>
            <w:webHidden/>
          </w:rPr>
          <w:fldChar w:fldCharType="begin"/>
        </w:r>
        <w:r>
          <w:rPr>
            <w:noProof/>
            <w:webHidden/>
          </w:rPr>
          <w:instrText xml:space="preserve"> PAGEREF _Toc239897205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646E3D07" w14:textId="7FD8EC99">
      <w:pPr>
        <w:pStyle w:val="TDC2"/>
        <w:tabs>
          <w:tab w:val="right" w:leader="dot" w:pos="9350"/>
        </w:tabs>
        <w:rPr>
          <w:rFonts w:eastAsiaTheme="minorEastAsia"/>
          <w:noProof/>
        </w:rPr>
      </w:pPr>
      <w:hyperlink w:history="1" w:anchor="_Toc239897206">
        <w:r w:rsidRPr="001A67DC">
          <w:rPr>
            <w:rStyle w:val="Hipervnculo"/>
            <w:rFonts w:ascii="Inter" w:hAnsi="Inter"/>
            <w:b/>
            <w:noProof/>
            <w:lang w:val="es-ES"/>
          </w:rPr>
          <w:t>4.1 Unidad económica</w:t>
        </w:r>
        <w:r>
          <w:rPr>
            <w:noProof/>
            <w:webHidden/>
          </w:rPr>
          <w:tab/>
        </w:r>
        <w:r>
          <w:rPr>
            <w:noProof/>
            <w:webHidden/>
          </w:rPr>
          <w:fldChar w:fldCharType="begin"/>
        </w:r>
        <w:r>
          <w:rPr>
            <w:noProof/>
            <w:webHidden/>
          </w:rPr>
          <w:instrText xml:space="preserve"> PAGEREF _Toc239897206 \h </w:instrText>
        </w:r>
        <w:r>
          <w:rPr>
            <w:noProof/>
            <w:webHidden/>
          </w:rPr>
        </w:r>
        <w:r>
          <w:rPr>
            <w:noProof/>
            <w:webHidden/>
          </w:rPr>
          <w:fldChar w:fldCharType="separate"/>
        </w:r>
        <w:r>
          <w:rPr>
            <w:noProof/>
            <w:webHidden/>
          </w:rPr>
          <w:t>10</w:t>
        </w:r>
        <w:r>
          <w:rPr>
            <w:noProof/>
            <w:webHidden/>
          </w:rPr>
          <w:fldChar w:fldCharType="end"/>
        </w:r>
      </w:hyperlink>
    </w:p>
    <w:p w:rsidR="008006A1" w:rsidRDefault="008006A1" w14:paraId="74282BC7" w14:textId="661BEAF9">
      <w:pPr>
        <w:pStyle w:val="TDC2"/>
        <w:tabs>
          <w:tab w:val="right" w:leader="dot" w:pos="9350"/>
        </w:tabs>
        <w:rPr>
          <w:rFonts w:eastAsiaTheme="minorEastAsia"/>
          <w:noProof/>
        </w:rPr>
      </w:pPr>
      <w:hyperlink w:history="1" w:anchor="_Toc239897207">
        <w:r w:rsidRPr="001A67DC">
          <w:rPr>
            <w:rStyle w:val="Hipervnculo"/>
            <w:rFonts w:ascii="Inter" w:hAnsi="Inter"/>
            <w:b/>
            <w:noProof/>
          </w:rPr>
          <w:t>4.2 Fuentes de ingreso</w:t>
        </w:r>
        <w:r>
          <w:rPr>
            <w:noProof/>
            <w:webHidden/>
          </w:rPr>
          <w:tab/>
        </w:r>
        <w:r>
          <w:rPr>
            <w:noProof/>
            <w:webHidden/>
          </w:rPr>
          <w:fldChar w:fldCharType="begin"/>
        </w:r>
        <w:r>
          <w:rPr>
            <w:noProof/>
            <w:webHidden/>
          </w:rPr>
          <w:instrText xml:space="preserve"> PAGEREF _Toc239897207 \h </w:instrText>
        </w:r>
        <w:r>
          <w:rPr>
            <w:noProof/>
            <w:webHidden/>
          </w:rPr>
        </w:r>
        <w:r>
          <w:rPr>
            <w:noProof/>
            <w:webHidden/>
          </w:rPr>
          <w:fldChar w:fldCharType="separate"/>
        </w:r>
        <w:r>
          <w:rPr>
            <w:noProof/>
            <w:webHidden/>
          </w:rPr>
          <w:t>11</w:t>
        </w:r>
        <w:r>
          <w:rPr>
            <w:noProof/>
            <w:webHidden/>
          </w:rPr>
          <w:fldChar w:fldCharType="end"/>
        </w:r>
      </w:hyperlink>
    </w:p>
    <w:p w:rsidR="008006A1" w:rsidRDefault="008006A1" w14:paraId="44246342" w14:textId="50C09D2A">
      <w:pPr>
        <w:pStyle w:val="TDC2"/>
        <w:tabs>
          <w:tab w:val="right" w:leader="dot" w:pos="9350"/>
        </w:tabs>
        <w:rPr>
          <w:rFonts w:eastAsiaTheme="minorEastAsia"/>
          <w:noProof/>
        </w:rPr>
      </w:pPr>
      <w:hyperlink w:history="1" w:anchor="_Toc239897208">
        <w:r w:rsidRPr="001A67DC">
          <w:rPr>
            <w:rStyle w:val="Hipervnculo"/>
            <w:rFonts w:ascii="Inter" w:hAnsi="Inter"/>
            <w:b/>
            <w:noProof/>
            <w:lang w:val="es-ES"/>
          </w:rPr>
          <w:t>4.3 Costos variables</w:t>
        </w:r>
        <w:r>
          <w:rPr>
            <w:noProof/>
            <w:webHidden/>
          </w:rPr>
          <w:tab/>
        </w:r>
        <w:r>
          <w:rPr>
            <w:noProof/>
            <w:webHidden/>
          </w:rPr>
          <w:fldChar w:fldCharType="begin"/>
        </w:r>
        <w:r>
          <w:rPr>
            <w:noProof/>
            <w:webHidden/>
          </w:rPr>
          <w:instrText xml:space="preserve"> PAGEREF _Toc239897208 \h </w:instrText>
        </w:r>
        <w:r>
          <w:rPr>
            <w:noProof/>
            <w:webHidden/>
          </w:rPr>
        </w:r>
        <w:r>
          <w:rPr>
            <w:noProof/>
            <w:webHidden/>
          </w:rPr>
          <w:fldChar w:fldCharType="separate"/>
        </w:r>
        <w:r>
          <w:rPr>
            <w:noProof/>
            <w:webHidden/>
          </w:rPr>
          <w:t>12</w:t>
        </w:r>
        <w:r>
          <w:rPr>
            <w:noProof/>
            <w:webHidden/>
          </w:rPr>
          <w:fldChar w:fldCharType="end"/>
        </w:r>
      </w:hyperlink>
    </w:p>
    <w:p w:rsidR="008006A1" w:rsidRDefault="008006A1" w14:paraId="4300BF75" w14:textId="04E9BACE">
      <w:pPr>
        <w:pStyle w:val="TDC2"/>
        <w:tabs>
          <w:tab w:val="right" w:leader="dot" w:pos="9350"/>
        </w:tabs>
        <w:rPr>
          <w:rFonts w:eastAsiaTheme="minorEastAsia"/>
          <w:noProof/>
        </w:rPr>
      </w:pPr>
      <w:hyperlink w:history="1" w:anchor="_Toc239897209">
        <w:r w:rsidRPr="001A67DC">
          <w:rPr>
            <w:rStyle w:val="Hipervnculo"/>
            <w:rFonts w:ascii="Inter" w:hAnsi="Inter"/>
            <w:b/>
            <w:noProof/>
          </w:rPr>
          <w:t>4.4 Costos fijos mensuales</w:t>
        </w:r>
        <w:r>
          <w:rPr>
            <w:noProof/>
            <w:webHidden/>
          </w:rPr>
          <w:tab/>
        </w:r>
        <w:r>
          <w:rPr>
            <w:noProof/>
            <w:webHidden/>
          </w:rPr>
          <w:fldChar w:fldCharType="begin"/>
        </w:r>
        <w:r>
          <w:rPr>
            <w:noProof/>
            <w:webHidden/>
          </w:rPr>
          <w:instrText xml:space="preserve"> PAGEREF _Toc239897209 \h </w:instrText>
        </w:r>
        <w:r>
          <w:rPr>
            <w:noProof/>
            <w:webHidden/>
          </w:rPr>
        </w:r>
        <w:r>
          <w:rPr>
            <w:noProof/>
            <w:webHidden/>
          </w:rPr>
          <w:fldChar w:fldCharType="separate"/>
        </w:r>
        <w:r>
          <w:rPr>
            <w:noProof/>
            <w:webHidden/>
          </w:rPr>
          <w:t>12</w:t>
        </w:r>
        <w:r>
          <w:rPr>
            <w:noProof/>
            <w:webHidden/>
          </w:rPr>
          <w:fldChar w:fldCharType="end"/>
        </w:r>
      </w:hyperlink>
    </w:p>
    <w:p w:rsidR="008006A1" w:rsidRDefault="008006A1" w14:paraId="0EBDB53D" w14:textId="1F5A1AA9">
      <w:pPr>
        <w:pStyle w:val="TDC2"/>
        <w:tabs>
          <w:tab w:val="right" w:leader="dot" w:pos="9350"/>
        </w:tabs>
        <w:rPr>
          <w:rFonts w:eastAsiaTheme="minorEastAsia"/>
          <w:noProof/>
        </w:rPr>
      </w:pPr>
      <w:hyperlink w:history="1" w:anchor="_Toc239897210">
        <w:r w:rsidRPr="001A67DC">
          <w:rPr>
            <w:rStyle w:val="Hipervnculo"/>
            <w:rFonts w:ascii="Inter" w:hAnsi="Inter"/>
            <w:b/>
            <w:noProof/>
            <w:lang w:val="es-ES"/>
          </w:rPr>
          <w:t>4.5 Resultado por boleta y punto de equilibrio</w:t>
        </w:r>
        <w:r>
          <w:rPr>
            <w:noProof/>
            <w:webHidden/>
          </w:rPr>
          <w:tab/>
        </w:r>
        <w:r>
          <w:rPr>
            <w:noProof/>
            <w:webHidden/>
          </w:rPr>
          <w:fldChar w:fldCharType="begin"/>
        </w:r>
        <w:r>
          <w:rPr>
            <w:noProof/>
            <w:webHidden/>
          </w:rPr>
          <w:instrText xml:space="preserve"> PAGEREF _Toc239897210 \h </w:instrText>
        </w:r>
        <w:r>
          <w:rPr>
            <w:noProof/>
            <w:webHidden/>
          </w:rPr>
        </w:r>
        <w:r>
          <w:rPr>
            <w:noProof/>
            <w:webHidden/>
          </w:rPr>
          <w:fldChar w:fldCharType="separate"/>
        </w:r>
        <w:r>
          <w:rPr>
            <w:noProof/>
            <w:webHidden/>
          </w:rPr>
          <w:t>13</w:t>
        </w:r>
        <w:r>
          <w:rPr>
            <w:noProof/>
            <w:webHidden/>
          </w:rPr>
          <w:fldChar w:fldCharType="end"/>
        </w:r>
      </w:hyperlink>
    </w:p>
    <w:p w:rsidR="008006A1" w:rsidRDefault="008006A1" w14:paraId="1EDE8E73" w14:textId="2AC67BA7">
      <w:pPr>
        <w:pStyle w:val="TDC2"/>
        <w:tabs>
          <w:tab w:val="right" w:leader="dot" w:pos="9350"/>
        </w:tabs>
        <w:rPr>
          <w:rFonts w:eastAsiaTheme="minorEastAsia"/>
          <w:noProof/>
        </w:rPr>
      </w:pPr>
      <w:hyperlink w:history="1" w:anchor="_Toc239897211">
        <w:r w:rsidRPr="001A67DC">
          <w:rPr>
            <w:rStyle w:val="Hipervnculo"/>
            <w:rFonts w:ascii="Inter" w:hAnsi="Inter"/>
            <w:b/>
            <w:noProof/>
            <w:lang w:val="es-ES"/>
          </w:rPr>
          <w:t>4.6 Sensibilidad del punto de equilibrio</w:t>
        </w:r>
        <w:r>
          <w:rPr>
            <w:noProof/>
            <w:webHidden/>
          </w:rPr>
          <w:tab/>
        </w:r>
        <w:r>
          <w:rPr>
            <w:noProof/>
            <w:webHidden/>
          </w:rPr>
          <w:fldChar w:fldCharType="begin"/>
        </w:r>
        <w:r>
          <w:rPr>
            <w:noProof/>
            <w:webHidden/>
          </w:rPr>
          <w:instrText xml:space="preserve"> PAGEREF _Toc239897211 \h </w:instrText>
        </w:r>
        <w:r>
          <w:rPr>
            <w:noProof/>
            <w:webHidden/>
          </w:rPr>
        </w:r>
        <w:r>
          <w:rPr>
            <w:noProof/>
            <w:webHidden/>
          </w:rPr>
          <w:fldChar w:fldCharType="separate"/>
        </w:r>
        <w:r>
          <w:rPr>
            <w:noProof/>
            <w:webHidden/>
          </w:rPr>
          <w:t>13</w:t>
        </w:r>
        <w:r>
          <w:rPr>
            <w:noProof/>
            <w:webHidden/>
          </w:rPr>
          <w:fldChar w:fldCharType="end"/>
        </w:r>
      </w:hyperlink>
    </w:p>
    <w:p w:rsidR="008006A1" w:rsidRDefault="008006A1" w14:paraId="5B0B8879" w14:textId="7891F95F">
      <w:pPr>
        <w:pStyle w:val="TDC2"/>
        <w:tabs>
          <w:tab w:val="right" w:leader="dot" w:pos="9350"/>
        </w:tabs>
        <w:rPr>
          <w:rFonts w:eastAsiaTheme="minorEastAsia"/>
          <w:noProof/>
        </w:rPr>
      </w:pPr>
      <w:hyperlink w:history="1" w:anchor="_Toc239897212">
        <w:r w:rsidRPr="001A67DC">
          <w:rPr>
            <w:rStyle w:val="Hipervnculo"/>
            <w:rFonts w:ascii="Inter" w:hAnsi="Inter"/>
            <w:b/>
            <w:noProof/>
            <w:lang w:val="es-ES"/>
          </w:rPr>
          <w:t>4.7 Necesidad de capital antes del primer ingreso</w:t>
        </w:r>
        <w:r>
          <w:rPr>
            <w:noProof/>
            <w:webHidden/>
          </w:rPr>
          <w:tab/>
        </w:r>
        <w:r>
          <w:rPr>
            <w:noProof/>
            <w:webHidden/>
          </w:rPr>
          <w:fldChar w:fldCharType="begin"/>
        </w:r>
        <w:r>
          <w:rPr>
            <w:noProof/>
            <w:webHidden/>
          </w:rPr>
          <w:instrText xml:space="preserve"> PAGEREF _Toc239897212 \h </w:instrText>
        </w:r>
        <w:r>
          <w:rPr>
            <w:noProof/>
            <w:webHidden/>
          </w:rPr>
        </w:r>
        <w:r>
          <w:rPr>
            <w:noProof/>
            <w:webHidden/>
          </w:rPr>
          <w:fldChar w:fldCharType="separate"/>
        </w:r>
        <w:r>
          <w:rPr>
            <w:noProof/>
            <w:webHidden/>
          </w:rPr>
          <w:t>14</w:t>
        </w:r>
        <w:r>
          <w:rPr>
            <w:noProof/>
            <w:webHidden/>
          </w:rPr>
          <w:fldChar w:fldCharType="end"/>
        </w:r>
      </w:hyperlink>
    </w:p>
    <w:p w:rsidR="008006A1" w:rsidRDefault="008006A1" w14:paraId="647F7AB9" w14:textId="3643E132">
      <w:pPr>
        <w:pStyle w:val="TDC2"/>
        <w:tabs>
          <w:tab w:val="right" w:leader="dot" w:pos="9350"/>
        </w:tabs>
        <w:rPr>
          <w:rFonts w:eastAsiaTheme="minorEastAsia"/>
          <w:noProof/>
        </w:rPr>
      </w:pPr>
      <w:hyperlink w:history="1" w:anchor="_Toc239897213">
        <w:r w:rsidRPr="001A67DC">
          <w:rPr>
            <w:rStyle w:val="Hipervnculo"/>
            <w:rFonts w:ascii="Inter" w:hAnsi="Inter"/>
            <w:b/>
            <w:noProof/>
            <w:lang w:val="es-ES"/>
          </w:rPr>
          <w:t>4.8 Proyección del primer año</w:t>
        </w:r>
        <w:r>
          <w:rPr>
            <w:noProof/>
            <w:webHidden/>
          </w:rPr>
          <w:tab/>
        </w:r>
        <w:r>
          <w:rPr>
            <w:noProof/>
            <w:webHidden/>
          </w:rPr>
          <w:fldChar w:fldCharType="begin"/>
        </w:r>
        <w:r>
          <w:rPr>
            <w:noProof/>
            <w:webHidden/>
          </w:rPr>
          <w:instrText xml:space="preserve"> PAGEREF _Toc239897213 \h </w:instrText>
        </w:r>
        <w:r>
          <w:rPr>
            <w:noProof/>
            <w:webHidden/>
          </w:rPr>
        </w:r>
        <w:r>
          <w:rPr>
            <w:noProof/>
            <w:webHidden/>
          </w:rPr>
          <w:fldChar w:fldCharType="separate"/>
        </w:r>
        <w:r>
          <w:rPr>
            <w:noProof/>
            <w:webHidden/>
          </w:rPr>
          <w:t>14</w:t>
        </w:r>
        <w:r>
          <w:rPr>
            <w:noProof/>
            <w:webHidden/>
          </w:rPr>
          <w:fldChar w:fldCharType="end"/>
        </w:r>
      </w:hyperlink>
    </w:p>
    <w:p w:rsidR="008006A1" w:rsidRDefault="008006A1" w14:paraId="0993F336" w14:textId="0C48CBCA">
      <w:pPr>
        <w:pStyle w:val="TDC2"/>
        <w:tabs>
          <w:tab w:val="right" w:leader="dot" w:pos="9350"/>
        </w:tabs>
        <w:rPr>
          <w:rFonts w:eastAsiaTheme="minorEastAsia"/>
          <w:noProof/>
        </w:rPr>
      </w:pPr>
      <w:hyperlink w:history="1" w:anchor="_Toc239897214">
        <w:r w:rsidRPr="001A67DC">
          <w:rPr>
            <w:rStyle w:val="Hipervnculo"/>
            <w:rFonts w:ascii="Inter" w:hAnsi="Inter"/>
            <w:b/>
            <w:noProof/>
            <w:lang w:val="es-ES"/>
          </w:rPr>
          <w:t>4.9 Evaluación de viabilidad</w:t>
        </w:r>
        <w:r>
          <w:rPr>
            <w:noProof/>
            <w:webHidden/>
          </w:rPr>
          <w:tab/>
        </w:r>
        <w:r>
          <w:rPr>
            <w:noProof/>
            <w:webHidden/>
          </w:rPr>
          <w:fldChar w:fldCharType="begin"/>
        </w:r>
        <w:r>
          <w:rPr>
            <w:noProof/>
            <w:webHidden/>
          </w:rPr>
          <w:instrText xml:space="preserve"> PAGEREF _Toc239897214 \h </w:instrText>
        </w:r>
        <w:r>
          <w:rPr>
            <w:noProof/>
            <w:webHidden/>
          </w:rPr>
        </w:r>
        <w:r>
          <w:rPr>
            <w:noProof/>
            <w:webHidden/>
          </w:rPr>
          <w:fldChar w:fldCharType="separate"/>
        </w:r>
        <w:r>
          <w:rPr>
            <w:noProof/>
            <w:webHidden/>
          </w:rPr>
          <w:t>15</w:t>
        </w:r>
        <w:r>
          <w:rPr>
            <w:noProof/>
            <w:webHidden/>
          </w:rPr>
          <w:fldChar w:fldCharType="end"/>
        </w:r>
      </w:hyperlink>
    </w:p>
    <w:p w:rsidR="008006A1" w:rsidRDefault="008006A1" w14:paraId="0BE61698" w14:textId="35DEFF38">
      <w:pPr>
        <w:pStyle w:val="TDC2"/>
        <w:tabs>
          <w:tab w:val="right" w:leader="dot" w:pos="9350"/>
        </w:tabs>
        <w:rPr>
          <w:rFonts w:eastAsiaTheme="minorEastAsia"/>
          <w:noProof/>
        </w:rPr>
      </w:pPr>
      <w:hyperlink w:history="1" w:anchor="_Toc239897215">
        <w:r w:rsidRPr="001A67DC">
          <w:rPr>
            <w:rStyle w:val="Hipervnculo"/>
            <w:rFonts w:ascii="Inter" w:hAnsi="Inter"/>
            <w:b/>
            <w:noProof/>
            <w:lang w:val="es-ES"/>
          </w:rPr>
          <w:t>4.10 Riesgos abiertos del modelo financiero</w:t>
        </w:r>
        <w:r>
          <w:rPr>
            <w:noProof/>
            <w:webHidden/>
          </w:rPr>
          <w:tab/>
        </w:r>
        <w:r>
          <w:rPr>
            <w:noProof/>
            <w:webHidden/>
          </w:rPr>
          <w:fldChar w:fldCharType="begin"/>
        </w:r>
        <w:r>
          <w:rPr>
            <w:noProof/>
            <w:webHidden/>
          </w:rPr>
          <w:instrText xml:space="preserve"> PAGEREF _Toc239897215 \h </w:instrText>
        </w:r>
        <w:r>
          <w:rPr>
            <w:noProof/>
            <w:webHidden/>
          </w:rPr>
        </w:r>
        <w:r>
          <w:rPr>
            <w:noProof/>
            <w:webHidden/>
          </w:rPr>
          <w:fldChar w:fldCharType="separate"/>
        </w:r>
        <w:r>
          <w:rPr>
            <w:noProof/>
            <w:webHidden/>
          </w:rPr>
          <w:t>16</w:t>
        </w:r>
        <w:r>
          <w:rPr>
            <w:noProof/>
            <w:webHidden/>
          </w:rPr>
          <w:fldChar w:fldCharType="end"/>
        </w:r>
      </w:hyperlink>
    </w:p>
    <w:p w:rsidR="008006A1" w:rsidRDefault="008006A1" w14:paraId="14FD6CA2" w14:textId="48053D7F">
      <w:pPr>
        <w:pStyle w:val="TDC1"/>
        <w:tabs>
          <w:tab w:val="right" w:leader="dot" w:pos="9350"/>
        </w:tabs>
        <w:rPr>
          <w:rFonts w:eastAsiaTheme="minorEastAsia"/>
          <w:noProof/>
        </w:rPr>
      </w:pPr>
      <w:hyperlink w:history="1" w:anchor="_Toc239897216">
        <w:r w:rsidRPr="001A67DC">
          <w:rPr>
            <w:rStyle w:val="Hipervnculo"/>
            <w:rFonts w:ascii="Inter" w:hAnsi="Inter"/>
            <w:b/>
            <w:noProof/>
          </w:rPr>
          <w:t>5. Objetivos y resultados clave</w:t>
        </w:r>
        <w:r>
          <w:rPr>
            <w:noProof/>
            <w:webHidden/>
          </w:rPr>
          <w:tab/>
        </w:r>
        <w:r>
          <w:rPr>
            <w:noProof/>
            <w:webHidden/>
          </w:rPr>
          <w:fldChar w:fldCharType="begin"/>
        </w:r>
        <w:r>
          <w:rPr>
            <w:noProof/>
            <w:webHidden/>
          </w:rPr>
          <w:instrText xml:space="preserve"> PAGEREF _Toc239897216 \h </w:instrText>
        </w:r>
        <w:r>
          <w:rPr>
            <w:noProof/>
            <w:webHidden/>
          </w:rPr>
        </w:r>
        <w:r>
          <w:rPr>
            <w:noProof/>
            <w:webHidden/>
          </w:rPr>
          <w:fldChar w:fldCharType="separate"/>
        </w:r>
        <w:r>
          <w:rPr>
            <w:noProof/>
            <w:webHidden/>
          </w:rPr>
          <w:t>17</w:t>
        </w:r>
        <w:r>
          <w:rPr>
            <w:noProof/>
            <w:webHidden/>
          </w:rPr>
          <w:fldChar w:fldCharType="end"/>
        </w:r>
      </w:hyperlink>
    </w:p>
    <w:p w:rsidR="008006A1" w:rsidRDefault="008006A1" w14:paraId="593D4B28" w14:textId="1EEB43A4">
      <w:pPr>
        <w:pStyle w:val="TDC2"/>
        <w:tabs>
          <w:tab w:val="right" w:leader="dot" w:pos="9350"/>
        </w:tabs>
        <w:rPr>
          <w:rFonts w:eastAsiaTheme="minorEastAsia"/>
          <w:noProof/>
        </w:rPr>
      </w:pPr>
      <w:hyperlink w:history="1" w:anchor="_Toc239897217">
        <w:r w:rsidRPr="001A67DC">
          <w:rPr>
            <w:rStyle w:val="Hipervnculo"/>
            <w:rFonts w:ascii="Inter" w:hAnsi="Inter"/>
            <w:b/>
            <w:noProof/>
            <w:lang w:val="es-ES"/>
          </w:rPr>
          <w:t>OKR 1. Confianza del promotor</w:t>
        </w:r>
        <w:r>
          <w:rPr>
            <w:noProof/>
            <w:webHidden/>
          </w:rPr>
          <w:tab/>
        </w:r>
        <w:r>
          <w:rPr>
            <w:noProof/>
            <w:webHidden/>
          </w:rPr>
          <w:fldChar w:fldCharType="begin"/>
        </w:r>
        <w:r>
          <w:rPr>
            <w:noProof/>
            <w:webHidden/>
          </w:rPr>
          <w:instrText xml:space="preserve"> PAGEREF _Toc239897217 \h </w:instrText>
        </w:r>
        <w:r>
          <w:rPr>
            <w:noProof/>
            <w:webHidden/>
          </w:rPr>
        </w:r>
        <w:r>
          <w:rPr>
            <w:noProof/>
            <w:webHidden/>
          </w:rPr>
          <w:fldChar w:fldCharType="separate"/>
        </w:r>
        <w:r>
          <w:rPr>
            <w:noProof/>
            <w:webHidden/>
          </w:rPr>
          <w:t>17</w:t>
        </w:r>
        <w:r>
          <w:rPr>
            <w:noProof/>
            <w:webHidden/>
          </w:rPr>
          <w:fldChar w:fldCharType="end"/>
        </w:r>
      </w:hyperlink>
    </w:p>
    <w:p w:rsidR="008006A1" w:rsidRDefault="008006A1" w14:paraId="1F79223D" w14:textId="76045D3A">
      <w:pPr>
        <w:pStyle w:val="TDC2"/>
        <w:tabs>
          <w:tab w:val="right" w:leader="dot" w:pos="9350"/>
        </w:tabs>
        <w:rPr>
          <w:rFonts w:eastAsiaTheme="minorEastAsia"/>
          <w:noProof/>
        </w:rPr>
      </w:pPr>
      <w:hyperlink w:history="1" w:anchor="_Toc239897218">
        <w:r w:rsidRPr="001A67DC">
          <w:rPr>
            <w:rStyle w:val="Hipervnculo"/>
            <w:rFonts w:ascii="Inter" w:hAnsi="Inter"/>
            <w:b/>
            <w:noProof/>
          </w:rPr>
          <w:t>OKR 2. Confianza del fan</w:t>
        </w:r>
        <w:r>
          <w:rPr>
            <w:noProof/>
            <w:webHidden/>
          </w:rPr>
          <w:tab/>
        </w:r>
        <w:r>
          <w:rPr>
            <w:noProof/>
            <w:webHidden/>
          </w:rPr>
          <w:fldChar w:fldCharType="begin"/>
        </w:r>
        <w:r>
          <w:rPr>
            <w:noProof/>
            <w:webHidden/>
          </w:rPr>
          <w:instrText xml:space="preserve"> PAGEREF _Toc239897218 \h </w:instrText>
        </w:r>
        <w:r>
          <w:rPr>
            <w:noProof/>
            <w:webHidden/>
          </w:rPr>
        </w:r>
        <w:r>
          <w:rPr>
            <w:noProof/>
            <w:webHidden/>
          </w:rPr>
          <w:fldChar w:fldCharType="separate"/>
        </w:r>
        <w:r>
          <w:rPr>
            <w:noProof/>
            <w:webHidden/>
          </w:rPr>
          <w:t>17</w:t>
        </w:r>
        <w:r>
          <w:rPr>
            <w:noProof/>
            <w:webHidden/>
          </w:rPr>
          <w:fldChar w:fldCharType="end"/>
        </w:r>
      </w:hyperlink>
    </w:p>
    <w:p w:rsidR="008006A1" w:rsidRDefault="008006A1" w14:paraId="0523366F" w14:textId="6DFE907D">
      <w:pPr>
        <w:pStyle w:val="TDC2"/>
        <w:tabs>
          <w:tab w:val="right" w:leader="dot" w:pos="9350"/>
        </w:tabs>
        <w:rPr>
          <w:rFonts w:eastAsiaTheme="minorEastAsia"/>
          <w:noProof/>
        </w:rPr>
      </w:pPr>
      <w:hyperlink w:history="1" w:anchor="_Toc239897219">
        <w:r w:rsidRPr="001A67DC">
          <w:rPr>
            <w:rStyle w:val="Hipervnculo"/>
            <w:rFonts w:ascii="Inter" w:hAnsi="Inter"/>
            <w:b/>
            <w:noProof/>
            <w:lang w:val="es-ES"/>
          </w:rPr>
          <w:t>OKR 3. Rentabilidad por evento</w:t>
        </w:r>
        <w:r>
          <w:rPr>
            <w:noProof/>
            <w:webHidden/>
          </w:rPr>
          <w:tab/>
        </w:r>
        <w:r>
          <w:rPr>
            <w:noProof/>
            <w:webHidden/>
          </w:rPr>
          <w:fldChar w:fldCharType="begin"/>
        </w:r>
        <w:r>
          <w:rPr>
            <w:noProof/>
            <w:webHidden/>
          </w:rPr>
          <w:instrText xml:space="preserve"> PAGEREF _Toc239897219 \h </w:instrText>
        </w:r>
        <w:r>
          <w:rPr>
            <w:noProof/>
            <w:webHidden/>
          </w:rPr>
        </w:r>
        <w:r>
          <w:rPr>
            <w:noProof/>
            <w:webHidden/>
          </w:rPr>
          <w:fldChar w:fldCharType="separate"/>
        </w:r>
        <w:r>
          <w:rPr>
            <w:noProof/>
            <w:webHidden/>
          </w:rPr>
          <w:t>18</w:t>
        </w:r>
        <w:r>
          <w:rPr>
            <w:noProof/>
            <w:webHidden/>
          </w:rPr>
          <w:fldChar w:fldCharType="end"/>
        </w:r>
      </w:hyperlink>
    </w:p>
    <w:p w:rsidR="008006A1" w:rsidRDefault="008006A1" w14:paraId="32EC039C" w14:textId="674C06FC">
      <w:pPr>
        <w:pStyle w:val="TDC2"/>
        <w:tabs>
          <w:tab w:val="right" w:leader="dot" w:pos="9350"/>
        </w:tabs>
        <w:rPr>
          <w:rFonts w:eastAsiaTheme="minorEastAsia"/>
          <w:noProof/>
        </w:rPr>
      </w:pPr>
      <w:hyperlink w:history="1" w:anchor="_Toc239897220">
        <w:r w:rsidRPr="001A67DC">
          <w:rPr>
            <w:rStyle w:val="Hipervnculo"/>
            <w:rFonts w:ascii="Inter" w:hAnsi="Inter"/>
            <w:b/>
            <w:noProof/>
          </w:rPr>
          <w:t>OKR 4. Servicios complementarios adoptados</w:t>
        </w:r>
        <w:r>
          <w:rPr>
            <w:noProof/>
            <w:webHidden/>
          </w:rPr>
          <w:tab/>
        </w:r>
        <w:r>
          <w:rPr>
            <w:noProof/>
            <w:webHidden/>
          </w:rPr>
          <w:fldChar w:fldCharType="begin"/>
        </w:r>
        <w:r>
          <w:rPr>
            <w:noProof/>
            <w:webHidden/>
          </w:rPr>
          <w:instrText xml:space="preserve"> PAGEREF _Toc239897220 \h </w:instrText>
        </w:r>
        <w:r>
          <w:rPr>
            <w:noProof/>
            <w:webHidden/>
          </w:rPr>
        </w:r>
        <w:r>
          <w:rPr>
            <w:noProof/>
            <w:webHidden/>
          </w:rPr>
          <w:fldChar w:fldCharType="separate"/>
        </w:r>
        <w:r>
          <w:rPr>
            <w:noProof/>
            <w:webHidden/>
          </w:rPr>
          <w:t>18</w:t>
        </w:r>
        <w:r>
          <w:rPr>
            <w:noProof/>
            <w:webHidden/>
          </w:rPr>
          <w:fldChar w:fldCharType="end"/>
        </w:r>
      </w:hyperlink>
    </w:p>
    <w:p w:rsidR="008006A1" w:rsidRDefault="008006A1" w14:paraId="235355DC" w14:textId="3A3549BA">
      <w:pPr>
        <w:pStyle w:val="TDC2"/>
        <w:tabs>
          <w:tab w:val="right" w:leader="dot" w:pos="9350"/>
        </w:tabs>
        <w:rPr>
          <w:rFonts w:eastAsiaTheme="minorEastAsia"/>
          <w:noProof/>
        </w:rPr>
      </w:pPr>
      <w:hyperlink w:history="1" w:anchor="_Toc239897221">
        <w:r w:rsidRPr="001A67DC">
          <w:rPr>
            <w:rStyle w:val="Hipervnculo"/>
            <w:rFonts w:ascii="Inter" w:hAnsi="Inter"/>
            <w:b/>
            <w:noProof/>
          </w:rPr>
          <w:t>Seguimiento de los OKR</w:t>
        </w:r>
        <w:r>
          <w:rPr>
            <w:noProof/>
            <w:webHidden/>
          </w:rPr>
          <w:tab/>
        </w:r>
        <w:r>
          <w:rPr>
            <w:noProof/>
            <w:webHidden/>
          </w:rPr>
          <w:fldChar w:fldCharType="begin"/>
        </w:r>
        <w:r>
          <w:rPr>
            <w:noProof/>
            <w:webHidden/>
          </w:rPr>
          <w:instrText xml:space="preserve"> PAGEREF _Toc239897221 \h </w:instrText>
        </w:r>
        <w:r>
          <w:rPr>
            <w:noProof/>
            <w:webHidden/>
          </w:rPr>
        </w:r>
        <w:r>
          <w:rPr>
            <w:noProof/>
            <w:webHidden/>
          </w:rPr>
          <w:fldChar w:fldCharType="separate"/>
        </w:r>
        <w:r>
          <w:rPr>
            <w:noProof/>
            <w:webHidden/>
          </w:rPr>
          <w:t>19</w:t>
        </w:r>
        <w:r>
          <w:rPr>
            <w:noProof/>
            <w:webHidden/>
          </w:rPr>
          <w:fldChar w:fldCharType="end"/>
        </w:r>
      </w:hyperlink>
    </w:p>
    <w:p w:rsidR="008006A1" w:rsidRDefault="008006A1" w14:paraId="4F1198C3" w14:textId="029B1C0A">
      <w:pPr>
        <w:pStyle w:val="TDC1"/>
        <w:tabs>
          <w:tab w:val="right" w:leader="dot" w:pos="9350"/>
        </w:tabs>
        <w:rPr>
          <w:rFonts w:eastAsiaTheme="minorEastAsia"/>
          <w:noProof/>
        </w:rPr>
      </w:pPr>
      <w:hyperlink w:history="1" w:anchor="_Toc239897222">
        <w:r w:rsidRPr="001A67DC">
          <w:rPr>
            <w:rStyle w:val="Hipervnculo"/>
            <w:rFonts w:ascii="Inter" w:hAnsi="Inter"/>
            <w:b/>
            <w:noProof/>
            <w:lang w:val="es-ES"/>
          </w:rPr>
          <w:t>Coherencia integral del caso</w:t>
        </w:r>
        <w:r>
          <w:rPr>
            <w:noProof/>
            <w:webHidden/>
          </w:rPr>
          <w:tab/>
        </w:r>
        <w:r>
          <w:rPr>
            <w:noProof/>
            <w:webHidden/>
          </w:rPr>
          <w:fldChar w:fldCharType="begin"/>
        </w:r>
        <w:r>
          <w:rPr>
            <w:noProof/>
            <w:webHidden/>
          </w:rPr>
          <w:instrText xml:space="preserve"> PAGEREF _Toc239897222 \h </w:instrText>
        </w:r>
        <w:r>
          <w:rPr>
            <w:noProof/>
            <w:webHidden/>
          </w:rPr>
        </w:r>
        <w:r>
          <w:rPr>
            <w:noProof/>
            <w:webHidden/>
          </w:rPr>
          <w:fldChar w:fldCharType="separate"/>
        </w:r>
        <w:r>
          <w:rPr>
            <w:noProof/>
            <w:webHidden/>
          </w:rPr>
          <w:t>19</w:t>
        </w:r>
        <w:r>
          <w:rPr>
            <w:noProof/>
            <w:webHidden/>
          </w:rPr>
          <w:fldChar w:fldCharType="end"/>
        </w:r>
      </w:hyperlink>
    </w:p>
    <w:p w:rsidR="008006A1" w:rsidRDefault="008006A1" w14:paraId="711E4163" w14:textId="00880C99">
      <w:pPr>
        <w:pStyle w:val="TDC1"/>
        <w:tabs>
          <w:tab w:val="right" w:leader="dot" w:pos="9350"/>
        </w:tabs>
        <w:rPr>
          <w:rFonts w:eastAsiaTheme="minorEastAsia"/>
          <w:noProof/>
        </w:rPr>
      </w:pPr>
      <w:hyperlink w:history="1" w:anchor="_Toc239897223">
        <w:r w:rsidRPr="001A67DC">
          <w:rPr>
            <w:rStyle w:val="Hipervnculo"/>
            <w:rFonts w:ascii="Inter" w:hAnsi="Inter"/>
            <w:b/>
            <w:noProof/>
          </w:rPr>
          <w:t>Referencias</w:t>
        </w:r>
        <w:r>
          <w:rPr>
            <w:noProof/>
            <w:webHidden/>
          </w:rPr>
          <w:tab/>
        </w:r>
        <w:r>
          <w:rPr>
            <w:noProof/>
            <w:webHidden/>
          </w:rPr>
          <w:fldChar w:fldCharType="begin"/>
        </w:r>
        <w:r>
          <w:rPr>
            <w:noProof/>
            <w:webHidden/>
          </w:rPr>
          <w:instrText xml:space="preserve"> PAGEREF _Toc239897223 \h </w:instrText>
        </w:r>
        <w:r>
          <w:rPr>
            <w:noProof/>
            <w:webHidden/>
          </w:rPr>
        </w:r>
        <w:r>
          <w:rPr>
            <w:noProof/>
            <w:webHidden/>
          </w:rPr>
          <w:fldChar w:fldCharType="separate"/>
        </w:r>
        <w:r>
          <w:rPr>
            <w:noProof/>
            <w:webHidden/>
          </w:rPr>
          <w:t>19</w:t>
        </w:r>
        <w:r>
          <w:rPr>
            <w:noProof/>
            <w:webHidden/>
          </w:rPr>
          <w:fldChar w:fldCharType="end"/>
        </w:r>
      </w:hyperlink>
    </w:p>
    <w:p w:rsidRPr="002B1B35" w:rsidR="002B1B35" w:rsidP="002B1B35" w:rsidRDefault="002B1B35" w14:paraId="573E92E9" w14:textId="30BF56EC">
      <w:pPr>
        <w:rPr>
          <w:rFonts w:ascii="Inter" w:hAnsi="Inter"/>
          <w:sz w:val="21"/>
        </w:rPr>
      </w:pPr>
      <w:r>
        <w:rPr>
          <w:rFonts w:ascii="Inter" w:hAnsi="Inter"/>
          <w:sz w:val="21"/>
        </w:rPr>
        <w:fldChar w:fldCharType="end"/>
      </w:r>
    </w:p>
    <w:p w:rsidR="002B1B35" w:rsidP="00AF654B" w:rsidRDefault="002B1B35" w14:paraId="2DD66463" w14:textId="77777777">
      <w:pPr>
        <w:spacing w:before="360" w:after="140" w:line="270" w:lineRule="auto"/>
        <w:jc w:val="both"/>
        <w:rPr>
          <w:rFonts w:ascii="Inter" w:hAnsi="Inter"/>
          <w:color w:val="000000"/>
          <w:sz w:val="21"/>
          <w:lang w:val="es-ES"/>
        </w:rPr>
      </w:pPr>
      <w:r>
        <w:rPr>
          <w:rFonts w:ascii="Inter" w:hAnsi="Inter"/>
          <w:color w:val="000000"/>
          <w:sz w:val="21"/>
          <w:lang w:val="es-ES"/>
        </w:rPr>
        <w:br w:type="page"/>
      </w:r>
    </w:p>
    <w:p w:rsidRPr="00AF654B" w:rsidR="0065570C" w:rsidP="00AF654B" w:rsidRDefault="0065570C" w14:paraId="7A60D936" w14:textId="670B0BF3">
      <w:pPr>
        <w:spacing w:before="360" w:after="140" w:line="270" w:lineRule="auto"/>
        <w:jc w:val="both"/>
        <w:rPr>
          <w:rFonts w:ascii="Inter" w:hAnsi="Inter"/>
          <w:sz w:val="21"/>
          <w:lang w:val="es-ES"/>
        </w:rPr>
      </w:pPr>
      <w:r w:rsidRPr="00AF654B">
        <w:rPr>
          <w:rFonts w:ascii="Inter" w:hAnsi="Inter"/>
          <w:color w:val="000000"/>
          <w:sz w:val="21"/>
          <w:lang w:val="es-ES"/>
        </w:rPr>
        <w:lastRenderedPageBreak/>
        <w:t>TicketRight es una plataforma B2B2C de boletería para eventos de alta demanda. Su propósito es proteger la relación entre el dinero cobrado y el derecho de asistencia durante todo el ciclo de la venta, desde la entrada a la fila hasta la emisión, transferencia, reventa o devolución de la boleta.</w:t>
      </w:r>
    </w:p>
    <w:p w:rsidRPr="008006A1" w:rsidR="0065570C" w:rsidP="00AF654B" w:rsidRDefault="0065570C" w14:paraId="425DDDF1" w14:textId="26184796">
      <w:pPr>
        <w:pStyle w:val="Ttulo1"/>
        <w:spacing w:before="320" w:after="120"/>
        <w:rPr>
          <w:rFonts w:ascii="Inter" w:hAnsi="Inter"/>
          <w:b/>
          <w:color w:val="1A1A1A"/>
          <w:sz w:val="28"/>
          <w:lang w:val="es-ES"/>
        </w:rPr>
      </w:pPr>
      <w:bookmarkStart w:name="_Toc239897181" w:id="0"/>
      <w:r w:rsidRPr="008006A1">
        <w:rPr>
          <w:rFonts w:ascii="Inter" w:hAnsi="Inter"/>
          <w:b/>
          <w:color w:val="1A1A1A"/>
          <w:sz w:val="28"/>
          <w:lang w:val="es-ES"/>
        </w:rPr>
        <w:t>Convención de evidencia</w:t>
      </w:r>
      <w:bookmarkEnd w:id="0"/>
    </w:p>
    <w:p w:rsidRPr="00AF654B" w:rsidR="0065570C" w:rsidP="00AF654B" w:rsidRDefault="0065570C" w14:paraId="7F6CA4E4" w14:textId="51AD2A3A">
      <w:pPr>
        <w:spacing w:after="140" w:line="270" w:lineRule="auto"/>
        <w:jc w:val="both"/>
        <w:rPr>
          <w:rFonts w:ascii="Inter" w:hAnsi="Inter"/>
          <w:sz w:val="21"/>
          <w:lang w:val="es-ES"/>
        </w:rPr>
      </w:pPr>
      <w:r w:rsidRPr="00AF654B">
        <w:rPr>
          <w:rFonts w:ascii="Inter" w:hAnsi="Inter"/>
          <w:color w:val="000000"/>
          <w:sz w:val="21"/>
          <w:lang w:val="es-ES"/>
        </w:rPr>
        <w:t>Los datos identificados con [V] fueron verificados en fuentes públicas. Los valores identificados con [S] son supuestos del modelo o metas empresariales que deberán contrastarse con los resultados de los primeros eventos. Todas las cifras monetarias están expresadas en pesos colombianos, salvo que se indique lo contrario.</w:t>
      </w:r>
    </w:p>
    <w:p w:rsidRPr="008006A1" w:rsidR="0065570C" w:rsidP="00AF654B" w:rsidRDefault="0065570C" w14:paraId="73E9D324" w14:textId="6C560097">
      <w:pPr>
        <w:pStyle w:val="Ttulo1"/>
        <w:spacing w:before="320" w:after="120"/>
        <w:rPr>
          <w:rFonts w:ascii="Inter" w:hAnsi="Inter"/>
          <w:b/>
          <w:color w:val="1A1A1A"/>
          <w:sz w:val="28"/>
          <w:lang w:val="es-ES"/>
        </w:rPr>
      </w:pPr>
      <w:bookmarkStart w:name="_Toc239897182" w:id="1"/>
      <w:r w:rsidRPr="008006A1">
        <w:rPr>
          <w:rFonts w:ascii="Inter" w:hAnsi="Inter"/>
          <w:b/>
          <w:color w:val="1A1A1A"/>
          <w:sz w:val="28"/>
          <w:lang w:val="es-ES"/>
        </w:rPr>
        <w:t>Resumen ejecutivo</w:t>
      </w:r>
      <w:bookmarkEnd w:id="1"/>
    </w:p>
    <w:p w:rsidRPr="00AF654B" w:rsidR="0065570C" w:rsidP="00AF654B" w:rsidRDefault="0065570C" w14:paraId="4B47B268" w14:textId="0614CA03">
      <w:pPr>
        <w:spacing w:after="140" w:line="270" w:lineRule="auto"/>
        <w:jc w:val="both"/>
        <w:rPr>
          <w:rFonts w:ascii="Inter" w:hAnsi="Inter"/>
          <w:sz w:val="21"/>
          <w:lang w:val="es-ES"/>
        </w:rPr>
      </w:pPr>
      <w:r w:rsidRPr="00AF654B">
        <w:rPr>
          <w:rFonts w:ascii="Inter" w:hAnsi="Inter"/>
          <w:color w:val="000000"/>
          <w:sz w:val="21"/>
          <w:lang w:val="es-ES"/>
        </w:rPr>
        <w:t>TicketRight atiende un problema de confianza en la venta de eventos de alta demanda. Cuando la fila, el inventario y la pasarela de pagos avanzan a ritmos diferentes, pueden presentarse cobros sin boleta, reservas duplicadas, devoluciones difíciles y pérdida de control sobre el aforo. El promotor asume el impacto reputacional y operativo, mientras que el comprador enfrenta incertidumbre sobre su dinero y su derecho de entrada.</w:t>
      </w:r>
    </w:p>
    <w:p w:rsidRPr="00AF654B" w:rsidR="0065570C" w:rsidP="00AF654B" w:rsidRDefault="0065570C" w14:paraId="39FEBD75" w14:textId="7A010C76">
      <w:pPr>
        <w:spacing w:after="140" w:line="270" w:lineRule="auto"/>
        <w:jc w:val="both"/>
        <w:rPr>
          <w:rFonts w:ascii="Inter" w:hAnsi="Inter"/>
          <w:sz w:val="21"/>
          <w:lang w:val="es-ES"/>
        </w:rPr>
      </w:pPr>
      <w:r w:rsidRPr="00AF654B">
        <w:rPr>
          <w:rFonts w:ascii="Inter" w:hAnsi="Inter"/>
          <w:color w:val="000000"/>
          <w:sz w:val="21"/>
          <w:lang w:val="es-ES"/>
        </w:rPr>
        <w:t>[V] El mercado colombiano de artes escénicas tiene una base formal y verificable. La boletería estimada pasó de $310 mil millones en 2018 a $1,53 billones en 2023. Además, el PULEP registra productores, operadores, escenarios y eventos. Estas fuentes permiten identificar clientes potenciales sin presentar estimaciones de mercado como hechos.</w:t>
      </w:r>
    </w:p>
    <w:p w:rsidRPr="00AF654B" w:rsidR="0065570C" w:rsidP="00AF654B" w:rsidRDefault="0065570C" w14:paraId="067073A4" w14:textId="5E35B933">
      <w:pPr>
        <w:spacing w:after="140" w:line="270" w:lineRule="auto"/>
        <w:jc w:val="both"/>
        <w:rPr>
          <w:rFonts w:ascii="Inter" w:hAnsi="Inter"/>
          <w:sz w:val="21"/>
          <w:lang w:val="es-ES"/>
        </w:rPr>
      </w:pPr>
      <w:r w:rsidRPr="00AF654B">
        <w:rPr>
          <w:rFonts w:ascii="Inter" w:hAnsi="Inter"/>
          <w:color w:val="000000"/>
          <w:sz w:val="21"/>
          <w:lang w:val="es-ES"/>
        </w:rPr>
        <w:t>El cliente contractual de TicketRight es el promotor. El fan es el usuario de la plataforma y quien paga el cargo visible por servicio. La propuesta de valor consiste en ofrecer una venta confiable y trazable, devolver al promotor control sobre la relación con sus compradores y convertir la reventa autorizada en una fuente de valor compartido.</w:t>
      </w:r>
    </w:p>
    <w:p w:rsidRPr="00AF654B" w:rsidR="0065570C" w:rsidP="00AF654B" w:rsidRDefault="0065570C" w14:paraId="77E8DA6E" w14:textId="6E6230B2">
      <w:pPr>
        <w:spacing w:after="140" w:line="270" w:lineRule="auto"/>
        <w:jc w:val="both"/>
        <w:rPr>
          <w:rFonts w:ascii="Inter" w:hAnsi="Inter"/>
          <w:sz w:val="21"/>
          <w:lang w:val="es-ES"/>
        </w:rPr>
      </w:pPr>
      <w:r w:rsidRPr="00AF654B">
        <w:rPr>
          <w:rFonts w:ascii="Inter" w:hAnsi="Inter"/>
          <w:color w:val="000000"/>
          <w:sz w:val="21"/>
          <w:lang w:val="es-ES"/>
        </w:rPr>
        <w:t>[S] El modelo se construye sobre eventos de 3.000 a 40.000 asistentes y utiliza como unidad de análisis un evento de 8.000 puestos, una boleta promedio de $200.000 y una venta del 95% del aforo. En el escenario base, cada boleta genera $25.120 de ingreso atribuible a la venta, cuesta cerca de $7.770 en operación variable y deja alrededor de $17.350 para cubrir los costos fijos y financiar el crecimiento. Los ingresos contratados por evento se excluyen de esta unidad por prudencia.</w:t>
      </w:r>
      <w:r w:rsidR="002B05AB">
        <w:rPr>
          <w:rFonts w:ascii="Inter" w:hAnsi="Inter"/>
          <w:sz w:val="21"/>
          <w:lang w:val="es-ES"/>
        </w:rPr>
        <w:t xml:space="preserve"> </w:t>
      </w:r>
      <w:r w:rsidRPr="00AF654B">
        <w:rPr>
          <w:rFonts w:ascii="Inter" w:hAnsi="Inter"/>
          <w:color w:val="000000"/>
          <w:sz w:val="21"/>
          <w:lang w:val="es-ES"/>
        </w:rPr>
        <w:t>El negocio es viable bajo los supuestos actuales. Con el cargo por servicio completo y el IVA de la pasarela tratado como impuesto descontable, el punto de equilibrio se alcanza con cerca de 2.990 boletas al mes. Si el cargo se comparte en partes iguales con el promotor, el punto de equilibrio aumenta a aproximadamente 9.698 boletas, equivalentes a 1,28 eventos tipo al mes. La validación contractual del reparto y la definición tributaria del cargo por servicio son las condiciones financieras más importantes del caso.</w:t>
      </w:r>
    </w:p>
    <w:p w:rsidRPr="00AF654B" w:rsidR="0065570C" w:rsidP="00AF654B" w:rsidRDefault="0065570C" w14:paraId="331F915D" w14:textId="50F85C3C">
      <w:pPr>
        <w:spacing w:after="140" w:line="270" w:lineRule="auto"/>
        <w:jc w:val="both"/>
        <w:rPr>
          <w:rFonts w:ascii="Inter" w:hAnsi="Inter"/>
          <w:sz w:val="21"/>
          <w:lang w:val="es-ES"/>
        </w:rPr>
      </w:pPr>
      <w:r w:rsidRPr="00AF654B">
        <w:rPr>
          <w:rFonts w:ascii="Inter" w:hAnsi="Inter"/>
          <w:color w:val="000000"/>
          <w:sz w:val="21"/>
          <w:lang w:val="es-ES"/>
        </w:rPr>
        <w:t>[S] Antes del primer ingreso, TicketRight requiere entre $317,1 y $530,4 millones de capital para financiar cuatro a seis meses de T0, la habilitación inicial fuera de nómina y una reserva de liquidez. Los recursos recaudados para el promotor y el Estado no hacen parte de este capital y deben permanecer segregados.</w:t>
      </w:r>
    </w:p>
    <w:p w:rsidRPr="008006A1" w:rsidR="0065570C" w:rsidP="00AF654B" w:rsidRDefault="0065570C" w14:paraId="41B703BA" w14:textId="2516BC8E">
      <w:pPr>
        <w:pStyle w:val="Ttulo1"/>
        <w:spacing w:before="320" w:after="120"/>
        <w:rPr>
          <w:rFonts w:ascii="Inter" w:hAnsi="Inter"/>
          <w:b/>
          <w:color w:val="1A1A1A"/>
          <w:sz w:val="28"/>
          <w:lang w:val="es-ES"/>
        </w:rPr>
      </w:pPr>
      <w:bookmarkStart w:name="_Toc239897183" w:id="2"/>
      <w:r w:rsidRPr="008006A1">
        <w:rPr>
          <w:rFonts w:ascii="Inter" w:hAnsi="Inter"/>
          <w:b/>
          <w:color w:val="1A1A1A"/>
          <w:sz w:val="28"/>
          <w:lang w:val="es-ES"/>
        </w:rPr>
        <w:lastRenderedPageBreak/>
        <w:t>1. Premisas, supuestos y restricciones</w:t>
      </w:r>
      <w:bookmarkEnd w:id="2"/>
    </w:p>
    <w:p w:rsidRPr="008006A1" w:rsidR="0065570C" w:rsidP="00AF654B" w:rsidRDefault="0065570C" w14:paraId="310F174A" w14:textId="2AFD4FEB">
      <w:pPr>
        <w:pStyle w:val="Ttulo2"/>
        <w:spacing w:before="240"/>
        <w:rPr>
          <w:rFonts w:ascii="Inter" w:hAnsi="Inter"/>
          <w:b/>
          <w:color w:val="1A1A1A"/>
          <w:sz w:val="23"/>
          <w:lang w:val="es-ES"/>
        </w:rPr>
      </w:pPr>
      <w:bookmarkStart w:name="_Toc239897184" w:id="3"/>
      <w:r w:rsidRPr="008006A1">
        <w:rPr>
          <w:rFonts w:ascii="Inter" w:hAnsi="Inter"/>
          <w:b/>
          <w:color w:val="1A1A1A"/>
          <w:sz w:val="23"/>
          <w:lang w:val="es-ES"/>
        </w:rPr>
        <w:t>1.1 Premisas verificadas</w:t>
      </w:r>
      <w:bookmarkEnd w:id="3"/>
    </w:p>
    <w:p w:rsidRPr="00AF654B" w:rsidR="0065570C" w:rsidP="00AF654B" w:rsidRDefault="0065570C" w14:paraId="530AC001" w14:textId="67342866">
      <w:pPr>
        <w:pStyle w:val="Prrafodelista"/>
        <w:numPr>
          <w:ilvl w:val="0"/>
          <w:numId w:val="24"/>
        </w:numPr>
        <w:spacing w:after="140" w:line="270" w:lineRule="auto"/>
        <w:jc w:val="both"/>
        <w:rPr>
          <w:rFonts w:ascii="Inter" w:hAnsi="Inter"/>
          <w:sz w:val="21"/>
        </w:rPr>
      </w:pPr>
      <w:r w:rsidRPr="00AF654B">
        <w:rPr>
          <w:rFonts w:ascii="Inter" w:hAnsi="Inter"/>
          <w:color w:val="000000"/>
          <w:sz w:val="21"/>
          <w:lang w:val="es-ES"/>
        </w:rPr>
        <w:t xml:space="preserve">[V] La boletería estimada de artes escénicas pasó de $310 mil millones en 2018 a $1,53 billones en 2023. </w:t>
      </w:r>
      <w:r w:rsidRPr="00AF654B">
        <w:rPr>
          <w:rFonts w:ascii="Inter" w:hAnsi="Inter"/>
          <w:color w:val="000000"/>
          <w:sz w:val="21"/>
        </w:rPr>
        <w:t xml:space="preserve">El sector creció 22% durante 2023. Fuente: </w:t>
      </w:r>
      <w:hyperlink w:history="1" r:id="rId7">
        <w:r w:rsidRPr="00AF654B">
          <w:rPr>
            <w:rStyle w:val="Hipervnculo"/>
            <w:rFonts w:ascii="Inter" w:hAnsi="Inter"/>
            <w:sz w:val="21"/>
          </w:rPr>
          <w:t>Ámbito Jurídico</w:t>
        </w:r>
      </w:hyperlink>
      <w:r w:rsidRPr="00AF654B">
        <w:rPr>
          <w:rFonts w:ascii="Inter" w:hAnsi="Inter"/>
          <w:color w:val="000000"/>
          <w:sz w:val="21"/>
        </w:rPr>
        <w:t>.</w:t>
      </w:r>
    </w:p>
    <w:p w:rsidRPr="00AF654B" w:rsidR="0065570C" w:rsidP="00AF654B" w:rsidRDefault="0065570C" w14:paraId="0402D874" w14:textId="310BB057">
      <w:pPr>
        <w:pStyle w:val="Prrafodelista"/>
        <w:numPr>
          <w:ilvl w:val="0"/>
          <w:numId w:val="24"/>
        </w:numPr>
        <w:spacing w:after="140" w:line="270" w:lineRule="auto"/>
        <w:jc w:val="both"/>
        <w:rPr>
          <w:rFonts w:ascii="Inter" w:hAnsi="Inter"/>
          <w:sz w:val="21"/>
        </w:rPr>
      </w:pPr>
      <w:r w:rsidRPr="00AF654B">
        <w:rPr>
          <w:rFonts w:ascii="Inter" w:hAnsi="Inter"/>
          <w:color w:val="000000"/>
          <w:sz w:val="21"/>
          <w:lang w:val="es-ES"/>
        </w:rPr>
        <w:t xml:space="preserve">[V] El PULEP es el registro oficial de productores, operadores de boletería, escenarios y eventos de artes escénicas en Colombia. </w:t>
      </w:r>
      <w:r w:rsidRPr="00AF654B">
        <w:rPr>
          <w:rFonts w:ascii="Inter" w:hAnsi="Inter"/>
          <w:color w:val="000000"/>
          <w:sz w:val="21"/>
        </w:rPr>
        <w:t xml:space="preserve">Fuente: </w:t>
      </w:r>
      <w:hyperlink w:history="1" r:id="rId8">
        <w:r w:rsidRPr="00AF654B">
          <w:rPr>
            <w:rStyle w:val="Hipervnculo"/>
            <w:rFonts w:ascii="Inter" w:hAnsi="Inter"/>
            <w:sz w:val="21"/>
          </w:rPr>
          <w:t>Ministerio de las Culturas</w:t>
        </w:r>
      </w:hyperlink>
      <w:r w:rsidRPr="00AF654B">
        <w:rPr>
          <w:rFonts w:ascii="Inter" w:hAnsi="Inter"/>
          <w:color w:val="000000"/>
          <w:sz w:val="21"/>
        </w:rPr>
        <w:t>.</w:t>
      </w:r>
    </w:p>
    <w:p w:rsidRPr="00AF654B" w:rsidR="0065570C" w:rsidP="00AF654B" w:rsidRDefault="0065570C" w14:paraId="3E1830CD" w14:textId="1682CD2B">
      <w:pPr>
        <w:pStyle w:val="Prrafodelista"/>
        <w:numPr>
          <w:ilvl w:val="0"/>
          <w:numId w:val="24"/>
        </w:numPr>
        <w:spacing w:after="140" w:line="270" w:lineRule="auto"/>
        <w:jc w:val="both"/>
        <w:rPr>
          <w:rFonts w:ascii="Inter" w:hAnsi="Inter"/>
          <w:sz w:val="21"/>
        </w:rPr>
      </w:pPr>
      <w:r w:rsidRPr="00AF654B">
        <w:rPr>
          <w:rFonts w:ascii="Inter" w:hAnsi="Inter"/>
          <w:color w:val="000000"/>
          <w:sz w:val="21"/>
          <w:lang w:val="es-ES"/>
        </w:rPr>
        <w:t xml:space="preserve">[V] El cargo por servicio observado en Colombia se encuentra entre 10% y 15% del valor de la boleta. </w:t>
      </w:r>
      <w:r w:rsidRPr="00AF654B">
        <w:rPr>
          <w:rFonts w:ascii="Inter" w:hAnsi="Inter"/>
          <w:color w:val="000000"/>
          <w:sz w:val="21"/>
        </w:rPr>
        <w:t xml:space="preserve">Fuente: </w:t>
      </w:r>
      <w:hyperlink w:history="1" r:id="rId9">
        <w:r w:rsidRPr="00AF654B">
          <w:rPr>
            <w:rStyle w:val="Hipervnculo"/>
            <w:rFonts w:ascii="Inter" w:hAnsi="Inter"/>
            <w:sz w:val="21"/>
          </w:rPr>
          <w:t>El Tiempo</w:t>
        </w:r>
      </w:hyperlink>
      <w:r w:rsidRPr="00AF654B">
        <w:rPr>
          <w:rFonts w:ascii="Inter" w:hAnsi="Inter"/>
          <w:color w:val="000000"/>
          <w:sz w:val="21"/>
        </w:rPr>
        <w:t>.</w:t>
      </w:r>
    </w:p>
    <w:p w:rsidRPr="00AF654B" w:rsidR="0065570C" w:rsidP="00AF654B" w:rsidRDefault="0065570C" w14:paraId="7A5DED70" w14:textId="41E76ADF">
      <w:pPr>
        <w:pStyle w:val="Prrafodelista"/>
        <w:numPr>
          <w:ilvl w:val="0"/>
          <w:numId w:val="24"/>
        </w:numPr>
        <w:spacing w:after="140" w:line="270" w:lineRule="auto"/>
        <w:jc w:val="both"/>
        <w:rPr>
          <w:rFonts w:ascii="Inter" w:hAnsi="Inter"/>
          <w:sz w:val="21"/>
        </w:rPr>
      </w:pPr>
      <w:r w:rsidRPr="00AF654B">
        <w:rPr>
          <w:rFonts w:ascii="Inter" w:hAnsi="Inter"/>
          <w:color w:val="000000"/>
          <w:sz w:val="21"/>
          <w:lang w:val="es-ES"/>
        </w:rPr>
        <w:t xml:space="preserve">[V] En junio de 2026 la Superintendencia de Industria y Comercio formuló pliego de cargos contra Ticket Fast S.A.S., operador de TuBoleta, por presuntas fallas relacionadas con información, comercio electrónico, devoluciones y cláusulas abusivas. Este hecho representa una investigación en curso y no una condena. </w:t>
      </w:r>
      <w:r w:rsidRPr="00AF654B">
        <w:rPr>
          <w:rFonts w:ascii="Inter" w:hAnsi="Inter"/>
          <w:color w:val="000000"/>
          <w:sz w:val="21"/>
        </w:rPr>
        <w:t xml:space="preserve">Fuente: </w:t>
      </w:r>
      <w:hyperlink w:history="1" r:id="rId10">
        <w:r w:rsidRPr="00AF654B">
          <w:rPr>
            <w:rStyle w:val="Hipervnculo"/>
            <w:rFonts w:ascii="Inter" w:hAnsi="Inter"/>
            <w:sz w:val="21"/>
          </w:rPr>
          <w:t>Superintendencia de Industria y Comercio</w:t>
        </w:r>
      </w:hyperlink>
      <w:r w:rsidRPr="00AF654B">
        <w:rPr>
          <w:rFonts w:ascii="Inter" w:hAnsi="Inter"/>
          <w:color w:val="000000"/>
          <w:sz w:val="21"/>
        </w:rPr>
        <w:t>.</w:t>
      </w:r>
    </w:p>
    <w:p w:rsidRPr="00AF654B" w:rsidR="0065570C" w:rsidP="00AF654B" w:rsidRDefault="0065570C" w14:paraId="041FEC5E" w14:textId="4EEB4957">
      <w:pPr>
        <w:pStyle w:val="Prrafodelista"/>
        <w:numPr>
          <w:ilvl w:val="0"/>
          <w:numId w:val="24"/>
        </w:numPr>
        <w:spacing w:after="140" w:line="270" w:lineRule="auto"/>
        <w:jc w:val="both"/>
        <w:rPr>
          <w:rFonts w:ascii="Inter" w:hAnsi="Inter"/>
          <w:sz w:val="21"/>
          <w:lang w:val="es-ES"/>
        </w:rPr>
      </w:pPr>
      <w:r w:rsidRPr="00AF654B">
        <w:rPr>
          <w:rFonts w:ascii="Inter" w:hAnsi="Inter"/>
          <w:color w:val="000000"/>
          <w:sz w:val="21"/>
          <w:lang w:val="es-ES"/>
        </w:rPr>
        <w:t>[V] En Colombia existen obligaciones específicas sobre contribución parafiscal, retracto, devoluciones y tratamiento de datos personales. Estas obligaciones hacen que la conciliación y la trazabilidad sean capacidades esenciales del negocio.</w:t>
      </w:r>
    </w:p>
    <w:p w:rsidRPr="008006A1" w:rsidR="0065570C" w:rsidP="00AF654B" w:rsidRDefault="0065570C" w14:paraId="7031740E" w14:textId="343E2B88">
      <w:pPr>
        <w:pStyle w:val="Ttulo2"/>
        <w:spacing w:before="240"/>
        <w:rPr>
          <w:rFonts w:ascii="Inter" w:hAnsi="Inter"/>
          <w:b/>
          <w:color w:val="1A1A1A"/>
          <w:sz w:val="23"/>
          <w:lang w:val="es-ES"/>
        </w:rPr>
      </w:pPr>
      <w:bookmarkStart w:name="_Toc239897185" w:id="4"/>
      <w:r w:rsidRPr="008006A1">
        <w:rPr>
          <w:rFonts w:ascii="Inter" w:hAnsi="Inter"/>
          <w:b/>
          <w:color w:val="1A1A1A"/>
          <w:sz w:val="23"/>
          <w:lang w:val="es-ES"/>
        </w:rPr>
        <w:t>1.2 Supuestos críticos</w:t>
      </w:r>
      <w:bookmarkEnd w:id="4"/>
    </w:p>
    <w:p w:rsidRPr="00AF654B" w:rsidR="0065570C" w:rsidP="00AF654B" w:rsidRDefault="0065570C" w14:paraId="62FE05A1" w14:textId="4F9E53E1">
      <w:pPr>
        <w:spacing w:after="140" w:line="270" w:lineRule="auto"/>
        <w:jc w:val="both"/>
        <w:rPr>
          <w:rFonts w:ascii="Inter" w:hAnsi="Inter"/>
          <w:sz w:val="21"/>
          <w:lang w:val="es-ES"/>
        </w:rPr>
      </w:pPr>
      <w:r w:rsidRPr="00AF654B">
        <w:rPr>
          <w:rFonts w:ascii="Inter" w:hAnsi="Inter"/>
          <w:b/>
          <w:color w:val="000000"/>
          <w:sz w:val="21"/>
          <w:lang w:val="es-ES"/>
        </w:rPr>
        <w:t>S1. Cargo por servicio.</w:t>
      </w:r>
      <w:r w:rsidRPr="00AF654B">
        <w:rPr>
          <w:rFonts w:ascii="Inter" w:hAnsi="Inter"/>
          <w:color w:val="000000"/>
          <w:sz w:val="21"/>
          <w:lang w:val="es-ES"/>
        </w:rPr>
        <w:t xml:space="preserve"> [S] TicketRight cobra 12% del valor de la boleta y conserva ese cargo completo. Si debe compartirlo en partes iguales con el promotor, el aporte por boleta se reduce de aproximadamente $17.350 a $5.350 y el punto de equilibrio aumenta de 0,39 a 1,28 eventos al mes.</w:t>
      </w:r>
    </w:p>
    <w:p w:rsidRPr="00AF654B" w:rsidR="0065570C" w:rsidP="00AF654B" w:rsidRDefault="0065570C" w14:paraId="3A1E00EF" w14:textId="4742C972">
      <w:pPr>
        <w:spacing w:after="140" w:line="270" w:lineRule="auto"/>
        <w:jc w:val="both"/>
        <w:rPr>
          <w:rFonts w:ascii="Inter" w:hAnsi="Inter"/>
          <w:sz w:val="21"/>
          <w:lang w:val="es-ES"/>
        </w:rPr>
      </w:pPr>
      <w:r w:rsidRPr="00AF654B">
        <w:rPr>
          <w:rFonts w:ascii="Inter" w:hAnsi="Inter"/>
          <w:b/>
          <w:color w:val="000000"/>
          <w:sz w:val="21"/>
          <w:lang w:val="es-ES"/>
        </w:rPr>
        <w:t>S2. Evento representativo.</w:t>
      </w:r>
      <w:r w:rsidRPr="00AF654B">
        <w:rPr>
          <w:rFonts w:ascii="Inter" w:hAnsi="Inter"/>
          <w:color w:val="000000"/>
          <w:sz w:val="21"/>
          <w:lang w:val="es-ES"/>
        </w:rPr>
        <w:t xml:space="preserve"> [S] El segmento inicial está compuesto por eventos de 3.000 a 40.000 asistentes. El modelo utiliza un evento tipo de 8.000 puestos, una boleta de $200.000 y una venta del 95% del aforo. Cambios en estas variables modifican los ingresos, la contribución parafiscal y el punto de equilibrio.</w:t>
      </w:r>
    </w:p>
    <w:p w:rsidRPr="00AF654B" w:rsidR="0065570C" w:rsidP="00AF654B" w:rsidRDefault="0065570C" w14:paraId="1EA43A88" w14:textId="626B2E7E">
      <w:pPr>
        <w:spacing w:after="140" w:line="270" w:lineRule="auto"/>
        <w:jc w:val="both"/>
        <w:rPr>
          <w:rFonts w:ascii="Inter" w:hAnsi="Inter"/>
          <w:sz w:val="21"/>
          <w:lang w:val="es-ES"/>
        </w:rPr>
      </w:pPr>
      <w:r w:rsidRPr="00AF654B">
        <w:rPr>
          <w:rFonts w:ascii="Inter" w:hAnsi="Inter"/>
          <w:b/>
          <w:color w:val="000000"/>
          <w:sz w:val="21"/>
          <w:lang w:val="es-ES"/>
        </w:rPr>
        <w:t>S3. Disposición del promotor.</w:t>
      </w:r>
      <w:r w:rsidRPr="00AF654B">
        <w:rPr>
          <w:rFonts w:ascii="Inter" w:hAnsi="Inter"/>
          <w:color w:val="000000"/>
          <w:sz w:val="21"/>
          <w:lang w:val="es-ES"/>
        </w:rPr>
        <w:t xml:space="preserve"> [S] Los promotores están dispuestos a cambiar de operador a cambio de menor riesgo, mayor trazabilidad y participación en la reventa. Si esta condición no se cumple, TicketRight no obtiene el inventario necesario para operar.</w:t>
      </w:r>
    </w:p>
    <w:p w:rsidRPr="00AF654B" w:rsidR="0065570C" w:rsidP="00AF654B" w:rsidRDefault="0065570C" w14:paraId="682ADBEF" w14:textId="2018228B">
      <w:pPr>
        <w:spacing w:after="140" w:line="270" w:lineRule="auto"/>
        <w:jc w:val="both"/>
        <w:rPr>
          <w:rFonts w:ascii="Inter" w:hAnsi="Inter"/>
          <w:sz w:val="21"/>
          <w:lang w:val="es-ES"/>
        </w:rPr>
      </w:pPr>
      <w:r w:rsidRPr="00AF654B">
        <w:rPr>
          <w:rFonts w:ascii="Inter" w:hAnsi="Inter"/>
          <w:b/>
          <w:color w:val="000000"/>
          <w:sz w:val="21"/>
          <w:lang w:val="es-ES"/>
        </w:rPr>
        <w:t>S4. Procesamiento del pago.</w:t>
      </w:r>
      <w:r w:rsidRPr="00AF654B">
        <w:rPr>
          <w:rFonts w:ascii="Inter" w:hAnsi="Inter"/>
          <w:color w:val="000000"/>
          <w:sz w:val="21"/>
          <w:lang w:val="es-ES"/>
        </w:rPr>
        <w:t xml:space="preserve"> [S] TicketRight procesa el valor completo pagado por el fan. En el evento tipo son $244.000, correspondientes al valor de la boleta, el cargo por servicio y la contribución parafiscal. Un esquema de recaudo diferente cambia el costo de pasarela y la responsabilidad de conciliación.</w:t>
      </w:r>
    </w:p>
    <w:p w:rsidRPr="00AF654B" w:rsidR="0065570C" w:rsidP="00AF654B" w:rsidRDefault="0065570C" w14:paraId="57030AC0" w14:textId="3142DDA2">
      <w:pPr>
        <w:spacing w:after="140" w:line="270" w:lineRule="auto"/>
        <w:jc w:val="both"/>
        <w:rPr>
          <w:rFonts w:ascii="Inter" w:hAnsi="Inter"/>
          <w:sz w:val="21"/>
          <w:lang w:val="es-ES"/>
        </w:rPr>
      </w:pPr>
      <w:r w:rsidRPr="00AF654B">
        <w:rPr>
          <w:rFonts w:ascii="Inter" w:hAnsi="Inter"/>
          <w:b/>
          <w:color w:val="000000"/>
          <w:sz w:val="21"/>
          <w:lang w:val="es-ES"/>
        </w:rPr>
        <w:t>S5. Reventa autorizada.</w:t>
      </w:r>
      <w:r w:rsidRPr="00AF654B">
        <w:rPr>
          <w:rFonts w:ascii="Inter" w:hAnsi="Inter"/>
          <w:color w:val="000000"/>
          <w:sz w:val="21"/>
          <w:lang w:val="es-ES"/>
        </w:rPr>
        <w:t xml:space="preserve"> [S] En estado estable, 8% de las boletas emitidas se revende dentro de TicketRight. Si la adopción es menor, disminuyen los ingresos secundarios y el diferencial frente a otros operadores, aunque el negocio principal conserva viabilidad.</w:t>
      </w:r>
    </w:p>
    <w:p w:rsidRPr="00AF654B" w:rsidR="0065570C" w:rsidP="00AF654B" w:rsidRDefault="0065570C" w14:paraId="67D01FB0" w14:textId="730B9D08">
      <w:pPr>
        <w:spacing w:after="140" w:line="270" w:lineRule="auto"/>
        <w:jc w:val="both"/>
        <w:rPr>
          <w:rFonts w:ascii="Inter" w:hAnsi="Inter"/>
          <w:sz w:val="21"/>
          <w:lang w:val="es-ES"/>
        </w:rPr>
      </w:pPr>
      <w:r w:rsidRPr="00AF654B">
        <w:rPr>
          <w:rFonts w:ascii="Inter" w:hAnsi="Inter"/>
          <w:b/>
          <w:color w:val="000000"/>
          <w:sz w:val="21"/>
          <w:lang w:val="es-ES"/>
        </w:rPr>
        <w:t>S6. Operación inicial.</w:t>
      </w:r>
      <w:r w:rsidRPr="00AF654B">
        <w:rPr>
          <w:rFonts w:ascii="Inter" w:hAnsi="Inter"/>
          <w:color w:val="000000"/>
          <w:sz w:val="21"/>
          <w:lang w:val="es-ES"/>
        </w:rPr>
        <w:t xml:space="preserve"> [S] La operación del primer año requiere cuatro personas con un costo laboral promedio equivalente a cuatro salarios mínimos por persona, más las cargas del empleador. Este supuesto determina la mayor parte del costo fijo mensual.</w:t>
      </w:r>
    </w:p>
    <w:p w:rsidRPr="00AF654B" w:rsidR="0065570C" w:rsidP="00AF654B" w:rsidRDefault="0065570C" w14:paraId="15348B86" w14:textId="5DDD2EE1">
      <w:pPr>
        <w:spacing w:after="140" w:line="270" w:lineRule="auto"/>
        <w:jc w:val="both"/>
        <w:rPr>
          <w:rFonts w:ascii="Inter" w:hAnsi="Inter"/>
          <w:sz w:val="21"/>
          <w:lang w:val="es-ES"/>
        </w:rPr>
      </w:pPr>
      <w:r w:rsidRPr="00AF654B">
        <w:rPr>
          <w:rFonts w:ascii="Inter" w:hAnsi="Inter"/>
          <w:b/>
          <w:color w:val="000000"/>
          <w:sz w:val="21"/>
          <w:lang w:val="es-ES"/>
        </w:rPr>
        <w:lastRenderedPageBreak/>
        <w:t>S7. Tratamiento del IVA.</w:t>
      </w:r>
      <w:r w:rsidRPr="00AF654B">
        <w:rPr>
          <w:rFonts w:ascii="Inter" w:hAnsi="Inter"/>
          <w:color w:val="000000"/>
          <w:sz w:val="21"/>
          <w:lang w:val="es-ES"/>
        </w:rPr>
        <w:t xml:space="preserve"> [S] El modelo base supone que el cargo por servicio está excluido de IVA y que TicketRight puede tratar el IVA facturado por la pasarela como impuesto descontable. En esta rama se mantienen $25.120 de ingreso atribuible a la venta, $17.350 de contribución por boleta y un punto de equilibrio de 2.990 boletas, equivalentes a 0,39 eventos tipo al mes.</w:t>
      </w:r>
    </w:p>
    <w:p w:rsidRPr="00AF654B" w:rsidR="0065570C" w:rsidP="00AF654B" w:rsidRDefault="0065570C" w14:paraId="34B7047D" w14:textId="1EED361F">
      <w:pPr>
        <w:spacing w:after="140" w:line="270" w:lineRule="auto"/>
        <w:jc w:val="both"/>
        <w:rPr>
          <w:rFonts w:ascii="Inter" w:hAnsi="Inter"/>
          <w:sz w:val="21"/>
          <w:lang w:val="es-ES"/>
        </w:rPr>
      </w:pPr>
      <w:r w:rsidRPr="00AF654B">
        <w:rPr>
          <w:rFonts w:ascii="Inter" w:hAnsi="Inter"/>
          <w:color w:val="000000"/>
          <w:sz w:val="21"/>
          <w:lang w:val="es-ES"/>
        </w:rPr>
        <w:t xml:space="preserve">Si el cargo de 12% está gravado y el precio de $24.000 incluye IVA, el ingreso neto del cargo es $20.168. Al descontar también el IVA de la pasarela, la contribución es $13.518 y el punto de equilibrio es 3.838 boletas, equivalentes a 0,50 eventos al mes. Como cota conservadora, si además no fuera procedente descontar el IVA de la pasarela, la contribución sería $12.156 y el equilibrio aumentaría a 4.268 boletas, equivalentes a 0,56 eventos al mes. La exclusión del numeral 18 del artículo 476 del Estatuto Tributario cubre las boletas y los servicios artísticos definidos por la Ley 1493, pero no permite concluir por sí sola que la intermediación del operador esté excluida. La validación del cargo, la comisión de reventa y el IVA descontable se gestiona como riesgo R1 de la sección 4.10. Fuentes: </w:t>
      </w:r>
      <w:hyperlink w:history="1" r:id="rId11">
        <w:r w:rsidRPr="00AF654B">
          <w:rPr>
            <w:rStyle w:val="Hipervnculo"/>
            <w:rFonts w:ascii="Inter" w:hAnsi="Inter"/>
            <w:sz w:val="21"/>
            <w:lang w:val="es-ES"/>
          </w:rPr>
          <w:t>numeral 18 del artículo 476 del Estatuto Tributario</w:t>
        </w:r>
      </w:hyperlink>
      <w:r w:rsidRPr="00AF654B">
        <w:rPr>
          <w:rFonts w:ascii="Inter" w:hAnsi="Inter"/>
          <w:color w:val="000000"/>
          <w:sz w:val="21"/>
          <w:lang w:val="es-ES"/>
        </w:rPr>
        <w:t xml:space="preserve"> y </w:t>
      </w:r>
      <w:hyperlink w:history="1" r:id="rId12">
        <w:r w:rsidRPr="00AF654B">
          <w:rPr>
            <w:rStyle w:val="Hipervnculo"/>
            <w:rFonts w:ascii="Inter" w:hAnsi="Inter"/>
            <w:sz w:val="21"/>
            <w:lang w:val="es-ES"/>
          </w:rPr>
          <w:t>artículo 6 de la Ley 1493</w:t>
        </w:r>
      </w:hyperlink>
      <w:r w:rsidRPr="00AF654B">
        <w:rPr>
          <w:rFonts w:ascii="Inter" w:hAnsi="Inter"/>
          <w:color w:val="000000"/>
          <w:sz w:val="21"/>
          <w:lang w:val="es-ES"/>
        </w:rPr>
        <w:t>.</w:t>
      </w:r>
    </w:p>
    <w:p w:rsidRPr="00AF654B" w:rsidR="0065570C" w:rsidP="00AF654B" w:rsidRDefault="0065570C" w14:paraId="3991C094" w14:textId="75F90AD6">
      <w:pPr>
        <w:spacing w:after="140" w:line="270" w:lineRule="auto"/>
        <w:jc w:val="both"/>
        <w:rPr>
          <w:rFonts w:ascii="Inter" w:hAnsi="Inter"/>
          <w:sz w:val="21"/>
          <w:lang w:val="es-ES"/>
        </w:rPr>
      </w:pPr>
      <w:r w:rsidRPr="00AF654B">
        <w:rPr>
          <w:rFonts w:ascii="Inter" w:hAnsi="Inter"/>
          <w:b/>
          <w:color w:val="000000"/>
          <w:sz w:val="21"/>
          <w:lang w:val="es-ES"/>
        </w:rPr>
        <w:t>S8. Custodia de recursos y ciclo de liquidación.</w:t>
      </w:r>
      <w:r w:rsidRPr="00AF654B">
        <w:rPr>
          <w:rFonts w:ascii="Inter" w:hAnsi="Inter"/>
          <w:color w:val="000000"/>
          <w:sz w:val="21"/>
          <w:lang w:val="es-ES"/>
        </w:rPr>
        <w:t xml:space="preserve"> [S] TicketRight recauda el pago antes del evento y liquida al promotor después, según el plazo contractual. El evento tipo mueve $1.854,4 millones: $1.520 millones corresponden al promotor, $152 millones a la contribución parafiscal retenida y $182,4 millones al cargo bruto de TicketRight. Esto exige cuentas separadas, conciliación diaria y liquidez para devoluciones; el flotante no se considera ingreso. Los plazos de dispersión, liquidación y devolución y la reserva necesaria se gestionan como riesgo R2 de la sección 4.10.</w:t>
      </w:r>
    </w:p>
    <w:p w:rsidRPr="008006A1" w:rsidR="0065570C" w:rsidP="00AF654B" w:rsidRDefault="0065570C" w14:paraId="1DCA7F0C" w14:textId="7C78A408">
      <w:pPr>
        <w:pStyle w:val="Ttulo2"/>
        <w:spacing w:before="240"/>
        <w:rPr>
          <w:rFonts w:ascii="Inter" w:hAnsi="Inter"/>
          <w:b/>
          <w:color w:val="1A1A1A"/>
          <w:sz w:val="23"/>
        </w:rPr>
      </w:pPr>
      <w:bookmarkStart w:name="_Toc239897186" w:id="5"/>
      <w:r w:rsidRPr="008006A1">
        <w:rPr>
          <w:rFonts w:ascii="Inter" w:hAnsi="Inter"/>
          <w:b/>
          <w:color w:val="1A1A1A"/>
          <w:sz w:val="23"/>
        </w:rPr>
        <w:t>1.3 Restricciones</w:t>
      </w:r>
      <w:bookmarkEnd w:id="5"/>
    </w:p>
    <w:p w:rsidRPr="00AF654B" w:rsidR="0065570C" w:rsidP="00AF654B" w:rsidRDefault="0065570C" w14:paraId="30D5034D" w14:textId="35AF35B6">
      <w:pPr>
        <w:pStyle w:val="Prrafodelista"/>
        <w:numPr>
          <w:ilvl w:val="0"/>
          <w:numId w:val="25"/>
        </w:numPr>
        <w:spacing w:after="140" w:line="270" w:lineRule="auto"/>
        <w:jc w:val="both"/>
        <w:rPr>
          <w:rFonts w:ascii="Inter" w:hAnsi="Inter"/>
          <w:sz w:val="21"/>
          <w:lang w:val="es-ES"/>
        </w:rPr>
      </w:pPr>
      <w:r w:rsidRPr="00AF654B">
        <w:rPr>
          <w:rFonts w:ascii="Inter" w:hAnsi="Inter"/>
          <w:color w:val="000000"/>
          <w:sz w:val="21"/>
          <w:lang w:val="es-ES"/>
        </w:rPr>
        <w:t xml:space="preserve">[V] La Ley 1493 de 2011 establece una contribución parafiscal de 10% para boletas cuyo precio sea igual o superior a tres UVT. Para 2026, la UVT es de $52.374, por lo que el umbral equivale a $157.122. El productor es el sujeto pasivo. TicketRight, como operador de boletería, es agente de retención sobre el ingreso mensual por boletería recibido a nombre del productor y presenta la declaración de retención mensualmente. El productor permanente declara la contribución bimestralmente; el ocasional lo hace por evento. TicketRight debe separar y liquidar correctamente el dinero del promotor, de la plataforma y del Estado. Fuentes: </w:t>
      </w:r>
      <w:hyperlink w:history="1" r:id="rId13">
        <w:r w:rsidRPr="00AF654B">
          <w:rPr>
            <w:rStyle w:val="Hipervnculo"/>
            <w:rFonts w:ascii="Inter" w:hAnsi="Inter"/>
            <w:sz w:val="21"/>
            <w:lang w:val="es-ES"/>
          </w:rPr>
          <w:t>Función Pública</w:t>
        </w:r>
      </w:hyperlink>
      <w:r w:rsidRPr="00AF654B">
        <w:rPr>
          <w:rFonts w:ascii="Inter" w:hAnsi="Inter"/>
          <w:color w:val="000000"/>
          <w:sz w:val="21"/>
          <w:lang w:val="es-ES"/>
        </w:rPr>
        <w:t xml:space="preserve">, </w:t>
      </w:r>
      <w:hyperlink w:history="1" r:id="rId14">
        <w:r w:rsidRPr="00AF654B">
          <w:rPr>
            <w:rStyle w:val="Hipervnculo"/>
            <w:rFonts w:ascii="Inter" w:hAnsi="Inter"/>
            <w:sz w:val="21"/>
            <w:lang w:val="es-ES"/>
          </w:rPr>
          <w:t>DIAN</w:t>
        </w:r>
      </w:hyperlink>
      <w:r w:rsidRPr="00AF654B">
        <w:rPr>
          <w:rFonts w:ascii="Inter" w:hAnsi="Inter"/>
          <w:color w:val="000000"/>
          <w:sz w:val="21"/>
          <w:lang w:val="es-ES"/>
        </w:rPr>
        <w:t xml:space="preserve"> y </w:t>
      </w:r>
      <w:hyperlink w:history="1" r:id="rId15">
        <w:r w:rsidRPr="00AF654B">
          <w:rPr>
            <w:rStyle w:val="Hipervnculo"/>
            <w:rFonts w:ascii="Inter" w:hAnsi="Inter"/>
            <w:sz w:val="21"/>
            <w:lang w:val="es-ES"/>
          </w:rPr>
          <w:t>Concepto Unificado 1 de 2018 de la DIAN</w:t>
        </w:r>
      </w:hyperlink>
      <w:r w:rsidRPr="00AF654B">
        <w:rPr>
          <w:rFonts w:ascii="Inter" w:hAnsi="Inter"/>
          <w:color w:val="000000"/>
          <w:sz w:val="21"/>
          <w:lang w:val="es-ES"/>
        </w:rPr>
        <w:t>.</w:t>
      </w:r>
    </w:p>
    <w:p w:rsidRPr="00AF654B" w:rsidR="0065570C" w:rsidP="00AF654B" w:rsidRDefault="0065570C" w14:paraId="7613CB13" w14:textId="3C154A2A">
      <w:pPr>
        <w:pStyle w:val="Prrafodelista"/>
        <w:numPr>
          <w:ilvl w:val="0"/>
          <w:numId w:val="25"/>
        </w:numPr>
        <w:spacing w:after="140" w:line="270" w:lineRule="auto"/>
        <w:jc w:val="both"/>
        <w:rPr>
          <w:rFonts w:ascii="Inter" w:hAnsi="Inter"/>
          <w:sz w:val="21"/>
        </w:rPr>
      </w:pPr>
      <w:r w:rsidRPr="00AF654B">
        <w:rPr>
          <w:rFonts w:ascii="Inter" w:hAnsi="Inter"/>
          <w:color w:val="000000"/>
          <w:sz w:val="21"/>
          <w:lang w:val="es-ES"/>
        </w:rPr>
        <w:t xml:space="preserve">[V] La Ley 1480 de 2011 establece el derecho de retracto para ventas a distancia y exige la devolución del dinero cuando corresponda. </w:t>
      </w:r>
      <w:r w:rsidRPr="00AF654B">
        <w:rPr>
          <w:rFonts w:ascii="Inter" w:hAnsi="Inter"/>
          <w:color w:val="000000"/>
          <w:sz w:val="21"/>
        </w:rPr>
        <w:t xml:space="preserve">Fuente: </w:t>
      </w:r>
      <w:hyperlink w:history="1" r:id="rId16">
        <w:r w:rsidRPr="00AF654B">
          <w:rPr>
            <w:rStyle w:val="Hipervnculo"/>
            <w:rFonts w:ascii="Inter" w:hAnsi="Inter"/>
            <w:sz w:val="21"/>
          </w:rPr>
          <w:t>Función Pública</w:t>
        </w:r>
      </w:hyperlink>
      <w:r w:rsidRPr="00AF654B">
        <w:rPr>
          <w:rFonts w:ascii="Inter" w:hAnsi="Inter"/>
          <w:color w:val="000000"/>
          <w:sz w:val="21"/>
        </w:rPr>
        <w:t>.</w:t>
      </w:r>
    </w:p>
    <w:p w:rsidRPr="00AF654B" w:rsidR="0065570C" w:rsidP="00AF654B" w:rsidRDefault="0065570C" w14:paraId="61BF888E" w14:textId="09E03FC3">
      <w:pPr>
        <w:pStyle w:val="Prrafodelista"/>
        <w:numPr>
          <w:ilvl w:val="0"/>
          <w:numId w:val="25"/>
        </w:numPr>
        <w:spacing w:after="140" w:line="270" w:lineRule="auto"/>
        <w:jc w:val="both"/>
        <w:rPr>
          <w:rFonts w:ascii="Inter" w:hAnsi="Inter"/>
          <w:sz w:val="21"/>
        </w:rPr>
      </w:pPr>
      <w:r w:rsidRPr="00AF654B">
        <w:rPr>
          <w:rFonts w:ascii="Inter" w:hAnsi="Inter"/>
          <w:color w:val="000000"/>
          <w:sz w:val="21"/>
          <w:lang w:val="es-ES"/>
        </w:rPr>
        <w:t xml:space="preserve">[V] La Ley 1581 de 2012 exige autorización previa, expresa e informada para tratar y transferir datos personales. </w:t>
      </w:r>
      <w:r w:rsidRPr="00AF654B">
        <w:rPr>
          <w:rFonts w:ascii="Inter" w:hAnsi="Inter"/>
          <w:color w:val="000000"/>
          <w:sz w:val="21"/>
        </w:rPr>
        <w:t xml:space="preserve">Fuente: </w:t>
      </w:r>
      <w:hyperlink w:history="1" r:id="rId17">
        <w:r w:rsidRPr="00AF654B">
          <w:rPr>
            <w:rStyle w:val="Hipervnculo"/>
            <w:rFonts w:ascii="Inter" w:hAnsi="Inter"/>
            <w:sz w:val="21"/>
          </w:rPr>
          <w:t>Función Pública</w:t>
        </w:r>
      </w:hyperlink>
      <w:r w:rsidRPr="00AF654B">
        <w:rPr>
          <w:rFonts w:ascii="Inter" w:hAnsi="Inter"/>
          <w:color w:val="000000"/>
          <w:sz w:val="21"/>
        </w:rPr>
        <w:t>.</w:t>
      </w:r>
    </w:p>
    <w:p w:rsidRPr="00AF654B" w:rsidR="0065570C" w:rsidP="00AF654B" w:rsidRDefault="0065570C" w14:paraId="01C8156C" w14:textId="380D1E2C">
      <w:pPr>
        <w:pStyle w:val="Prrafodelista"/>
        <w:numPr>
          <w:ilvl w:val="0"/>
          <w:numId w:val="25"/>
        </w:numPr>
        <w:spacing w:after="140" w:line="270" w:lineRule="auto"/>
        <w:jc w:val="both"/>
        <w:rPr>
          <w:rFonts w:ascii="Inter" w:hAnsi="Inter"/>
          <w:sz w:val="21"/>
        </w:rPr>
      </w:pPr>
      <w:r w:rsidRPr="00AF654B">
        <w:rPr>
          <w:rFonts w:ascii="Inter" w:hAnsi="Inter"/>
          <w:color w:val="000000"/>
          <w:sz w:val="21"/>
          <w:lang w:val="es-ES"/>
        </w:rPr>
        <w:t xml:space="preserve">[V] El aforo autorizado no puede excederse. Cada boleta emitida debe corresponder a inventario disponible y válido. </w:t>
      </w:r>
      <w:r w:rsidRPr="00AF654B">
        <w:rPr>
          <w:rFonts w:ascii="Inter" w:hAnsi="Inter"/>
          <w:color w:val="000000"/>
          <w:sz w:val="21"/>
        </w:rPr>
        <w:t xml:space="preserve">Fuente: </w:t>
      </w:r>
      <w:hyperlink w:history="1" r:id="rId18">
        <w:r w:rsidRPr="00AF654B">
          <w:rPr>
            <w:rStyle w:val="Hipervnculo"/>
            <w:rFonts w:ascii="Inter" w:hAnsi="Inter"/>
            <w:sz w:val="21"/>
          </w:rPr>
          <w:t>Alcaldía de Bogotá</w:t>
        </w:r>
      </w:hyperlink>
      <w:r w:rsidRPr="00AF654B">
        <w:rPr>
          <w:rFonts w:ascii="Inter" w:hAnsi="Inter"/>
          <w:color w:val="000000"/>
          <w:sz w:val="21"/>
        </w:rPr>
        <w:t>.</w:t>
      </w:r>
    </w:p>
    <w:p w:rsidRPr="00AF654B" w:rsidR="0065570C" w:rsidP="00AF654B" w:rsidRDefault="0065570C" w14:paraId="6524E5F7" w14:textId="4A6765D3">
      <w:pPr>
        <w:pStyle w:val="Prrafodelista"/>
        <w:numPr>
          <w:ilvl w:val="0"/>
          <w:numId w:val="25"/>
        </w:numPr>
        <w:spacing w:after="140" w:line="270" w:lineRule="auto"/>
        <w:jc w:val="both"/>
        <w:rPr>
          <w:rFonts w:ascii="Inter" w:hAnsi="Inter"/>
          <w:sz w:val="21"/>
        </w:rPr>
      </w:pPr>
      <w:r w:rsidRPr="00AF654B">
        <w:rPr>
          <w:rFonts w:ascii="Inter" w:hAnsi="Inter"/>
          <w:color w:val="000000"/>
          <w:sz w:val="21"/>
          <w:lang w:val="es-ES"/>
        </w:rPr>
        <w:t xml:space="preserve">[V] No basta con registrarse en el PULEP. Antes de vender en línea, cada empresa debe obtener del Ministerio de las Culturas una resolución que la autorice como operador de boletería en línea, expedida por la Dirección de Artes y con cobertura local, regional o nacional. La autorización exige requisitos jurídicos, financieros y tecnológicos y tiene vigencia definida. Este trámite crea una etapa preoperativa sin ingresos y puede retrasar el inicio de T1. </w:t>
      </w:r>
      <w:r w:rsidRPr="00AF654B">
        <w:rPr>
          <w:rFonts w:ascii="Inter" w:hAnsi="Inter"/>
          <w:color w:val="000000"/>
          <w:sz w:val="21"/>
        </w:rPr>
        <w:t xml:space="preserve">Fuente: </w:t>
      </w:r>
      <w:hyperlink w:history="1" r:id="rId19">
        <w:r w:rsidRPr="00AF654B">
          <w:rPr>
            <w:rStyle w:val="Hipervnculo"/>
            <w:rFonts w:ascii="Inter" w:hAnsi="Inter"/>
            <w:sz w:val="21"/>
          </w:rPr>
          <w:t>Ministerio de las Culturas</w:t>
        </w:r>
      </w:hyperlink>
      <w:r w:rsidRPr="00AF654B">
        <w:rPr>
          <w:rFonts w:ascii="Inter" w:hAnsi="Inter"/>
          <w:color w:val="000000"/>
          <w:sz w:val="21"/>
        </w:rPr>
        <w:t>.</w:t>
      </w:r>
    </w:p>
    <w:p w:rsidRPr="008006A1" w:rsidR="0065570C" w:rsidP="00AF654B" w:rsidRDefault="0065570C" w14:paraId="32351D29" w14:textId="3AAC6DCF">
      <w:pPr>
        <w:pStyle w:val="Ttulo2"/>
        <w:spacing w:before="240"/>
        <w:rPr>
          <w:rFonts w:ascii="Inter" w:hAnsi="Inter"/>
          <w:b/>
          <w:color w:val="1A1A1A"/>
          <w:sz w:val="23"/>
        </w:rPr>
      </w:pPr>
      <w:bookmarkStart w:name="_Toc239897187" w:id="6"/>
      <w:r w:rsidRPr="008006A1">
        <w:rPr>
          <w:rFonts w:ascii="Inter" w:hAnsi="Inter"/>
          <w:b/>
          <w:color w:val="1A1A1A"/>
          <w:sz w:val="23"/>
        </w:rPr>
        <w:lastRenderedPageBreak/>
        <w:t>1.4 Dependencias principales</w:t>
      </w:r>
      <w:bookmarkEnd w:id="6"/>
    </w:p>
    <w:p w:rsidRPr="00AF654B" w:rsidR="0065570C" w:rsidP="00AF654B" w:rsidRDefault="0065570C" w14:paraId="2D99CD51" w14:textId="71E8AD82">
      <w:pPr>
        <w:spacing w:after="140" w:line="270" w:lineRule="auto"/>
        <w:jc w:val="both"/>
        <w:rPr>
          <w:rFonts w:ascii="Inter" w:hAnsi="Inter"/>
          <w:sz w:val="21"/>
          <w:lang w:val="es-ES"/>
        </w:rPr>
      </w:pPr>
      <w:r w:rsidRPr="00AF654B">
        <w:rPr>
          <w:rFonts w:ascii="Inter" w:hAnsi="Inter"/>
          <w:color w:val="000000"/>
          <w:sz w:val="21"/>
          <w:lang w:val="es-ES"/>
        </w:rPr>
        <w:t>El negocio depende del inventario suministrado por los promotores, de la aprobación de pagos por una pasarela externa, de la capacidad de infraestructura durante las ventanas de alta demanda y de la integración con el sistema de control de acceso. TicketRight administra y concilia estas relaciones, pero no controla la operación interna de esos terceros.</w:t>
      </w:r>
    </w:p>
    <w:p w:rsidRPr="008006A1" w:rsidR="0065570C" w:rsidP="00AF654B" w:rsidRDefault="0065570C" w14:paraId="41CDD54B" w14:textId="107C80B5">
      <w:pPr>
        <w:pStyle w:val="Ttulo1"/>
        <w:spacing w:before="320" w:after="120"/>
        <w:rPr>
          <w:rFonts w:ascii="Inter" w:hAnsi="Inter"/>
          <w:b/>
          <w:color w:val="1A1A1A"/>
          <w:sz w:val="28"/>
          <w:lang w:val="es-ES"/>
        </w:rPr>
      </w:pPr>
      <w:bookmarkStart w:name="_Toc239897188" w:id="7"/>
      <w:r w:rsidRPr="008006A1">
        <w:rPr>
          <w:rFonts w:ascii="Inter" w:hAnsi="Inter"/>
          <w:b/>
          <w:color w:val="1A1A1A"/>
          <w:sz w:val="28"/>
          <w:lang w:val="es-ES"/>
        </w:rPr>
        <w:t>2. Alcance y definición del caso de negocio</w:t>
      </w:r>
      <w:bookmarkEnd w:id="7"/>
    </w:p>
    <w:p w:rsidRPr="008006A1" w:rsidR="0065570C" w:rsidP="00AF654B" w:rsidRDefault="0065570C" w14:paraId="3C42A593" w14:textId="63D6CB59">
      <w:pPr>
        <w:pStyle w:val="Ttulo2"/>
        <w:spacing w:before="240"/>
        <w:rPr>
          <w:rFonts w:ascii="Inter" w:hAnsi="Inter"/>
          <w:b/>
          <w:color w:val="1A1A1A"/>
          <w:sz w:val="23"/>
          <w:lang w:val="es-ES"/>
        </w:rPr>
      </w:pPr>
      <w:bookmarkStart w:name="_Toc239897189" w:id="8"/>
      <w:r w:rsidRPr="008006A1">
        <w:rPr>
          <w:rFonts w:ascii="Inter" w:hAnsi="Inter"/>
          <w:b/>
          <w:color w:val="1A1A1A"/>
          <w:sz w:val="23"/>
          <w:lang w:val="es-ES"/>
        </w:rPr>
        <w:t>2.1 Problema y oportunidad</w:t>
      </w:r>
      <w:bookmarkEnd w:id="8"/>
    </w:p>
    <w:p w:rsidRPr="00AF654B" w:rsidR="0065570C" w:rsidP="00AF654B" w:rsidRDefault="0065570C" w14:paraId="43AB579D" w14:textId="663F7F5E">
      <w:pPr>
        <w:spacing w:after="140" w:line="270" w:lineRule="auto"/>
        <w:jc w:val="both"/>
        <w:rPr>
          <w:rFonts w:ascii="Inter" w:hAnsi="Inter"/>
          <w:sz w:val="21"/>
          <w:lang w:val="es-ES"/>
        </w:rPr>
      </w:pPr>
      <w:r w:rsidRPr="00AF654B">
        <w:rPr>
          <w:rFonts w:ascii="Inter" w:hAnsi="Inter"/>
          <w:color w:val="000000"/>
          <w:sz w:val="21"/>
          <w:lang w:val="es-ES"/>
        </w:rPr>
        <w:t>Los promotores deben vender un aforo limitado durante ventanas de alta demanda. En esos periodos, miles de personas pueden intentar comprar al mismo tiempo, mientras el inventario, la fila y la pasarela de pagos procesan información a velocidades diferentes. Una respuesta tardía o repetida de la pasarela puede dejar una compra en un estado incierto.</w:t>
      </w:r>
    </w:p>
    <w:p w:rsidRPr="00AF654B" w:rsidR="0065570C" w:rsidP="00AF654B" w:rsidRDefault="0065570C" w14:paraId="5D60E217" w14:textId="51B4B804">
      <w:pPr>
        <w:spacing w:after="140" w:line="270" w:lineRule="auto"/>
        <w:jc w:val="both"/>
        <w:rPr>
          <w:rFonts w:ascii="Inter" w:hAnsi="Inter"/>
          <w:sz w:val="21"/>
          <w:lang w:val="es-ES"/>
        </w:rPr>
      </w:pPr>
      <w:r w:rsidRPr="00AF654B">
        <w:rPr>
          <w:rFonts w:ascii="Inter" w:hAnsi="Inter"/>
          <w:color w:val="000000"/>
          <w:sz w:val="21"/>
          <w:lang w:val="es-ES"/>
        </w:rPr>
        <w:t>El impacto es empresarial. Un cobro sin boleta genera reclamos y desconfianza. Una boleta duplicada afecta el control del aforo. Una devolución mal gestionada aumenta el costo de soporte y expone al promotor a sanciones y daño reputacional. Además, la reventa informal puede capturar valor sin participación del promotor y expone al fan a boletas inválidas.</w:t>
      </w:r>
    </w:p>
    <w:p w:rsidRPr="00AF654B" w:rsidR="0065570C" w:rsidP="00AF654B" w:rsidRDefault="0065570C" w14:paraId="49AC63B3" w14:textId="7579B71F">
      <w:pPr>
        <w:spacing w:after="140" w:line="270" w:lineRule="auto"/>
        <w:jc w:val="both"/>
        <w:rPr>
          <w:rFonts w:ascii="Inter" w:hAnsi="Inter"/>
          <w:sz w:val="21"/>
          <w:lang w:val="es-ES"/>
        </w:rPr>
      </w:pPr>
      <w:r w:rsidRPr="00AF654B">
        <w:rPr>
          <w:rFonts w:ascii="Inter" w:hAnsi="Inter"/>
          <w:color w:val="000000"/>
          <w:sz w:val="21"/>
          <w:lang w:val="es-ES"/>
        </w:rPr>
        <w:t>TicketRight aprovecha esta oportunidad mediante una cadena digital trazable que conecta la fila, la reserva, el pago, la emisión, la transferencia, la reventa, la devolución y la liquidación.</w:t>
      </w:r>
    </w:p>
    <w:p w:rsidRPr="008006A1" w:rsidR="0065570C" w:rsidP="00AF654B" w:rsidRDefault="0065570C" w14:paraId="2DA36A28" w14:textId="712C42EA">
      <w:pPr>
        <w:pStyle w:val="Ttulo2"/>
        <w:spacing w:before="240"/>
        <w:rPr>
          <w:rFonts w:ascii="Inter" w:hAnsi="Inter"/>
          <w:b/>
          <w:color w:val="1A1A1A"/>
          <w:sz w:val="23"/>
          <w:lang w:val="es-ES"/>
        </w:rPr>
      </w:pPr>
      <w:bookmarkStart w:name="_Toc239897190" w:id="9"/>
      <w:r w:rsidRPr="008006A1">
        <w:rPr>
          <w:rFonts w:ascii="Inter" w:hAnsi="Inter"/>
          <w:b/>
          <w:color w:val="1A1A1A"/>
          <w:sz w:val="23"/>
          <w:lang w:val="es-ES"/>
        </w:rPr>
        <w:t>2.2 Clientes, usuarios y actores</w:t>
      </w:r>
      <w:bookmarkEnd w:id="9"/>
    </w:p>
    <w:p w:rsidRPr="00AF654B" w:rsidR="0065570C" w:rsidP="00AF654B" w:rsidRDefault="0065570C" w14:paraId="64292CC2" w14:textId="14E566A8">
      <w:pPr>
        <w:spacing w:after="140" w:line="270" w:lineRule="auto"/>
        <w:jc w:val="both"/>
        <w:rPr>
          <w:rFonts w:ascii="Inter" w:hAnsi="Inter"/>
          <w:sz w:val="21"/>
          <w:lang w:val="es-ES"/>
        </w:rPr>
      </w:pPr>
      <w:r w:rsidRPr="00AF654B">
        <w:rPr>
          <w:rFonts w:ascii="Inter" w:hAnsi="Inter"/>
          <w:b/>
          <w:color w:val="000000"/>
          <w:sz w:val="21"/>
          <w:lang w:val="es-ES"/>
        </w:rPr>
        <w:t>Promotor o productora.</w:t>
      </w:r>
      <w:r w:rsidRPr="00AF654B">
        <w:rPr>
          <w:rFonts w:ascii="Inter" w:hAnsi="Inter"/>
          <w:color w:val="000000"/>
          <w:sz w:val="21"/>
          <w:lang w:val="es-ES"/>
        </w:rPr>
        <w:t xml:space="preserve"> Es el cliente contractual y propietario del inventario. Espera una venta confiable, liquidación clara, información autorizada sobre sus compradores y participación en la reventa.</w:t>
      </w:r>
    </w:p>
    <w:p w:rsidRPr="00AF654B" w:rsidR="0065570C" w:rsidP="00AF654B" w:rsidRDefault="0065570C" w14:paraId="7431F28B" w14:textId="24B68B9B">
      <w:pPr>
        <w:spacing w:after="140" w:line="270" w:lineRule="auto"/>
        <w:jc w:val="both"/>
        <w:rPr>
          <w:rFonts w:ascii="Inter" w:hAnsi="Inter"/>
          <w:sz w:val="21"/>
          <w:lang w:val="es-ES"/>
        </w:rPr>
      </w:pPr>
      <w:r w:rsidRPr="00AF654B">
        <w:rPr>
          <w:rFonts w:ascii="Inter" w:hAnsi="Inter"/>
          <w:b/>
          <w:color w:val="000000"/>
          <w:sz w:val="21"/>
          <w:lang w:val="es-ES"/>
        </w:rPr>
        <w:t>Fan o comprador.</w:t>
      </w:r>
      <w:r w:rsidRPr="00AF654B">
        <w:rPr>
          <w:rFonts w:ascii="Inter" w:hAnsi="Inter"/>
          <w:color w:val="000000"/>
          <w:sz w:val="21"/>
          <w:lang w:val="es-ES"/>
        </w:rPr>
        <w:t xml:space="preserve"> Es el usuario principal y paga el cargo visible por servicio. Espera una fila comprensible, una compra sin errores y una boleta válida que pueda transferir o revender según las reglas del evento.</w:t>
      </w:r>
    </w:p>
    <w:p w:rsidRPr="00AF654B" w:rsidR="0065570C" w:rsidP="00AF654B" w:rsidRDefault="0065570C" w14:paraId="1D999BAE" w14:textId="05402061">
      <w:pPr>
        <w:spacing w:after="140" w:line="270" w:lineRule="auto"/>
        <w:jc w:val="both"/>
        <w:rPr>
          <w:rFonts w:ascii="Inter" w:hAnsi="Inter"/>
          <w:sz w:val="21"/>
          <w:lang w:val="es-ES"/>
        </w:rPr>
      </w:pPr>
      <w:r w:rsidRPr="00AF654B">
        <w:rPr>
          <w:rFonts w:ascii="Inter" w:hAnsi="Inter"/>
          <w:b/>
          <w:color w:val="000000"/>
          <w:sz w:val="21"/>
          <w:lang w:val="es-ES"/>
        </w:rPr>
        <w:t>Recinto.</w:t>
      </w:r>
      <w:r w:rsidRPr="00AF654B">
        <w:rPr>
          <w:rFonts w:ascii="Inter" w:hAnsi="Inter"/>
          <w:color w:val="000000"/>
          <w:sz w:val="21"/>
          <w:lang w:val="es-ES"/>
        </w:rPr>
        <w:t xml:space="preserve"> Aporta el espacio físico y debe operar dentro del aforo autorizado.</w:t>
      </w:r>
    </w:p>
    <w:p w:rsidRPr="00AF654B" w:rsidR="0065570C" w:rsidP="00AF654B" w:rsidRDefault="0065570C" w14:paraId="550554A0" w14:textId="4F0E22C0">
      <w:pPr>
        <w:spacing w:after="140" w:line="270" w:lineRule="auto"/>
        <w:jc w:val="both"/>
        <w:rPr>
          <w:rFonts w:ascii="Inter" w:hAnsi="Inter"/>
          <w:sz w:val="21"/>
          <w:lang w:val="es-ES"/>
        </w:rPr>
      </w:pPr>
      <w:r w:rsidRPr="00AF654B">
        <w:rPr>
          <w:rFonts w:ascii="Inter" w:hAnsi="Inter"/>
          <w:b/>
          <w:color w:val="000000"/>
          <w:sz w:val="21"/>
          <w:lang w:val="es-ES"/>
        </w:rPr>
        <w:t>Artista y equipo de representación.</w:t>
      </w:r>
      <w:r w:rsidRPr="00AF654B">
        <w:rPr>
          <w:rFonts w:ascii="Inter" w:hAnsi="Inter"/>
          <w:color w:val="000000"/>
          <w:sz w:val="21"/>
          <w:lang w:val="es-ES"/>
        </w:rPr>
        <w:t xml:space="preserve"> Influyen en la selección del operador y en las condiciones de preventa.</w:t>
      </w:r>
    </w:p>
    <w:p w:rsidRPr="00AF654B" w:rsidR="0065570C" w:rsidP="00AF654B" w:rsidRDefault="0065570C" w14:paraId="06738301" w14:textId="6DC9EA84">
      <w:pPr>
        <w:spacing w:after="140" w:line="270" w:lineRule="auto"/>
        <w:jc w:val="both"/>
        <w:rPr>
          <w:rFonts w:ascii="Inter" w:hAnsi="Inter"/>
          <w:sz w:val="21"/>
          <w:lang w:val="es-ES"/>
        </w:rPr>
      </w:pPr>
      <w:r w:rsidRPr="00AF654B">
        <w:rPr>
          <w:rFonts w:ascii="Inter" w:hAnsi="Inter"/>
          <w:b/>
          <w:color w:val="000000"/>
          <w:sz w:val="21"/>
          <w:lang w:val="es-ES"/>
        </w:rPr>
        <w:t>Pasarela de pagos y proveedores tecnológicos.</w:t>
      </w:r>
      <w:r w:rsidRPr="00AF654B">
        <w:rPr>
          <w:rFonts w:ascii="Inter" w:hAnsi="Inter"/>
          <w:color w:val="000000"/>
          <w:sz w:val="21"/>
          <w:lang w:val="es-ES"/>
        </w:rPr>
        <w:t xml:space="preserve"> Procesan pagos, infraestructura, notificaciones y verificación de identidad.</w:t>
      </w:r>
    </w:p>
    <w:p w:rsidRPr="00AF654B" w:rsidR="0065570C" w:rsidP="00AF654B" w:rsidRDefault="0065570C" w14:paraId="2B025FCD" w14:textId="578170C5">
      <w:pPr>
        <w:spacing w:after="140" w:line="270" w:lineRule="auto"/>
        <w:jc w:val="both"/>
        <w:rPr>
          <w:rFonts w:ascii="Inter" w:hAnsi="Inter"/>
          <w:sz w:val="21"/>
          <w:lang w:val="es-ES"/>
        </w:rPr>
      </w:pPr>
      <w:r w:rsidRPr="00AF654B">
        <w:rPr>
          <w:rFonts w:ascii="Inter" w:hAnsi="Inter"/>
          <w:b/>
          <w:color w:val="000000"/>
          <w:sz w:val="21"/>
          <w:lang w:val="es-ES"/>
        </w:rPr>
        <w:t>Autoridades.</w:t>
      </w:r>
      <w:r w:rsidRPr="00AF654B">
        <w:rPr>
          <w:rFonts w:ascii="Inter" w:hAnsi="Inter"/>
          <w:color w:val="000000"/>
          <w:sz w:val="21"/>
          <w:lang w:val="es-ES"/>
        </w:rPr>
        <w:t xml:space="preserve"> El Ministerio de las Culturas, el PULEP, la SIC y las autoridades locales vigilan el registro, el cumplimiento y la protección del consumidor.</w:t>
      </w:r>
    </w:p>
    <w:p w:rsidRPr="008006A1" w:rsidR="0065570C" w:rsidP="00AF654B" w:rsidRDefault="0065570C" w14:paraId="170BA48B" w14:textId="34B42A0F">
      <w:pPr>
        <w:pStyle w:val="Ttulo2"/>
        <w:spacing w:before="240"/>
        <w:rPr>
          <w:rFonts w:ascii="Inter" w:hAnsi="Inter"/>
          <w:b/>
          <w:color w:val="1A1A1A"/>
          <w:sz w:val="23"/>
          <w:lang w:val="es-ES"/>
        </w:rPr>
      </w:pPr>
      <w:bookmarkStart w:name="_Toc239897191" w:id="10"/>
      <w:r w:rsidRPr="008006A1">
        <w:rPr>
          <w:rFonts w:ascii="Inter" w:hAnsi="Inter"/>
          <w:b/>
          <w:color w:val="1A1A1A"/>
          <w:sz w:val="23"/>
          <w:lang w:val="es-ES"/>
        </w:rPr>
        <w:t>2.3 Solución propuesta</w:t>
      </w:r>
      <w:bookmarkEnd w:id="10"/>
    </w:p>
    <w:p w:rsidRPr="00AF654B" w:rsidR="0065570C" w:rsidP="00AF654B" w:rsidRDefault="0065570C" w14:paraId="67621BD2" w14:textId="50615D39">
      <w:pPr>
        <w:spacing w:after="140" w:line="270" w:lineRule="auto"/>
        <w:jc w:val="both"/>
        <w:rPr>
          <w:rFonts w:ascii="Inter" w:hAnsi="Inter"/>
          <w:sz w:val="21"/>
          <w:lang w:val="es-ES"/>
        </w:rPr>
      </w:pPr>
      <w:r w:rsidRPr="00AF654B">
        <w:rPr>
          <w:rFonts w:ascii="Inter" w:hAnsi="Inter"/>
          <w:color w:val="000000"/>
          <w:sz w:val="21"/>
          <w:lang w:val="es-ES"/>
        </w:rPr>
        <w:t>TicketRight permite al promotor configurar eventos, localidades, aforo y reglas de venta. La plataforma administra la fila, reserva inventario durante un tiempo limitado, procesa y concilia el pago, emite una boleta nominal y conserva el historial de cada cambio.</w:t>
      </w:r>
    </w:p>
    <w:p w:rsidRPr="00AF654B" w:rsidR="0065570C" w:rsidP="00AF654B" w:rsidRDefault="0065570C" w14:paraId="030A80CF" w14:textId="44FC24BE">
      <w:pPr>
        <w:spacing w:after="140" w:line="270" w:lineRule="auto"/>
        <w:jc w:val="both"/>
        <w:rPr>
          <w:rFonts w:ascii="Inter" w:hAnsi="Inter"/>
          <w:sz w:val="21"/>
          <w:lang w:val="es-ES"/>
        </w:rPr>
      </w:pPr>
      <w:r w:rsidRPr="00AF654B">
        <w:rPr>
          <w:rFonts w:ascii="Inter" w:hAnsi="Inter"/>
          <w:color w:val="000000"/>
          <w:sz w:val="21"/>
          <w:lang w:val="es-ES"/>
        </w:rPr>
        <w:lastRenderedPageBreak/>
        <w:t>Después de la venta, TicketRight permite transferir o revender la boleta dentro de las condiciones definidas por el promotor. También administra anulaciones, devoluciones y la liquidación de los recursos correspondientes a cada participante.</w:t>
      </w:r>
    </w:p>
    <w:p w:rsidRPr="008006A1" w:rsidR="0065570C" w:rsidP="00AF654B" w:rsidRDefault="0065570C" w14:paraId="4A9DD5CB" w14:textId="241FA158">
      <w:pPr>
        <w:pStyle w:val="Ttulo2"/>
        <w:spacing w:before="240"/>
        <w:rPr>
          <w:rFonts w:ascii="Inter" w:hAnsi="Inter"/>
          <w:b/>
          <w:color w:val="1A1A1A"/>
          <w:sz w:val="23"/>
        </w:rPr>
      </w:pPr>
      <w:bookmarkStart w:name="_Toc239897192" w:id="11"/>
      <w:r w:rsidRPr="008006A1">
        <w:rPr>
          <w:rFonts w:ascii="Inter" w:hAnsi="Inter"/>
          <w:b/>
          <w:color w:val="1A1A1A"/>
          <w:sz w:val="23"/>
        </w:rPr>
        <w:t>2.4 Dentro del alcance</w:t>
      </w:r>
      <w:bookmarkEnd w:id="11"/>
    </w:p>
    <w:p w:rsidRPr="00AF654B" w:rsidR="0065570C" w:rsidP="00AF654B" w:rsidRDefault="0065570C" w14:paraId="2154224E" w14:textId="33B4BE6A">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Configuración de eventos, localidades, precios, aforo y reglas de venta.</w:t>
      </w:r>
    </w:p>
    <w:p w:rsidRPr="00AF654B" w:rsidR="0065570C" w:rsidP="00AF654B" w:rsidRDefault="0065570C" w14:paraId="7F43744F" w14:textId="59D1F249">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Administración de la demanda concentrada y de la fila de compradores.</w:t>
      </w:r>
    </w:p>
    <w:p w:rsidRPr="00AF654B" w:rsidR="0065570C" w:rsidP="00AF654B" w:rsidRDefault="0065570C" w14:paraId="0DA685D2" w14:textId="486892CB">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Reserva y custodia del inventario disponible.</w:t>
      </w:r>
    </w:p>
    <w:p w:rsidRPr="00AF654B" w:rsidR="0065570C" w:rsidP="00AF654B" w:rsidRDefault="0065570C" w14:paraId="6314D29E" w14:textId="30E0E71E">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Procesamiento, seguimiento y conciliación del pago.</w:t>
      </w:r>
    </w:p>
    <w:p w:rsidRPr="00AF654B" w:rsidR="0065570C" w:rsidP="00AF654B" w:rsidRDefault="0065570C" w14:paraId="46A6A6D8" w14:textId="025B7501">
      <w:pPr>
        <w:pStyle w:val="Prrafodelista"/>
        <w:numPr>
          <w:ilvl w:val="0"/>
          <w:numId w:val="26"/>
        </w:numPr>
        <w:spacing w:after="140" w:line="270" w:lineRule="auto"/>
        <w:jc w:val="both"/>
        <w:rPr>
          <w:rFonts w:ascii="Inter" w:hAnsi="Inter"/>
          <w:sz w:val="21"/>
        </w:rPr>
      </w:pPr>
      <w:r w:rsidRPr="00AF654B">
        <w:rPr>
          <w:rFonts w:ascii="Inter" w:hAnsi="Inter"/>
          <w:color w:val="000000"/>
          <w:sz w:val="21"/>
        </w:rPr>
        <w:t>Emisión de boletas nominales.</w:t>
      </w:r>
    </w:p>
    <w:p w:rsidRPr="00AF654B" w:rsidR="0065570C" w:rsidP="00AF654B" w:rsidRDefault="0065570C" w14:paraId="0040C72A" w14:textId="50254B4C">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Transferencia y reventa autorizada dentro de TicketRight.</w:t>
      </w:r>
    </w:p>
    <w:p w:rsidRPr="00AF654B" w:rsidR="0065570C" w:rsidP="00AF654B" w:rsidRDefault="0065570C" w14:paraId="77CD2E58" w14:textId="1577D9A9">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Gestión de anulaciones y devoluciones.</w:t>
      </w:r>
    </w:p>
    <w:p w:rsidRPr="00AF654B" w:rsidR="0065570C" w:rsidP="00AF654B" w:rsidRDefault="0065570C" w14:paraId="5CCBADAE" w14:textId="0CD2C89A">
      <w:pPr>
        <w:pStyle w:val="Prrafodelista"/>
        <w:numPr>
          <w:ilvl w:val="0"/>
          <w:numId w:val="26"/>
        </w:numPr>
        <w:spacing w:after="140" w:line="270" w:lineRule="auto"/>
        <w:jc w:val="both"/>
        <w:rPr>
          <w:rFonts w:ascii="Inter" w:hAnsi="Inter"/>
          <w:sz w:val="21"/>
          <w:lang w:val="es-ES"/>
        </w:rPr>
      </w:pPr>
      <w:r w:rsidRPr="00AF654B">
        <w:rPr>
          <w:rFonts w:ascii="Inter" w:hAnsi="Inter"/>
          <w:color w:val="000000"/>
          <w:sz w:val="21"/>
          <w:lang w:val="es-ES"/>
        </w:rPr>
        <w:t>Liquidación y reportes para el promotor.</w:t>
      </w:r>
    </w:p>
    <w:p w:rsidRPr="008006A1" w:rsidR="0065570C" w:rsidP="00AF654B" w:rsidRDefault="0065570C" w14:paraId="2D96B65D" w14:textId="09DEE8C0">
      <w:pPr>
        <w:pStyle w:val="Ttulo2"/>
        <w:spacing w:before="240"/>
        <w:rPr>
          <w:rFonts w:ascii="Inter" w:hAnsi="Inter"/>
          <w:b/>
          <w:color w:val="1A1A1A"/>
          <w:sz w:val="23"/>
        </w:rPr>
      </w:pPr>
      <w:bookmarkStart w:name="_Toc239897193" w:id="12"/>
      <w:r w:rsidRPr="008006A1">
        <w:rPr>
          <w:rFonts w:ascii="Inter" w:hAnsi="Inter"/>
          <w:b/>
          <w:color w:val="1A1A1A"/>
          <w:sz w:val="23"/>
        </w:rPr>
        <w:t>2.5 Fuera del alcance</w:t>
      </w:r>
      <w:bookmarkEnd w:id="12"/>
    </w:p>
    <w:p w:rsidRPr="00AF654B" w:rsidR="0065570C" w:rsidP="00AF654B" w:rsidRDefault="0065570C" w14:paraId="0D59BDDD" w14:textId="46D574C4">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Producción y logística del evento físico.</w:t>
      </w:r>
    </w:p>
    <w:p w:rsidRPr="00AF654B" w:rsidR="0065570C" w:rsidP="00AF654B" w:rsidRDefault="0065570C" w14:paraId="7F8FCFB9" w14:textId="4B20E930">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Definición de permisos o del aforo autorizado.</w:t>
      </w:r>
    </w:p>
    <w:p w:rsidRPr="00AF654B" w:rsidR="0065570C" w:rsidP="00AF654B" w:rsidRDefault="0065570C" w14:paraId="0ABAE705" w14:textId="3F3D68EF">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Operación interna de la pasarela de pagos.</w:t>
      </w:r>
    </w:p>
    <w:p w:rsidRPr="00AF654B" w:rsidR="0065570C" w:rsidP="00AF654B" w:rsidRDefault="0065570C" w14:paraId="47A4B13C" w14:textId="143027DC">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Control físico de acceso y administración de dispositivos en la entrada.</w:t>
      </w:r>
    </w:p>
    <w:p w:rsidRPr="00AF654B" w:rsidR="0065570C" w:rsidP="00AF654B" w:rsidRDefault="0065570C" w14:paraId="451E7127" w14:textId="3BE7C381">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Compra, transferencia o reventa realizada fuera de TicketRight.</w:t>
      </w:r>
    </w:p>
    <w:p w:rsidRPr="00AF654B" w:rsidR="0065570C" w:rsidP="00AF654B" w:rsidRDefault="0065570C" w14:paraId="5BCCD0E2" w14:textId="5B7652CE">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Publicidad masiva y representación comercial del artista.</w:t>
      </w:r>
    </w:p>
    <w:p w:rsidRPr="00AF654B" w:rsidR="0065570C" w:rsidP="00AF654B" w:rsidRDefault="0065570C" w14:paraId="5080F03E" w14:textId="7D8D58B4">
      <w:pPr>
        <w:pStyle w:val="Prrafodelista"/>
        <w:numPr>
          <w:ilvl w:val="0"/>
          <w:numId w:val="27"/>
        </w:numPr>
        <w:spacing w:after="140" w:line="270" w:lineRule="auto"/>
        <w:jc w:val="both"/>
        <w:rPr>
          <w:rFonts w:ascii="Inter" w:hAnsi="Inter"/>
          <w:sz w:val="21"/>
          <w:lang w:val="es-ES"/>
        </w:rPr>
      </w:pPr>
      <w:r w:rsidRPr="00AF654B">
        <w:rPr>
          <w:rFonts w:ascii="Inter" w:hAnsi="Inter"/>
          <w:color w:val="000000"/>
          <w:sz w:val="21"/>
          <w:lang w:val="es-ES"/>
        </w:rPr>
        <w:t>Eventos de demanda continua, como cine, parques y museos.</w:t>
      </w:r>
    </w:p>
    <w:p w:rsidRPr="00AF654B" w:rsidR="0065570C" w:rsidP="00AF654B" w:rsidRDefault="0065570C" w14:paraId="7F6B708C" w14:textId="765DCD21">
      <w:pPr>
        <w:spacing w:after="140" w:line="270" w:lineRule="auto"/>
        <w:jc w:val="both"/>
        <w:rPr>
          <w:rFonts w:ascii="Inter" w:hAnsi="Inter"/>
          <w:sz w:val="21"/>
          <w:lang w:val="es-ES"/>
        </w:rPr>
      </w:pPr>
      <w:r w:rsidRPr="00AF654B">
        <w:rPr>
          <w:rFonts w:ascii="Inter" w:hAnsi="Inter"/>
          <w:color w:val="000000"/>
          <w:sz w:val="21"/>
          <w:lang w:val="es-ES"/>
        </w:rPr>
        <w:t>TicketRight resuelve para promotores y fans la pérdida de confianza y valor que ocurre cuando el dinero, la boleta y su titular se desincronizan durante una venta de alta demanda. El alcance cubre el ciclo digital del derecho de asistencia y termina antes del control físico en la entrada.</w:t>
      </w:r>
    </w:p>
    <w:p w:rsidRPr="008006A1" w:rsidR="0065570C" w:rsidP="00AF654B" w:rsidRDefault="0065570C" w14:paraId="72BD3237" w14:textId="5F3C59B8">
      <w:pPr>
        <w:pStyle w:val="Ttulo1"/>
        <w:spacing w:before="320" w:after="120"/>
        <w:rPr>
          <w:rFonts w:ascii="Inter" w:hAnsi="Inter"/>
          <w:b/>
          <w:color w:val="1A1A1A"/>
          <w:sz w:val="28"/>
          <w:lang w:val="es-ES"/>
        </w:rPr>
      </w:pPr>
      <w:bookmarkStart w:name="_Toc239897194" w:id="13"/>
      <w:r w:rsidRPr="008006A1">
        <w:rPr>
          <w:rFonts w:ascii="Inter" w:hAnsi="Inter"/>
          <w:b/>
          <w:color w:val="1A1A1A"/>
          <w:sz w:val="28"/>
          <w:lang w:val="es-ES"/>
        </w:rPr>
        <w:t>3. Business Model Canvas</w:t>
      </w:r>
      <w:bookmarkEnd w:id="13"/>
    </w:p>
    <w:p w:rsidRPr="00AF654B" w:rsidR="0065570C" w:rsidP="00AF654B" w:rsidRDefault="0065570C" w14:paraId="382DF79F" w14:textId="5062DACD">
      <w:pPr>
        <w:spacing w:after="140" w:line="270" w:lineRule="auto"/>
        <w:jc w:val="both"/>
        <w:rPr>
          <w:rFonts w:ascii="Inter" w:hAnsi="Inter"/>
          <w:sz w:val="21"/>
          <w:lang w:val="es-ES"/>
        </w:rPr>
      </w:pPr>
      <w:r w:rsidRPr="00AF654B">
        <w:rPr>
          <w:rFonts w:ascii="Inter" w:hAnsi="Inter"/>
          <w:color w:val="000000"/>
          <w:sz w:val="21"/>
          <w:lang w:val="es-ES"/>
        </w:rPr>
        <w:t xml:space="preserve">El Canvas se presenta de forma resumida en la siguiente matriz y se desarrolla en las secciones 3.1 a 3.9. Como adjunto se entrega </w:t>
      </w:r>
      <w:hyperlink w:history="1" r:id="rId20">
        <w:r w:rsidRPr="00AF654B">
          <w:rPr>
            <w:rStyle w:val="Hipervnculo"/>
            <w:rFonts w:ascii="Inter" w:hAnsi="Inter"/>
            <w:sz w:val="21"/>
            <w:lang w:val="es-ES"/>
          </w:rPr>
          <w:t>`canvas-puesto.xlsx`</w:t>
        </w:r>
      </w:hyperlink>
      <w:r w:rsidRPr="00AF654B">
        <w:rPr>
          <w:rFonts w:ascii="Inter" w:hAnsi="Inter"/>
          <w:color w:val="000000"/>
          <w:sz w:val="21"/>
          <w:lang w:val="es-ES"/>
        </w:rPr>
        <w:t>, donde los nueve bloques están expuestos de forma organizada en el formato suministrado.</w:t>
      </w:r>
    </w:p>
    <w:tbl>
      <w:tblPr>
        <w:tblStyle w:val="Tablabsica1"/>
        <w:tblW w:w="5000" w:type="pct"/>
        <w:tblLook w:val="0620" w:firstRow="1" w:lastRow="0" w:firstColumn="0" w:lastColumn="0" w:noHBand="1" w:noVBand="1"/>
      </w:tblPr>
      <w:tblGrid>
        <w:gridCol w:w="3118"/>
        <w:gridCol w:w="3121"/>
        <w:gridCol w:w="3121"/>
      </w:tblGrid>
      <w:tr w:rsidRPr="00AF654B" w:rsidR="0065570C" w:rsidTr="00AF654B" w14:paraId="4AE9465A" w14:textId="77777777">
        <w:trPr>
          <w:cnfStyle w:val="100000000000" w:firstRow="1" w:lastRow="0" w:firstColumn="0" w:lastColumn="0" w:oddVBand="0" w:evenVBand="0" w:oddHBand="0" w:evenHBand="0" w:firstRowFirstColumn="0" w:firstRowLastColumn="0" w:lastRowFirstColumn="0" w:lastRowLastColumn="0"/>
          <w:tblHeader/>
        </w:trPr>
        <w:tc>
          <w:tcPr>
            <w:tcW w:w="1666" w:type="pct"/>
            <w:shd w:val="clear" w:color="F2F2F2" w:fill="F2F2F2"/>
          </w:tcPr>
          <w:p w:rsidRPr="00AF654B" w:rsidR="0065570C" w:rsidP="00AF654B" w:rsidRDefault="0065570C" w14:paraId="38AAB1C5" w14:textId="287FF31E">
            <w:pPr>
              <w:spacing w:after="140" w:line="270" w:lineRule="auto"/>
              <w:rPr>
                <w:rFonts w:ascii="Inter" w:hAnsi="Inter"/>
                <w:b/>
                <w:color w:val="1A1A1A"/>
                <w:sz w:val="18"/>
              </w:rPr>
            </w:pPr>
            <w:r w:rsidRPr="00AF654B">
              <w:rPr>
                <w:rFonts w:ascii="Inter" w:hAnsi="Inter"/>
                <w:b/>
                <w:color w:val="1A1A1A"/>
                <w:sz w:val="18"/>
              </w:rPr>
              <w:t>Bloques 1, 4 y 7</w:t>
            </w:r>
          </w:p>
        </w:tc>
        <w:tc>
          <w:tcPr>
            <w:tcW w:w="1667" w:type="pct"/>
            <w:shd w:val="clear" w:color="F2F2F2" w:fill="F2F2F2"/>
          </w:tcPr>
          <w:p w:rsidRPr="00AF654B" w:rsidR="0065570C" w:rsidP="00AF654B" w:rsidRDefault="0065570C" w14:paraId="0772A032" w14:textId="4F9E8F7A">
            <w:pPr>
              <w:spacing w:after="140" w:line="270" w:lineRule="auto"/>
              <w:rPr>
                <w:rFonts w:ascii="Inter" w:hAnsi="Inter"/>
                <w:b/>
                <w:color w:val="1A1A1A"/>
                <w:sz w:val="18"/>
              </w:rPr>
            </w:pPr>
            <w:r w:rsidRPr="00AF654B">
              <w:rPr>
                <w:rFonts w:ascii="Inter" w:hAnsi="Inter"/>
                <w:b/>
                <w:color w:val="1A1A1A"/>
                <w:sz w:val="18"/>
              </w:rPr>
              <w:t>Bloques 2, 5 y 8</w:t>
            </w:r>
          </w:p>
        </w:tc>
        <w:tc>
          <w:tcPr>
            <w:tcW w:w="1667" w:type="pct"/>
            <w:shd w:val="clear" w:color="F2F2F2" w:fill="F2F2F2"/>
          </w:tcPr>
          <w:p w:rsidRPr="00AF654B" w:rsidR="0065570C" w:rsidP="00AF654B" w:rsidRDefault="0065570C" w14:paraId="53785888" w14:textId="10F32366">
            <w:pPr>
              <w:spacing w:after="140" w:line="270" w:lineRule="auto"/>
              <w:rPr>
                <w:rFonts w:ascii="Inter" w:hAnsi="Inter"/>
                <w:b/>
                <w:color w:val="1A1A1A"/>
                <w:sz w:val="18"/>
              </w:rPr>
            </w:pPr>
            <w:r w:rsidRPr="00AF654B">
              <w:rPr>
                <w:rFonts w:ascii="Inter" w:hAnsi="Inter"/>
                <w:b/>
                <w:color w:val="1A1A1A"/>
                <w:sz w:val="18"/>
              </w:rPr>
              <w:t>Bloques 3, 6 y 9</w:t>
            </w:r>
          </w:p>
        </w:tc>
      </w:tr>
      <w:tr w:rsidRPr="00041110" w:rsidR="0065570C" w:rsidTr="00AF654B" w14:paraId="25EC053A" w14:textId="77777777">
        <w:tc>
          <w:tcPr>
            <w:tcW w:w="1666" w:type="pct"/>
          </w:tcPr>
          <w:p w:rsidRPr="00AF654B" w:rsidR="0065570C" w:rsidP="00AF654B" w:rsidRDefault="0065570C" w14:paraId="723CC894" w14:textId="5AA1BEFE">
            <w:pPr>
              <w:spacing w:after="140" w:line="270" w:lineRule="auto"/>
              <w:rPr>
                <w:rFonts w:ascii="Inter" w:hAnsi="Inter"/>
                <w:b/>
                <w:color w:val="1A1A1A"/>
                <w:sz w:val="18"/>
                <w:lang w:val="es-ES"/>
              </w:rPr>
            </w:pPr>
            <w:r w:rsidRPr="00AF654B">
              <w:rPr>
                <w:rFonts w:ascii="Inter" w:hAnsi="Inter"/>
                <w:b/>
                <w:color w:val="1A1A1A"/>
                <w:sz w:val="18"/>
                <w:lang w:val="es-ES"/>
              </w:rPr>
              <w:t>1. Segmentos de clientes. Promotores de eventos de 3.000 a 40.000 asistentes; fans como usuarios y pagadores del cargo.</w:t>
            </w:r>
          </w:p>
        </w:tc>
        <w:tc>
          <w:tcPr>
            <w:tcW w:w="1667" w:type="pct"/>
          </w:tcPr>
          <w:p w:rsidRPr="00AF654B" w:rsidR="0065570C" w:rsidP="00AF654B" w:rsidRDefault="0065570C" w14:paraId="20E7C676" w14:textId="0A29064B">
            <w:pPr>
              <w:spacing w:after="140" w:line="270" w:lineRule="auto"/>
              <w:rPr>
                <w:rFonts w:ascii="Inter" w:hAnsi="Inter"/>
                <w:b/>
                <w:color w:val="1A1A1A"/>
                <w:sz w:val="18"/>
                <w:lang w:val="es-ES"/>
              </w:rPr>
            </w:pPr>
            <w:r w:rsidRPr="00AF654B">
              <w:rPr>
                <w:rFonts w:ascii="Inter" w:hAnsi="Inter"/>
                <w:b/>
                <w:color w:val="1A1A1A"/>
                <w:sz w:val="18"/>
                <w:lang w:val="es-ES"/>
              </w:rPr>
              <w:t>2. Propuesta de valor. Correspondencia trazable entre dinero, boleta y titular; reventa autorizada y liquidación clara.</w:t>
            </w:r>
          </w:p>
        </w:tc>
        <w:tc>
          <w:tcPr>
            <w:tcW w:w="1667" w:type="pct"/>
          </w:tcPr>
          <w:p w:rsidRPr="00AF654B" w:rsidR="0065570C" w:rsidP="00AF654B" w:rsidRDefault="0065570C" w14:paraId="76B55788" w14:textId="62E333ED">
            <w:pPr>
              <w:spacing w:after="140" w:line="270" w:lineRule="auto"/>
              <w:rPr>
                <w:rFonts w:ascii="Inter" w:hAnsi="Inter"/>
                <w:b/>
                <w:color w:val="1A1A1A"/>
                <w:sz w:val="18"/>
                <w:lang w:val="es-ES"/>
              </w:rPr>
            </w:pPr>
            <w:r w:rsidRPr="00AF654B">
              <w:rPr>
                <w:rFonts w:ascii="Inter" w:hAnsi="Inter"/>
                <w:b/>
                <w:color w:val="1A1A1A"/>
                <w:sz w:val="18"/>
                <w:lang w:val="es-ES"/>
              </w:rPr>
              <w:t>3. Canales. Venta consultiva al promotor; PULEP para prospección; canal oficial del evento para el fan.</w:t>
            </w:r>
          </w:p>
        </w:tc>
      </w:tr>
      <w:tr w:rsidRPr="00041110" w:rsidR="0065570C" w:rsidTr="00AF654B" w14:paraId="0AF9ADE7" w14:textId="77777777">
        <w:tc>
          <w:tcPr>
            <w:tcW w:w="1666" w:type="pct"/>
          </w:tcPr>
          <w:p w:rsidRPr="00AF654B" w:rsidR="0065570C" w:rsidP="00AF654B" w:rsidRDefault="0065570C" w14:paraId="6A914F9E" w14:textId="414BEC48">
            <w:pPr>
              <w:spacing w:after="140" w:line="270" w:lineRule="auto"/>
              <w:rPr>
                <w:rFonts w:ascii="Inter" w:hAnsi="Inter"/>
                <w:b/>
                <w:color w:val="1A1A1A"/>
                <w:sz w:val="18"/>
                <w:lang w:val="es-ES"/>
              </w:rPr>
            </w:pPr>
            <w:r w:rsidRPr="00AF654B">
              <w:rPr>
                <w:rFonts w:ascii="Inter" w:hAnsi="Inter"/>
                <w:b/>
                <w:color w:val="1A1A1A"/>
                <w:sz w:val="18"/>
                <w:lang w:val="es-ES"/>
              </w:rPr>
              <w:t>4. Relaciones con clientes. Relación contractual y continua con el promotor; autoservicio y soporte resolutivo para el fan.</w:t>
            </w:r>
          </w:p>
        </w:tc>
        <w:tc>
          <w:tcPr>
            <w:tcW w:w="1667" w:type="pct"/>
          </w:tcPr>
          <w:p w:rsidRPr="00AF654B" w:rsidR="0065570C" w:rsidP="00AF654B" w:rsidRDefault="0065570C" w14:paraId="63A86086" w14:textId="18B45030">
            <w:pPr>
              <w:spacing w:after="140" w:line="270" w:lineRule="auto"/>
              <w:rPr>
                <w:rFonts w:ascii="Inter" w:hAnsi="Inter"/>
                <w:b/>
                <w:color w:val="1A1A1A"/>
                <w:sz w:val="18"/>
                <w:lang w:val="es-ES"/>
              </w:rPr>
            </w:pPr>
            <w:r w:rsidRPr="00AF654B">
              <w:rPr>
                <w:rFonts w:ascii="Inter" w:hAnsi="Inter"/>
                <w:b/>
                <w:color w:val="1A1A1A"/>
                <w:sz w:val="18"/>
                <w:lang w:val="es-ES"/>
              </w:rPr>
              <w:t>5. Fuentes de ingreso. Cargo por servicio; comisión de reventa; tarifa por evento; datos y reportes; preventa segmentada.</w:t>
            </w:r>
          </w:p>
        </w:tc>
        <w:tc>
          <w:tcPr>
            <w:tcW w:w="1667" w:type="pct"/>
          </w:tcPr>
          <w:p w:rsidRPr="00AF654B" w:rsidR="0065570C" w:rsidP="00AF654B" w:rsidRDefault="0065570C" w14:paraId="4D8BE5BF" w14:textId="58750698">
            <w:pPr>
              <w:spacing w:after="140" w:line="270" w:lineRule="auto"/>
              <w:rPr>
                <w:rFonts w:ascii="Inter" w:hAnsi="Inter"/>
                <w:b/>
                <w:color w:val="1A1A1A"/>
                <w:sz w:val="18"/>
                <w:lang w:val="es-ES"/>
              </w:rPr>
            </w:pPr>
            <w:r w:rsidRPr="00AF654B">
              <w:rPr>
                <w:rFonts w:ascii="Inter" w:hAnsi="Inter"/>
                <w:b/>
                <w:color w:val="1A1A1A"/>
                <w:sz w:val="18"/>
                <w:lang w:val="es-ES"/>
              </w:rPr>
              <w:t>6. Recursos clave. Contratos e inventario; autorización como operador; tecnología; trazabilidad; datos; equipo; liquidez y cuentas de custodia.</w:t>
            </w:r>
          </w:p>
        </w:tc>
      </w:tr>
      <w:tr w:rsidRPr="00041110" w:rsidR="0065570C" w:rsidTr="00AF654B" w14:paraId="22AED722" w14:textId="77777777">
        <w:tc>
          <w:tcPr>
            <w:tcW w:w="1666" w:type="pct"/>
          </w:tcPr>
          <w:p w:rsidRPr="00AF654B" w:rsidR="0065570C" w:rsidP="00AF654B" w:rsidRDefault="0065570C" w14:paraId="27911E68" w14:textId="1C8AE829">
            <w:pPr>
              <w:spacing w:after="140" w:line="270" w:lineRule="auto"/>
              <w:rPr>
                <w:rFonts w:ascii="Inter" w:hAnsi="Inter"/>
                <w:b/>
                <w:color w:val="1A1A1A"/>
                <w:sz w:val="18"/>
                <w:lang w:val="es-ES"/>
              </w:rPr>
            </w:pPr>
            <w:r w:rsidRPr="00AF654B">
              <w:rPr>
                <w:rFonts w:ascii="Inter" w:hAnsi="Inter"/>
                <w:b/>
                <w:color w:val="1A1A1A"/>
                <w:sz w:val="18"/>
                <w:lang w:val="es-ES"/>
              </w:rPr>
              <w:t xml:space="preserve">7. Actividades clave. Adquirir eventos; operar ventas; conciliar </w:t>
            </w:r>
            <w:r w:rsidRPr="00AF654B">
              <w:rPr>
                <w:rFonts w:ascii="Inter" w:hAnsi="Inter"/>
                <w:b/>
                <w:color w:val="1A1A1A"/>
                <w:sz w:val="18"/>
                <w:lang w:val="es-ES"/>
              </w:rPr>
              <w:lastRenderedPageBreak/>
              <w:t>pagos; custodiar boletas y recursos; retener y liquidar la contribución; gestionar reventas y devoluciones.</w:t>
            </w:r>
          </w:p>
        </w:tc>
        <w:tc>
          <w:tcPr>
            <w:tcW w:w="1667" w:type="pct"/>
          </w:tcPr>
          <w:p w:rsidRPr="00AF654B" w:rsidR="0065570C" w:rsidP="00AF654B" w:rsidRDefault="0065570C" w14:paraId="05484B0F" w14:textId="17F938CD">
            <w:pPr>
              <w:spacing w:after="140" w:line="270" w:lineRule="auto"/>
              <w:rPr>
                <w:rFonts w:ascii="Inter" w:hAnsi="Inter"/>
                <w:b/>
                <w:color w:val="1A1A1A"/>
                <w:sz w:val="18"/>
                <w:lang w:val="es-ES"/>
              </w:rPr>
            </w:pPr>
            <w:r w:rsidRPr="00AF654B">
              <w:rPr>
                <w:rFonts w:ascii="Inter" w:hAnsi="Inter"/>
                <w:b/>
                <w:color w:val="1A1A1A"/>
                <w:sz w:val="18"/>
                <w:lang w:val="es-ES"/>
              </w:rPr>
              <w:lastRenderedPageBreak/>
              <w:t xml:space="preserve">8. Socios clave. Promotores; recintos; pasarela; nube; </w:t>
            </w:r>
            <w:r w:rsidRPr="00AF654B">
              <w:rPr>
                <w:rFonts w:ascii="Inter" w:hAnsi="Inter"/>
                <w:b/>
                <w:color w:val="1A1A1A"/>
                <w:sz w:val="18"/>
                <w:lang w:val="es-ES"/>
              </w:rPr>
              <w:lastRenderedPageBreak/>
              <w:t>identidad y notificaciones; control de acceso; artistas y aliados de preventa.</w:t>
            </w:r>
          </w:p>
        </w:tc>
        <w:tc>
          <w:tcPr>
            <w:tcW w:w="1667" w:type="pct"/>
          </w:tcPr>
          <w:p w:rsidRPr="00AF654B" w:rsidR="0065570C" w:rsidP="00AF654B" w:rsidRDefault="0065570C" w14:paraId="417438AB" w14:textId="4F04C406">
            <w:pPr>
              <w:spacing w:after="140" w:line="270" w:lineRule="auto"/>
              <w:rPr>
                <w:rFonts w:ascii="Inter" w:hAnsi="Inter"/>
                <w:b/>
                <w:color w:val="1A1A1A"/>
                <w:sz w:val="18"/>
                <w:lang w:val="es-ES"/>
              </w:rPr>
            </w:pPr>
            <w:r w:rsidRPr="00AF654B">
              <w:rPr>
                <w:rFonts w:ascii="Inter" w:hAnsi="Inter"/>
                <w:b/>
                <w:color w:val="1A1A1A"/>
                <w:sz w:val="18"/>
                <w:lang w:val="es-ES"/>
              </w:rPr>
              <w:lastRenderedPageBreak/>
              <w:t xml:space="preserve">9. Estructura de costos. $7.770 variables por boleta en la base y </w:t>
            </w:r>
            <w:r w:rsidRPr="00AF654B">
              <w:rPr>
                <w:rFonts w:ascii="Inter" w:hAnsi="Inter"/>
                <w:b/>
                <w:color w:val="1A1A1A"/>
                <w:sz w:val="18"/>
                <w:lang w:val="es-ES"/>
              </w:rPr>
              <w:lastRenderedPageBreak/>
              <w:t>$51.882.000 fijos al mes; inversión, devoluciones, contracargos y contingencias por validar.</w:t>
            </w:r>
          </w:p>
        </w:tc>
      </w:tr>
    </w:tbl>
    <w:p w:rsidRPr="00AF654B" w:rsidR="0065570C" w:rsidP="00AF654B" w:rsidRDefault="0065570C" w14:paraId="0E34AC0D" w14:textId="77777777">
      <w:pPr>
        <w:spacing w:after="140" w:line="270" w:lineRule="auto"/>
        <w:rPr>
          <w:rFonts w:ascii="Inter" w:hAnsi="Inter"/>
          <w:sz w:val="21"/>
          <w:lang w:val="es-ES"/>
        </w:rPr>
      </w:pPr>
    </w:p>
    <w:p w:rsidRPr="008006A1" w:rsidR="0065570C" w:rsidP="00AF654B" w:rsidRDefault="0065570C" w14:paraId="44D0378F" w14:textId="02F0378E">
      <w:pPr>
        <w:pStyle w:val="Ttulo2"/>
        <w:spacing w:before="240"/>
        <w:rPr>
          <w:rFonts w:ascii="Inter" w:hAnsi="Inter"/>
          <w:b/>
          <w:color w:val="1A1A1A"/>
          <w:sz w:val="23"/>
          <w:lang w:val="es-ES"/>
        </w:rPr>
      </w:pPr>
      <w:bookmarkStart w:name="_Toc239897195" w:id="14"/>
      <w:r w:rsidRPr="008006A1">
        <w:rPr>
          <w:rFonts w:ascii="Inter" w:hAnsi="Inter"/>
          <w:b/>
          <w:color w:val="1A1A1A"/>
          <w:sz w:val="23"/>
          <w:lang w:val="es-ES"/>
        </w:rPr>
        <w:t>3.1 Segmentos de clientes</w:t>
      </w:r>
      <w:bookmarkEnd w:id="14"/>
    </w:p>
    <w:p w:rsidRPr="00AF654B" w:rsidR="0065570C" w:rsidP="00AF654B" w:rsidRDefault="0065570C" w14:paraId="2F3C13E1" w14:textId="08A7EA7C">
      <w:pPr>
        <w:spacing w:after="140" w:line="270" w:lineRule="auto"/>
        <w:jc w:val="both"/>
        <w:rPr>
          <w:rFonts w:ascii="Inter" w:hAnsi="Inter"/>
          <w:sz w:val="21"/>
          <w:lang w:val="es-ES"/>
        </w:rPr>
      </w:pPr>
      <w:r w:rsidRPr="00AF654B">
        <w:rPr>
          <w:rFonts w:ascii="Inter" w:hAnsi="Inter"/>
          <w:color w:val="000000"/>
          <w:sz w:val="21"/>
          <w:lang w:val="es-ES"/>
        </w:rPr>
        <w:t>El cliente contractual es el promotor, la productora, el festival o el recinto con programación propia. [S] El segmento inicial se concentra en eventos de 3.000 a 40.000 asistentes cuya demanda se acumula en una ventana corta. Los usuarios son fans que compran en el lanzamiento, en grupo o cerca de la fecha del evento.</w:t>
      </w:r>
    </w:p>
    <w:p w:rsidRPr="008006A1" w:rsidR="0065570C" w:rsidP="00AF654B" w:rsidRDefault="0065570C" w14:paraId="72F4FD4B" w14:textId="3BA60837">
      <w:pPr>
        <w:pStyle w:val="Ttulo2"/>
        <w:spacing w:before="240"/>
        <w:rPr>
          <w:rFonts w:ascii="Inter" w:hAnsi="Inter"/>
          <w:b/>
          <w:color w:val="1A1A1A"/>
          <w:sz w:val="23"/>
          <w:lang w:val="es-ES"/>
        </w:rPr>
      </w:pPr>
      <w:bookmarkStart w:name="_Toc239897196" w:id="15"/>
      <w:r w:rsidRPr="008006A1">
        <w:rPr>
          <w:rFonts w:ascii="Inter" w:hAnsi="Inter"/>
          <w:b/>
          <w:color w:val="1A1A1A"/>
          <w:sz w:val="23"/>
          <w:lang w:val="es-ES"/>
        </w:rPr>
        <w:t>3.2 Propuesta de valor</w:t>
      </w:r>
      <w:bookmarkEnd w:id="15"/>
    </w:p>
    <w:p w:rsidRPr="00AF654B" w:rsidR="0065570C" w:rsidP="00AF654B" w:rsidRDefault="0065570C" w14:paraId="747E2D37" w14:textId="4B74AA5F">
      <w:pPr>
        <w:spacing w:after="140" w:line="270" w:lineRule="auto"/>
        <w:jc w:val="both"/>
        <w:rPr>
          <w:rFonts w:ascii="Inter" w:hAnsi="Inter"/>
          <w:sz w:val="21"/>
          <w:lang w:val="es-ES"/>
        </w:rPr>
      </w:pPr>
      <w:r w:rsidRPr="00AF654B">
        <w:rPr>
          <w:rFonts w:ascii="Inter" w:hAnsi="Inter"/>
          <w:color w:val="000000"/>
          <w:sz w:val="21"/>
          <w:lang w:val="es-ES"/>
        </w:rPr>
        <w:t>TicketRight protege la relación entre el dinero y la boleta, incluso cuando un tercero responde tarde o de forma repetida. Para el promotor ofrece control del inventario, liquidación trazable, información autorizada y participación en la reventa. Para el fan ofrece una compra comprensible, una boleta válida y un canal seguro para transferirla o revenderla.</w:t>
      </w:r>
    </w:p>
    <w:p w:rsidRPr="008006A1" w:rsidR="0065570C" w:rsidP="00AF654B" w:rsidRDefault="0065570C" w14:paraId="2F4DE67F" w14:textId="5A9073A5">
      <w:pPr>
        <w:pStyle w:val="Ttulo2"/>
        <w:spacing w:before="240"/>
        <w:rPr>
          <w:rFonts w:ascii="Inter" w:hAnsi="Inter"/>
          <w:b/>
          <w:color w:val="1A1A1A"/>
          <w:sz w:val="23"/>
          <w:lang w:val="es-ES"/>
        </w:rPr>
      </w:pPr>
      <w:bookmarkStart w:name="_Toc239897197" w:id="16"/>
      <w:r w:rsidRPr="008006A1">
        <w:rPr>
          <w:rFonts w:ascii="Inter" w:hAnsi="Inter"/>
          <w:b/>
          <w:color w:val="1A1A1A"/>
          <w:sz w:val="23"/>
          <w:lang w:val="es-ES"/>
        </w:rPr>
        <w:t>3.3 Canales</w:t>
      </w:r>
      <w:bookmarkEnd w:id="16"/>
    </w:p>
    <w:p w:rsidRPr="00AF654B" w:rsidR="0065570C" w:rsidP="00AF654B" w:rsidRDefault="0065570C" w14:paraId="1CE84ECF" w14:textId="5E5C489F">
      <w:pPr>
        <w:spacing w:after="140" w:line="270" w:lineRule="auto"/>
        <w:jc w:val="both"/>
        <w:rPr>
          <w:rFonts w:ascii="Inter" w:hAnsi="Inter"/>
          <w:sz w:val="21"/>
          <w:lang w:val="es-ES"/>
        </w:rPr>
      </w:pPr>
      <w:r w:rsidRPr="00AF654B">
        <w:rPr>
          <w:rFonts w:ascii="Inter" w:hAnsi="Inter"/>
          <w:color w:val="000000"/>
          <w:sz w:val="21"/>
          <w:lang w:val="es-ES"/>
        </w:rPr>
        <w:t>La adquisición de promotores se realiza mediante venta consultiva, prospección a partir del registro PULEP y referencias entre actores del sector. El fan llega a TicketRight mediante el canal oficial comunicado por el promotor, el artista o los aliados de preventa.</w:t>
      </w:r>
    </w:p>
    <w:p w:rsidRPr="008006A1" w:rsidR="0065570C" w:rsidP="00AF654B" w:rsidRDefault="0065570C" w14:paraId="595C7FA2" w14:textId="4C994AE2">
      <w:pPr>
        <w:pStyle w:val="Ttulo2"/>
        <w:spacing w:before="240"/>
        <w:rPr>
          <w:rFonts w:ascii="Inter" w:hAnsi="Inter"/>
          <w:b/>
          <w:color w:val="1A1A1A"/>
          <w:sz w:val="23"/>
          <w:lang w:val="es-ES"/>
        </w:rPr>
      </w:pPr>
      <w:bookmarkStart w:name="_Toc239897198" w:id="17"/>
      <w:r w:rsidRPr="008006A1">
        <w:rPr>
          <w:rFonts w:ascii="Inter" w:hAnsi="Inter"/>
          <w:b/>
          <w:color w:val="1A1A1A"/>
          <w:sz w:val="23"/>
          <w:lang w:val="es-ES"/>
        </w:rPr>
        <w:t>3.4 Relaciones con clientes</w:t>
      </w:r>
      <w:bookmarkEnd w:id="17"/>
    </w:p>
    <w:p w:rsidRPr="00AF654B" w:rsidR="0065570C" w:rsidP="00AF654B" w:rsidRDefault="0065570C" w14:paraId="719B1559" w14:textId="36A18CA0">
      <w:pPr>
        <w:spacing w:after="140" w:line="270" w:lineRule="auto"/>
        <w:jc w:val="both"/>
        <w:rPr>
          <w:rFonts w:ascii="Inter" w:hAnsi="Inter"/>
          <w:sz w:val="21"/>
          <w:lang w:val="es-ES"/>
        </w:rPr>
      </w:pPr>
      <w:r w:rsidRPr="00AF654B">
        <w:rPr>
          <w:rFonts w:ascii="Inter" w:hAnsi="Inter"/>
          <w:color w:val="000000"/>
          <w:sz w:val="21"/>
          <w:lang w:val="es-ES"/>
        </w:rPr>
        <w:t>La relación con el promotor es contractual y continua. Incluye preparación del evento, acompañamiento durante la venta, liquidación y análisis posterior. La relación con el fan se basa en autoservicio, información durante la fila y atención resolutiva cuando existe una disputa.</w:t>
      </w:r>
    </w:p>
    <w:p w:rsidRPr="008006A1" w:rsidR="0065570C" w:rsidP="00AF654B" w:rsidRDefault="0065570C" w14:paraId="0C87835D" w14:textId="45C7329E">
      <w:pPr>
        <w:pStyle w:val="Ttulo2"/>
        <w:spacing w:before="240"/>
        <w:rPr>
          <w:rFonts w:ascii="Inter" w:hAnsi="Inter"/>
          <w:b/>
          <w:color w:val="1A1A1A"/>
          <w:sz w:val="23"/>
          <w:lang w:val="es-ES"/>
        </w:rPr>
      </w:pPr>
      <w:bookmarkStart w:name="_Toc239897199" w:id="18"/>
      <w:r w:rsidRPr="008006A1">
        <w:rPr>
          <w:rFonts w:ascii="Inter" w:hAnsi="Inter"/>
          <w:b/>
          <w:color w:val="1A1A1A"/>
          <w:sz w:val="23"/>
          <w:lang w:val="es-ES"/>
        </w:rPr>
        <w:t>3.5 Fuentes de ingreso</w:t>
      </w:r>
      <w:bookmarkEnd w:id="18"/>
    </w:p>
    <w:p w:rsidRPr="00AF654B" w:rsidR="0065570C" w:rsidP="00AF654B" w:rsidRDefault="0065570C" w14:paraId="0C3391A3" w14:textId="3166C23A">
      <w:pPr>
        <w:spacing w:after="140" w:line="270" w:lineRule="auto"/>
        <w:jc w:val="both"/>
        <w:rPr>
          <w:rFonts w:ascii="Inter" w:hAnsi="Inter"/>
          <w:sz w:val="21"/>
          <w:lang w:val="es-ES"/>
        </w:rPr>
      </w:pPr>
      <w:r w:rsidRPr="00AF654B">
        <w:rPr>
          <w:rFonts w:ascii="Inter" w:hAnsi="Inter"/>
          <w:color w:val="000000"/>
          <w:sz w:val="21"/>
          <w:lang w:val="es-ES"/>
        </w:rPr>
        <w:t>La fuente principal es el cargo por servicio cobrado por cada boleta. Se complementa con comisiones por reventa autorizada, tarifa de plataforma por evento, paquetes de datos y reportes, y campañas de preventa segmentada.</w:t>
      </w:r>
    </w:p>
    <w:p w:rsidRPr="008006A1" w:rsidR="0065570C" w:rsidP="00AF654B" w:rsidRDefault="0065570C" w14:paraId="09617094" w14:textId="7A289908">
      <w:pPr>
        <w:pStyle w:val="Ttulo2"/>
        <w:spacing w:before="240"/>
        <w:rPr>
          <w:rFonts w:ascii="Inter" w:hAnsi="Inter"/>
          <w:b/>
          <w:color w:val="1A1A1A"/>
          <w:sz w:val="23"/>
          <w:lang w:val="es-ES"/>
        </w:rPr>
      </w:pPr>
      <w:bookmarkStart w:name="_Toc239897200" w:id="19"/>
      <w:r w:rsidRPr="008006A1">
        <w:rPr>
          <w:rFonts w:ascii="Inter" w:hAnsi="Inter"/>
          <w:b/>
          <w:color w:val="1A1A1A"/>
          <w:sz w:val="23"/>
          <w:lang w:val="es-ES"/>
        </w:rPr>
        <w:t>3.6 Recursos clave</w:t>
      </w:r>
      <w:bookmarkEnd w:id="19"/>
    </w:p>
    <w:p w:rsidRPr="00AF654B" w:rsidR="0065570C" w:rsidP="00AF654B" w:rsidRDefault="0065570C" w14:paraId="12C66156" w14:textId="294E3A61">
      <w:pPr>
        <w:spacing w:after="140" w:line="270" w:lineRule="auto"/>
        <w:jc w:val="both"/>
        <w:rPr>
          <w:rFonts w:ascii="Inter" w:hAnsi="Inter"/>
          <w:sz w:val="21"/>
          <w:lang w:val="es-ES"/>
        </w:rPr>
      </w:pPr>
      <w:r w:rsidRPr="00AF654B">
        <w:rPr>
          <w:rFonts w:ascii="Inter" w:hAnsi="Inter"/>
          <w:color w:val="000000"/>
          <w:sz w:val="21"/>
          <w:lang w:val="es-ES"/>
        </w:rPr>
        <w:t>Los recursos principales son los contratos con promotores, el inventario de boletas, la marca de confianza, la capacidad tecnológica para atender el pico, el registro reconstruible de cada venta, los datos autorizados y el personal de operación. También son recursos centrales la autorización vigente como operador y la capacidad financiera para custodiar y separar los recursos. En el evento tipo se recaudan $1.854,4 millones, de los cuales $1.672 millones pertenecen al promotor y al Estado. Además, el inicio exige entre $317,1 y $530,4 millones de capital propio para T0 y la reserva inicial.</w:t>
      </w:r>
    </w:p>
    <w:p w:rsidRPr="008006A1" w:rsidR="0065570C" w:rsidP="00AF654B" w:rsidRDefault="0065570C" w14:paraId="74C52D8E" w14:textId="4B718DFB">
      <w:pPr>
        <w:pStyle w:val="Ttulo2"/>
        <w:spacing w:before="240"/>
        <w:rPr>
          <w:rFonts w:ascii="Inter" w:hAnsi="Inter"/>
          <w:b/>
          <w:color w:val="1A1A1A"/>
          <w:sz w:val="23"/>
          <w:lang w:val="es-ES"/>
        </w:rPr>
      </w:pPr>
      <w:bookmarkStart w:name="_Toc239897201" w:id="20"/>
      <w:r w:rsidRPr="008006A1">
        <w:rPr>
          <w:rFonts w:ascii="Inter" w:hAnsi="Inter"/>
          <w:b/>
          <w:color w:val="1A1A1A"/>
          <w:sz w:val="23"/>
          <w:lang w:val="es-ES"/>
        </w:rPr>
        <w:lastRenderedPageBreak/>
        <w:t>3.7 Actividades clave</w:t>
      </w:r>
      <w:bookmarkEnd w:id="20"/>
    </w:p>
    <w:p w:rsidRPr="00AF654B" w:rsidR="0065570C" w:rsidP="00AF654B" w:rsidRDefault="0065570C" w14:paraId="3F6D1AEB" w14:textId="5E56AFFE">
      <w:pPr>
        <w:spacing w:after="140" w:line="270" w:lineRule="auto"/>
        <w:jc w:val="both"/>
        <w:rPr>
          <w:rFonts w:ascii="Inter" w:hAnsi="Inter"/>
          <w:sz w:val="21"/>
          <w:lang w:val="es-ES"/>
        </w:rPr>
      </w:pPr>
      <w:r w:rsidRPr="00AF654B">
        <w:rPr>
          <w:rFonts w:ascii="Inter" w:hAnsi="Inter"/>
          <w:color w:val="000000"/>
          <w:sz w:val="21"/>
          <w:lang w:val="es-ES"/>
        </w:rPr>
        <w:t>Las actividades principales son adquirir y retener promotores, administrar aforo e inventario, operar las ventanas de venta, conciliar pagos, emitir y custodiar boletas, gestionar transferencias y devoluciones, liquidar recursos y producir información útil para el promotor. La operación financiera incluye conciliar diariamente los recaudos, retener la contribución parafiscal, presentar su declaración mensual como agente de retención y mantener trazabilidad entre las cuentas de custodia y cada evento.</w:t>
      </w:r>
    </w:p>
    <w:p w:rsidRPr="008006A1" w:rsidR="0065570C" w:rsidP="00AF654B" w:rsidRDefault="0065570C" w14:paraId="30297534" w14:textId="41822847">
      <w:pPr>
        <w:pStyle w:val="Ttulo2"/>
        <w:spacing w:before="240"/>
        <w:rPr>
          <w:rFonts w:ascii="Inter" w:hAnsi="Inter"/>
          <w:b/>
          <w:color w:val="1A1A1A"/>
          <w:sz w:val="23"/>
          <w:lang w:val="es-ES"/>
        </w:rPr>
      </w:pPr>
      <w:bookmarkStart w:name="_Toc239897202" w:id="21"/>
      <w:r w:rsidRPr="008006A1">
        <w:rPr>
          <w:rFonts w:ascii="Inter" w:hAnsi="Inter"/>
          <w:b/>
          <w:color w:val="1A1A1A"/>
          <w:sz w:val="23"/>
          <w:lang w:val="es-ES"/>
        </w:rPr>
        <w:t>3.8 Socios clave</w:t>
      </w:r>
      <w:bookmarkEnd w:id="21"/>
    </w:p>
    <w:p w:rsidRPr="00AF654B" w:rsidR="0065570C" w:rsidP="00AF654B" w:rsidRDefault="0065570C" w14:paraId="4DBE4BFB" w14:textId="76FFF3E9">
      <w:pPr>
        <w:spacing w:after="140" w:line="270" w:lineRule="auto"/>
        <w:jc w:val="both"/>
        <w:rPr>
          <w:rFonts w:ascii="Inter" w:hAnsi="Inter"/>
          <w:sz w:val="21"/>
          <w:lang w:val="es-ES"/>
        </w:rPr>
      </w:pPr>
      <w:r w:rsidRPr="00AF654B">
        <w:rPr>
          <w:rFonts w:ascii="Inter" w:hAnsi="Inter"/>
          <w:color w:val="000000"/>
          <w:sz w:val="21"/>
          <w:lang w:val="es-ES"/>
        </w:rPr>
        <w:t>Los socios principales son los promotores, los recintos, la pasarela de pagos, el proveedor de infraestructura, los servicios de identidad y notificación, los operadores de control de acceso, los artistas y los aliados de preventa. Las autoridades son organismos de registro y control, no socios comerciales.</w:t>
      </w:r>
    </w:p>
    <w:p w:rsidRPr="008006A1" w:rsidR="0065570C" w:rsidP="00AF654B" w:rsidRDefault="0065570C" w14:paraId="47192CC2" w14:textId="2BD6F222">
      <w:pPr>
        <w:pStyle w:val="Ttulo2"/>
        <w:spacing w:before="240"/>
        <w:rPr>
          <w:rFonts w:ascii="Inter" w:hAnsi="Inter"/>
          <w:b/>
          <w:color w:val="1A1A1A"/>
          <w:sz w:val="23"/>
          <w:lang w:val="es-ES"/>
        </w:rPr>
      </w:pPr>
      <w:bookmarkStart w:name="_Toc239897203" w:id="22"/>
      <w:r w:rsidRPr="008006A1">
        <w:rPr>
          <w:rFonts w:ascii="Inter" w:hAnsi="Inter"/>
          <w:b/>
          <w:color w:val="1A1A1A"/>
          <w:sz w:val="23"/>
          <w:lang w:val="es-ES"/>
        </w:rPr>
        <w:t>3.9 Estructura de costos</w:t>
      </w:r>
      <w:bookmarkEnd w:id="22"/>
    </w:p>
    <w:p w:rsidRPr="00AF654B" w:rsidR="0065570C" w:rsidP="00AF654B" w:rsidRDefault="0065570C" w14:paraId="428BF126" w14:textId="4A4EC0BD">
      <w:pPr>
        <w:spacing w:after="140" w:line="270" w:lineRule="auto"/>
        <w:jc w:val="both"/>
        <w:rPr>
          <w:rFonts w:ascii="Inter" w:hAnsi="Inter"/>
          <w:sz w:val="21"/>
          <w:lang w:val="es-ES"/>
        </w:rPr>
      </w:pPr>
      <w:r w:rsidRPr="00AF654B">
        <w:rPr>
          <w:rFonts w:ascii="Inter" w:hAnsi="Inter"/>
          <w:color w:val="000000"/>
          <w:sz w:val="21"/>
          <w:lang w:val="es-ES"/>
        </w:rPr>
        <w:t>La sección 4 cuantifica esta estructura. En el escenario base, cada boleta vendida genera $7.770 de costo variable: $7.166 de pasarela y $604 de infraestructura, mensajes, verificación, notificaciones y soporte. Los costos fijos iniciales son $51.882.000 al mes, de los cuales $42.582.000 corresponden a cuatro personas. La inversión inicial, los contracargos, las comisiones no recuperables ante devoluciones y la contingencia por cancelación se mantienen separados hasta validar sus inductores. La adquisición comercial de $5.000.000 mensuales equivale a un CAC supuesto de $6.000.000 por cada uno de los diez promotores captados durante el año.</w:t>
      </w:r>
    </w:p>
    <w:p w:rsidRPr="008006A1" w:rsidR="0065570C" w:rsidP="00AF654B" w:rsidRDefault="0065570C" w14:paraId="4EC7B7FA" w14:textId="5EE9CEE1">
      <w:pPr>
        <w:pStyle w:val="Ttulo2"/>
        <w:spacing w:before="240"/>
        <w:rPr>
          <w:rFonts w:ascii="Inter" w:hAnsi="Inter"/>
          <w:b/>
          <w:color w:val="1A1A1A"/>
          <w:sz w:val="23"/>
          <w:lang w:val="es-ES"/>
        </w:rPr>
      </w:pPr>
      <w:bookmarkStart w:name="_Toc239897204" w:id="23"/>
      <w:r w:rsidRPr="008006A1">
        <w:rPr>
          <w:rFonts w:ascii="Inter" w:hAnsi="Inter"/>
          <w:b/>
          <w:color w:val="1A1A1A"/>
          <w:sz w:val="23"/>
          <w:lang w:val="es-ES"/>
        </w:rPr>
        <w:t>3.10 Coherencia del Canvas</w:t>
      </w:r>
      <w:bookmarkEnd w:id="23"/>
    </w:p>
    <w:p w:rsidRPr="00AF654B" w:rsidR="0065570C" w:rsidP="00AF654B" w:rsidRDefault="0065570C" w14:paraId="3CAC02DD" w14:textId="6A198893">
      <w:pPr>
        <w:spacing w:after="140" w:line="270" w:lineRule="auto"/>
        <w:jc w:val="both"/>
        <w:rPr>
          <w:rFonts w:ascii="Inter" w:hAnsi="Inter"/>
          <w:sz w:val="21"/>
          <w:lang w:val="es-ES"/>
        </w:rPr>
      </w:pPr>
      <w:r w:rsidRPr="00AF654B">
        <w:rPr>
          <w:rFonts w:ascii="Inter" w:hAnsi="Inter"/>
          <w:color w:val="000000"/>
          <w:sz w:val="21"/>
          <w:lang w:val="es-ES"/>
        </w:rPr>
        <w:t xml:space="preserve">El promotor aporta el inventario y asume el impacto de una venta fallida. TicketRight le ofrece confianza, trazabilidad y nuevas fuentes de valor. La empresa llega al promotor por venta B2B y cobra principalmente por cada boleta vendida. Para cumplir esa promesa necesita conciliar pagos, custodiar inventario y recursos, administrar el ciclo completo de la boleta y cumplir la retención parafiscal. Estas actividades explican los recursos, socios y costos descritos en el modelo financiero. Esta relación aplica el principio del curso según el cual las </w:t>
      </w:r>
      <w:r w:rsidRPr="00207FDE">
        <w:rPr>
          <w:rFonts w:ascii="Inter" w:hAnsi="Inter"/>
          <w:color w:val="000000"/>
          <w:sz w:val="21"/>
          <w:lang w:val="es-ES"/>
        </w:rPr>
        <w:t>capacidades se conectan con procesos</w:t>
      </w:r>
      <w:r w:rsidRPr="00AF654B">
        <w:rPr>
          <w:rFonts w:ascii="Inter" w:hAnsi="Inter"/>
          <w:color w:val="000000"/>
          <w:sz w:val="21"/>
          <w:lang w:val="es-ES"/>
        </w:rPr>
        <w:t>, en vez de presentar cada bloque como una lista independiente.</w:t>
      </w:r>
    </w:p>
    <w:p w:rsidRPr="008006A1" w:rsidR="0065570C" w:rsidP="00AF654B" w:rsidRDefault="0065570C" w14:paraId="2986F06B" w14:textId="38C2072C">
      <w:pPr>
        <w:pStyle w:val="Ttulo1"/>
        <w:spacing w:before="320" w:after="120"/>
        <w:rPr>
          <w:rFonts w:ascii="Inter" w:hAnsi="Inter"/>
          <w:b/>
          <w:color w:val="1A1A1A"/>
          <w:sz w:val="28"/>
          <w:lang w:val="es-ES"/>
        </w:rPr>
      </w:pPr>
      <w:bookmarkStart w:name="_Toc239897205" w:id="24"/>
      <w:r w:rsidRPr="008006A1">
        <w:rPr>
          <w:rFonts w:ascii="Inter" w:hAnsi="Inter"/>
          <w:b/>
          <w:color w:val="1A1A1A"/>
          <w:sz w:val="28"/>
          <w:lang w:val="es-ES"/>
        </w:rPr>
        <w:t>4. Modelo de ingresos, costos y viabilidad</w:t>
      </w:r>
      <w:bookmarkEnd w:id="24"/>
    </w:p>
    <w:p w:rsidRPr="008006A1" w:rsidR="0065570C" w:rsidP="00AF654B" w:rsidRDefault="0065570C" w14:paraId="5B73E89C" w14:textId="08AF89EF">
      <w:pPr>
        <w:pStyle w:val="Ttulo2"/>
        <w:spacing w:before="240"/>
        <w:rPr>
          <w:rFonts w:ascii="Inter" w:hAnsi="Inter"/>
          <w:b/>
          <w:color w:val="1A1A1A"/>
          <w:sz w:val="23"/>
          <w:lang w:val="es-ES"/>
        </w:rPr>
      </w:pPr>
      <w:bookmarkStart w:name="_Toc239897206" w:id="25"/>
      <w:r w:rsidRPr="008006A1">
        <w:rPr>
          <w:rFonts w:ascii="Inter" w:hAnsi="Inter"/>
          <w:b/>
          <w:color w:val="1A1A1A"/>
          <w:sz w:val="23"/>
          <w:lang w:val="es-ES"/>
        </w:rPr>
        <w:t>4.1 Unidad económica</w:t>
      </w:r>
      <w:bookmarkEnd w:id="25"/>
    </w:p>
    <w:p w:rsidRPr="00AF654B" w:rsidR="0065570C" w:rsidP="00AF654B" w:rsidRDefault="0065570C" w14:paraId="4EF4AFE8" w14:textId="3F33DA2E">
      <w:pPr>
        <w:spacing w:after="140" w:line="270" w:lineRule="auto"/>
        <w:jc w:val="both"/>
        <w:rPr>
          <w:rFonts w:ascii="Inter" w:hAnsi="Inter"/>
          <w:sz w:val="21"/>
        </w:rPr>
      </w:pPr>
      <w:r w:rsidRPr="00AF654B">
        <w:rPr>
          <w:rFonts w:ascii="Inter" w:hAnsi="Inter"/>
          <w:color w:val="000000"/>
          <w:sz w:val="21"/>
          <w:lang w:val="es-ES"/>
        </w:rPr>
        <w:t xml:space="preserve">[S] El evento tipo tiene 8.000 puestos, una boleta promedio de $200.000 y una venta del 95% del aforo. </w:t>
      </w:r>
      <w:r w:rsidRPr="00AF654B">
        <w:rPr>
          <w:rFonts w:ascii="Inter" w:hAnsi="Inter"/>
          <w:color w:val="000000"/>
          <w:sz w:val="21"/>
        </w:rPr>
        <w:t>Esto equivale a 7.600 boletas vendidas por evento.</w:t>
      </w:r>
    </w:p>
    <w:tbl>
      <w:tblPr>
        <w:tblStyle w:val="Tablabsica1"/>
        <w:tblW w:w="5000" w:type="pct"/>
        <w:tblLook w:val="0620" w:firstRow="1" w:lastRow="0" w:firstColumn="0" w:lastColumn="0" w:noHBand="1" w:noVBand="1"/>
      </w:tblPr>
      <w:tblGrid>
        <w:gridCol w:w="2340"/>
        <w:gridCol w:w="2340"/>
        <w:gridCol w:w="2340"/>
        <w:gridCol w:w="2340"/>
      </w:tblGrid>
      <w:tr w:rsidRPr="00AF654B" w:rsidR="0065570C" w:rsidTr="00AF654B" w14:paraId="7797E83D" w14:textId="77777777">
        <w:trPr>
          <w:cnfStyle w:val="100000000000" w:firstRow="1" w:lastRow="0" w:firstColumn="0" w:lastColumn="0" w:oddVBand="0" w:evenVBand="0" w:oddHBand="0" w:evenHBand="0" w:firstRowFirstColumn="0" w:firstRowLastColumn="0" w:lastRowFirstColumn="0" w:lastRowLastColumn="0"/>
          <w:tblHeader/>
        </w:trPr>
        <w:tc>
          <w:tcPr>
            <w:tcW w:w="1250" w:type="pct"/>
            <w:shd w:val="clear" w:color="F2F2F2" w:fill="F2F2F2"/>
          </w:tcPr>
          <w:p w:rsidRPr="00AF654B" w:rsidR="0065570C" w:rsidP="00AF654B" w:rsidRDefault="0065570C" w14:paraId="06B23F7B" w14:textId="57737623">
            <w:pPr>
              <w:spacing w:after="140" w:line="270" w:lineRule="auto"/>
              <w:rPr>
                <w:rFonts w:ascii="Inter" w:hAnsi="Inter"/>
                <w:b/>
                <w:color w:val="1A1A1A"/>
                <w:sz w:val="18"/>
              </w:rPr>
            </w:pPr>
            <w:r w:rsidRPr="00AF654B">
              <w:rPr>
                <w:rFonts w:ascii="Inter" w:hAnsi="Inter"/>
                <w:b/>
                <w:color w:val="1A1A1A"/>
                <w:sz w:val="18"/>
              </w:rPr>
              <w:t>Componente del pago</w:t>
            </w:r>
          </w:p>
        </w:tc>
        <w:tc>
          <w:tcPr>
            <w:tcW w:w="1250" w:type="pct"/>
            <w:shd w:val="clear" w:color="F2F2F2" w:fill="F2F2F2"/>
          </w:tcPr>
          <w:p w:rsidRPr="00AF654B" w:rsidR="0065570C" w:rsidP="00AF654B" w:rsidRDefault="0065570C" w14:paraId="7F39F772" w14:textId="0387FC67">
            <w:pPr>
              <w:spacing w:after="140" w:line="270" w:lineRule="auto"/>
              <w:rPr>
                <w:rFonts w:ascii="Inter" w:hAnsi="Inter"/>
                <w:b/>
                <w:color w:val="1A1A1A"/>
                <w:sz w:val="18"/>
              </w:rPr>
            </w:pPr>
            <w:r w:rsidRPr="00AF654B">
              <w:rPr>
                <w:rFonts w:ascii="Inter" w:hAnsi="Inter"/>
                <w:b/>
                <w:color w:val="1A1A1A"/>
                <w:sz w:val="18"/>
              </w:rPr>
              <w:t>Destinatario</w:t>
            </w:r>
          </w:p>
        </w:tc>
        <w:tc>
          <w:tcPr>
            <w:tcW w:w="1250" w:type="pct"/>
            <w:shd w:val="clear" w:color="F2F2F2" w:fill="F2F2F2"/>
          </w:tcPr>
          <w:p w:rsidRPr="00AF654B" w:rsidR="0065570C" w:rsidP="00AF654B" w:rsidRDefault="0065570C" w14:paraId="6DD6BF3B" w14:textId="12EAAD2C">
            <w:pPr>
              <w:spacing w:after="140" w:line="270" w:lineRule="auto"/>
              <w:rPr>
                <w:rFonts w:ascii="Inter" w:hAnsi="Inter"/>
                <w:b/>
                <w:color w:val="1A1A1A"/>
                <w:sz w:val="18"/>
              </w:rPr>
            </w:pPr>
            <w:r w:rsidRPr="00AF654B">
              <w:rPr>
                <w:rFonts w:ascii="Inter" w:hAnsi="Inter"/>
                <w:b/>
                <w:color w:val="1A1A1A"/>
                <w:sz w:val="18"/>
              </w:rPr>
              <w:t>Valor por boleta</w:t>
            </w:r>
          </w:p>
        </w:tc>
        <w:tc>
          <w:tcPr>
            <w:tcW w:w="1250" w:type="pct"/>
            <w:shd w:val="clear" w:color="F2F2F2" w:fill="F2F2F2"/>
          </w:tcPr>
          <w:p w:rsidRPr="00AF654B" w:rsidR="0065570C" w:rsidP="00AF654B" w:rsidRDefault="0065570C" w14:paraId="62732D26" w14:textId="50023BD6">
            <w:pPr>
              <w:spacing w:after="140" w:line="270" w:lineRule="auto"/>
              <w:rPr>
                <w:rFonts w:ascii="Inter" w:hAnsi="Inter"/>
                <w:b/>
                <w:color w:val="1A1A1A"/>
                <w:sz w:val="18"/>
              </w:rPr>
            </w:pPr>
            <w:r w:rsidRPr="00AF654B">
              <w:rPr>
                <w:rFonts w:ascii="Inter" w:hAnsi="Inter"/>
                <w:b/>
                <w:color w:val="1A1A1A"/>
                <w:sz w:val="18"/>
              </w:rPr>
              <w:t>Estado</w:t>
            </w:r>
          </w:p>
        </w:tc>
      </w:tr>
      <w:tr w:rsidRPr="00AF654B" w:rsidR="0065570C" w:rsidTr="00AF654B" w14:paraId="07CEF9AD" w14:textId="77777777">
        <w:tc>
          <w:tcPr>
            <w:tcW w:w="1250" w:type="pct"/>
          </w:tcPr>
          <w:p w:rsidRPr="00AF654B" w:rsidR="0065570C" w:rsidP="00AF654B" w:rsidRDefault="0065570C" w14:paraId="19B55969" w14:textId="00BE6C32">
            <w:pPr>
              <w:spacing w:after="140" w:line="270" w:lineRule="auto"/>
              <w:rPr>
                <w:rFonts w:ascii="Inter" w:hAnsi="Inter"/>
                <w:color w:val="1A1A1A"/>
                <w:sz w:val="18"/>
              </w:rPr>
            </w:pPr>
            <w:r w:rsidRPr="00AF654B">
              <w:rPr>
                <w:rFonts w:ascii="Inter" w:hAnsi="Inter"/>
                <w:color w:val="1A1A1A"/>
                <w:sz w:val="18"/>
              </w:rPr>
              <w:t>Valor de la boleta</w:t>
            </w:r>
          </w:p>
        </w:tc>
        <w:tc>
          <w:tcPr>
            <w:tcW w:w="1250" w:type="pct"/>
          </w:tcPr>
          <w:p w:rsidRPr="00AF654B" w:rsidR="0065570C" w:rsidP="00AF654B" w:rsidRDefault="0065570C" w14:paraId="5D33BE53" w14:textId="24495969">
            <w:pPr>
              <w:spacing w:after="140" w:line="270" w:lineRule="auto"/>
              <w:rPr>
                <w:rFonts w:ascii="Inter" w:hAnsi="Inter"/>
                <w:color w:val="1A1A1A"/>
                <w:sz w:val="18"/>
              </w:rPr>
            </w:pPr>
            <w:r w:rsidRPr="00AF654B">
              <w:rPr>
                <w:rFonts w:ascii="Inter" w:hAnsi="Inter"/>
                <w:color w:val="1A1A1A"/>
                <w:sz w:val="18"/>
              </w:rPr>
              <w:t>Promotor</w:t>
            </w:r>
          </w:p>
        </w:tc>
        <w:tc>
          <w:tcPr>
            <w:tcW w:w="1250" w:type="pct"/>
          </w:tcPr>
          <w:p w:rsidRPr="00AF654B" w:rsidR="0065570C" w:rsidP="00AF654B" w:rsidRDefault="0065570C" w14:paraId="2519644D" w14:textId="2CF7E12C">
            <w:pPr>
              <w:spacing w:after="140" w:line="270" w:lineRule="auto"/>
              <w:jc w:val="right"/>
              <w:rPr>
                <w:rFonts w:ascii="Inter" w:hAnsi="Inter"/>
                <w:color w:val="1A1A1A"/>
                <w:sz w:val="18"/>
              </w:rPr>
            </w:pPr>
            <w:r w:rsidRPr="00AF654B">
              <w:rPr>
                <w:rFonts w:ascii="Inter" w:hAnsi="Inter"/>
                <w:color w:val="1A1A1A"/>
                <w:sz w:val="18"/>
              </w:rPr>
              <w:t>$200.000</w:t>
            </w:r>
          </w:p>
        </w:tc>
        <w:tc>
          <w:tcPr>
            <w:tcW w:w="1250" w:type="pct"/>
          </w:tcPr>
          <w:p w:rsidRPr="00AF654B" w:rsidR="0065570C" w:rsidP="00AF654B" w:rsidRDefault="0065570C" w14:paraId="5A2991E6" w14:textId="3C8613AA">
            <w:pPr>
              <w:spacing w:after="140" w:line="270" w:lineRule="auto"/>
              <w:rPr>
                <w:rFonts w:ascii="Inter" w:hAnsi="Inter"/>
                <w:color w:val="1A1A1A"/>
                <w:sz w:val="18"/>
              </w:rPr>
            </w:pPr>
            <w:r w:rsidRPr="00AF654B">
              <w:rPr>
                <w:rFonts w:ascii="Inter" w:hAnsi="Inter"/>
                <w:color w:val="1A1A1A"/>
                <w:sz w:val="18"/>
              </w:rPr>
              <w:t>[S]</w:t>
            </w:r>
          </w:p>
        </w:tc>
      </w:tr>
      <w:tr w:rsidRPr="00AF654B" w:rsidR="0065570C" w:rsidTr="00AF654B" w14:paraId="574E0D46" w14:textId="77777777">
        <w:tc>
          <w:tcPr>
            <w:tcW w:w="1250" w:type="pct"/>
          </w:tcPr>
          <w:p w:rsidRPr="00AF654B" w:rsidR="0065570C" w:rsidP="00AF654B" w:rsidRDefault="0065570C" w14:paraId="2A4D2283" w14:textId="7EAD2534">
            <w:pPr>
              <w:spacing w:after="140" w:line="270" w:lineRule="auto"/>
              <w:rPr>
                <w:rFonts w:ascii="Inter" w:hAnsi="Inter"/>
                <w:color w:val="1A1A1A"/>
                <w:sz w:val="18"/>
              </w:rPr>
            </w:pPr>
            <w:r w:rsidRPr="00AF654B">
              <w:rPr>
                <w:rFonts w:ascii="Inter" w:hAnsi="Inter"/>
                <w:color w:val="1A1A1A"/>
                <w:sz w:val="18"/>
              </w:rPr>
              <w:lastRenderedPageBreak/>
              <w:t>Cargo por servicio de 12%</w:t>
            </w:r>
          </w:p>
        </w:tc>
        <w:tc>
          <w:tcPr>
            <w:tcW w:w="1250" w:type="pct"/>
          </w:tcPr>
          <w:p w:rsidRPr="00AF654B" w:rsidR="0065570C" w:rsidP="00AF654B" w:rsidRDefault="0065570C" w14:paraId="6C31CC0F" w14:textId="53792623">
            <w:pPr>
              <w:spacing w:after="140" w:line="270" w:lineRule="auto"/>
              <w:rPr>
                <w:rFonts w:ascii="Inter" w:hAnsi="Inter"/>
                <w:color w:val="1A1A1A"/>
                <w:sz w:val="18"/>
              </w:rPr>
            </w:pPr>
            <w:r w:rsidRPr="00AF654B">
              <w:rPr>
                <w:rFonts w:ascii="Inter" w:hAnsi="Inter"/>
                <w:color w:val="1A1A1A"/>
                <w:sz w:val="18"/>
              </w:rPr>
              <w:t>TicketRight</w:t>
            </w:r>
          </w:p>
        </w:tc>
        <w:tc>
          <w:tcPr>
            <w:tcW w:w="1250" w:type="pct"/>
          </w:tcPr>
          <w:p w:rsidRPr="00AF654B" w:rsidR="0065570C" w:rsidP="00AF654B" w:rsidRDefault="0065570C" w14:paraId="4D6E5ECC" w14:textId="69B8FC6E">
            <w:pPr>
              <w:spacing w:after="140" w:line="270" w:lineRule="auto"/>
              <w:jc w:val="right"/>
              <w:rPr>
                <w:rFonts w:ascii="Inter" w:hAnsi="Inter"/>
                <w:color w:val="1A1A1A"/>
                <w:sz w:val="18"/>
              </w:rPr>
            </w:pPr>
            <w:r w:rsidRPr="00AF654B">
              <w:rPr>
                <w:rFonts w:ascii="Inter" w:hAnsi="Inter"/>
                <w:color w:val="1A1A1A"/>
                <w:sz w:val="18"/>
              </w:rPr>
              <w:t>$24.000</w:t>
            </w:r>
          </w:p>
        </w:tc>
        <w:tc>
          <w:tcPr>
            <w:tcW w:w="1250" w:type="pct"/>
          </w:tcPr>
          <w:p w:rsidRPr="00AF654B" w:rsidR="0065570C" w:rsidP="00AF654B" w:rsidRDefault="0065570C" w14:paraId="1E37A1FC" w14:textId="78B9017E">
            <w:pPr>
              <w:spacing w:after="140" w:line="270" w:lineRule="auto"/>
              <w:rPr>
                <w:rFonts w:ascii="Inter" w:hAnsi="Inter"/>
                <w:color w:val="1A1A1A"/>
                <w:sz w:val="18"/>
              </w:rPr>
            </w:pPr>
            <w:r w:rsidRPr="00AF654B">
              <w:rPr>
                <w:rFonts w:ascii="Inter" w:hAnsi="Inter"/>
                <w:color w:val="1A1A1A"/>
                <w:sz w:val="18"/>
              </w:rPr>
              <w:t>[S]</w:t>
            </w:r>
          </w:p>
        </w:tc>
      </w:tr>
      <w:tr w:rsidRPr="00041110" w:rsidR="0065570C" w:rsidTr="00AF654B" w14:paraId="206D5A08" w14:textId="77777777">
        <w:tc>
          <w:tcPr>
            <w:tcW w:w="1250" w:type="pct"/>
          </w:tcPr>
          <w:p w:rsidRPr="00AF654B" w:rsidR="0065570C" w:rsidP="00AF654B" w:rsidRDefault="0065570C" w14:paraId="68601044" w14:textId="6C7B3070">
            <w:pPr>
              <w:spacing w:after="140" w:line="270" w:lineRule="auto"/>
              <w:rPr>
                <w:rFonts w:ascii="Inter" w:hAnsi="Inter"/>
                <w:color w:val="1A1A1A"/>
                <w:sz w:val="18"/>
              </w:rPr>
            </w:pPr>
            <w:r w:rsidRPr="00AF654B">
              <w:rPr>
                <w:rFonts w:ascii="Inter" w:hAnsi="Inter"/>
                <w:color w:val="1A1A1A"/>
                <w:sz w:val="18"/>
              </w:rPr>
              <w:t>Contribución parafiscal de 10%</w:t>
            </w:r>
          </w:p>
        </w:tc>
        <w:tc>
          <w:tcPr>
            <w:tcW w:w="1250" w:type="pct"/>
          </w:tcPr>
          <w:p w:rsidRPr="00AF654B" w:rsidR="0065570C" w:rsidP="00AF654B" w:rsidRDefault="0065570C" w14:paraId="485CF8BD" w14:textId="4CFE27A8">
            <w:pPr>
              <w:spacing w:after="140" w:line="270" w:lineRule="auto"/>
              <w:rPr>
                <w:rFonts w:ascii="Inter" w:hAnsi="Inter"/>
                <w:color w:val="1A1A1A"/>
                <w:sz w:val="18"/>
              </w:rPr>
            </w:pPr>
            <w:r w:rsidRPr="00AF654B">
              <w:rPr>
                <w:rFonts w:ascii="Inter" w:hAnsi="Inter"/>
                <w:color w:val="1A1A1A"/>
                <w:sz w:val="18"/>
              </w:rPr>
              <w:t>Estado</w:t>
            </w:r>
          </w:p>
        </w:tc>
        <w:tc>
          <w:tcPr>
            <w:tcW w:w="1250" w:type="pct"/>
          </w:tcPr>
          <w:p w:rsidRPr="00AF654B" w:rsidR="0065570C" w:rsidP="00AF654B" w:rsidRDefault="0065570C" w14:paraId="31BF440D" w14:textId="4D443252">
            <w:pPr>
              <w:spacing w:after="140" w:line="270" w:lineRule="auto"/>
              <w:jc w:val="right"/>
              <w:rPr>
                <w:rFonts w:ascii="Inter" w:hAnsi="Inter"/>
                <w:color w:val="1A1A1A"/>
                <w:sz w:val="18"/>
              </w:rPr>
            </w:pPr>
            <w:r w:rsidRPr="00AF654B">
              <w:rPr>
                <w:rFonts w:ascii="Inter" w:hAnsi="Inter"/>
                <w:color w:val="1A1A1A"/>
                <w:sz w:val="18"/>
              </w:rPr>
              <w:t>$20.000</w:t>
            </w:r>
          </w:p>
        </w:tc>
        <w:tc>
          <w:tcPr>
            <w:tcW w:w="1250" w:type="pct"/>
          </w:tcPr>
          <w:p w:rsidRPr="00AF654B" w:rsidR="0065570C" w:rsidP="00AF654B" w:rsidRDefault="0065570C" w14:paraId="11A274F3" w14:textId="4C4B48E8">
            <w:pPr>
              <w:spacing w:after="140" w:line="270" w:lineRule="auto"/>
              <w:rPr>
                <w:rFonts w:ascii="Inter" w:hAnsi="Inter"/>
                <w:color w:val="1A1A1A"/>
                <w:sz w:val="18"/>
                <w:lang w:val="es-ES"/>
              </w:rPr>
            </w:pPr>
            <w:r w:rsidRPr="00AF654B">
              <w:rPr>
                <w:rFonts w:ascii="Inter" w:hAnsi="Inter"/>
                <w:color w:val="1A1A1A"/>
                <w:sz w:val="18"/>
                <w:lang w:val="es-ES"/>
              </w:rPr>
              <w:t>[V], para el precio modelado</w:t>
            </w:r>
          </w:p>
        </w:tc>
      </w:tr>
      <w:tr w:rsidRPr="00AF654B" w:rsidR="0065570C" w:rsidTr="00AF654B" w14:paraId="72663E5D" w14:textId="77777777">
        <w:tc>
          <w:tcPr>
            <w:tcW w:w="1250" w:type="pct"/>
          </w:tcPr>
          <w:p w:rsidRPr="00AF654B" w:rsidR="0065570C" w:rsidP="00AF654B" w:rsidRDefault="0065570C" w14:paraId="1E23B0E3" w14:textId="7F38D34E">
            <w:pPr>
              <w:spacing w:after="140" w:line="270" w:lineRule="auto"/>
              <w:rPr>
                <w:rFonts w:ascii="Inter" w:hAnsi="Inter"/>
                <w:b/>
                <w:color w:val="1A1A1A"/>
                <w:sz w:val="18"/>
                <w:lang w:val="es-ES"/>
              </w:rPr>
            </w:pPr>
            <w:r w:rsidRPr="00AF654B">
              <w:rPr>
                <w:rFonts w:ascii="Inter" w:hAnsi="Inter"/>
                <w:b/>
                <w:color w:val="1A1A1A"/>
                <w:sz w:val="18"/>
                <w:lang w:val="es-ES"/>
              </w:rPr>
              <w:t>Total pagado por el fan</w:t>
            </w:r>
          </w:p>
        </w:tc>
        <w:tc>
          <w:tcPr>
            <w:tcW w:w="1250" w:type="pct"/>
          </w:tcPr>
          <w:p w:rsidRPr="00AF654B" w:rsidR="0065570C" w:rsidP="00AF654B" w:rsidRDefault="0065570C" w14:paraId="5A45AEFC" w14:textId="77777777">
            <w:pPr>
              <w:spacing w:after="140" w:line="270" w:lineRule="auto"/>
              <w:rPr>
                <w:rFonts w:ascii="Inter" w:hAnsi="Inter"/>
                <w:color w:val="1A1A1A"/>
                <w:sz w:val="18"/>
                <w:lang w:val="es-ES"/>
              </w:rPr>
            </w:pPr>
          </w:p>
        </w:tc>
        <w:tc>
          <w:tcPr>
            <w:tcW w:w="1250" w:type="pct"/>
          </w:tcPr>
          <w:p w:rsidRPr="00AF654B" w:rsidR="0065570C" w:rsidP="00AF654B" w:rsidRDefault="0065570C" w14:paraId="3E56CE11" w14:textId="420F4E2C">
            <w:pPr>
              <w:spacing w:after="140" w:line="270" w:lineRule="auto"/>
              <w:jc w:val="right"/>
              <w:rPr>
                <w:rFonts w:ascii="Inter" w:hAnsi="Inter"/>
                <w:b/>
                <w:color w:val="1A1A1A"/>
                <w:sz w:val="18"/>
              </w:rPr>
            </w:pPr>
            <w:r w:rsidRPr="00AF654B">
              <w:rPr>
                <w:rFonts w:ascii="Inter" w:hAnsi="Inter"/>
                <w:b/>
                <w:color w:val="1A1A1A"/>
                <w:sz w:val="18"/>
              </w:rPr>
              <w:t>$244.000</w:t>
            </w:r>
          </w:p>
        </w:tc>
        <w:tc>
          <w:tcPr>
            <w:tcW w:w="1250" w:type="pct"/>
          </w:tcPr>
          <w:p w:rsidRPr="00AF654B" w:rsidR="0065570C" w:rsidP="00AF654B" w:rsidRDefault="0065570C" w14:paraId="232C37D2" w14:textId="6036CB1E">
            <w:pPr>
              <w:spacing w:after="140" w:line="270" w:lineRule="auto"/>
              <w:rPr>
                <w:rFonts w:ascii="Inter" w:hAnsi="Inter"/>
                <w:color w:val="1A1A1A"/>
                <w:sz w:val="18"/>
              </w:rPr>
            </w:pPr>
            <w:r w:rsidRPr="00AF654B">
              <w:rPr>
                <w:rFonts w:ascii="Inter" w:hAnsi="Inter"/>
                <w:color w:val="1A1A1A"/>
                <w:sz w:val="18"/>
              </w:rPr>
              <w:t>Derivado</w:t>
            </w:r>
          </w:p>
        </w:tc>
      </w:tr>
    </w:tbl>
    <w:p w:rsidRPr="00AF654B" w:rsidR="0065570C" w:rsidP="00AF654B" w:rsidRDefault="0065570C" w14:paraId="6A168654" w14:textId="77777777">
      <w:pPr>
        <w:spacing w:after="140" w:line="270" w:lineRule="auto"/>
        <w:rPr>
          <w:rFonts w:ascii="Inter" w:hAnsi="Inter"/>
          <w:sz w:val="21"/>
        </w:rPr>
      </w:pPr>
    </w:p>
    <w:p w:rsidRPr="00AF654B" w:rsidR="0065570C" w:rsidP="00AF654B" w:rsidRDefault="0065570C" w14:paraId="7BE56BBA" w14:textId="06F85B33">
      <w:pPr>
        <w:spacing w:after="140" w:line="270" w:lineRule="auto"/>
        <w:jc w:val="both"/>
        <w:rPr>
          <w:rFonts w:ascii="Inter" w:hAnsi="Inter"/>
          <w:sz w:val="21"/>
          <w:lang w:val="es-ES"/>
        </w:rPr>
      </w:pPr>
      <w:r w:rsidRPr="00AF654B">
        <w:rPr>
          <w:rFonts w:ascii="Inter" w:hAnsi="Inter"/>
          <w:color w:val="000000"/>
          <w:sz w:val="21"/>
          <w:lang w:val="es-ES"/>
        </w:rPr>
        <w:t>La contribución parafiscal no es ingreso ni costo de TicketRight. Tampoco lo es el valor nominal de la boleta. El recaudo bruto del evento tipo es $1.854,4 millones. De ese valor, $1.520 millones son del promotor, $152 millones corresponden a la retención parafiscal y $182,4 millones son el cargo bruto de TicketRight. Estos flujos deben permanecer separados durante la custodia y la liquidación.</w:t>
      </w:r>
    </w:p>
    <w:p w:rsidRPr="008006A1" w:rsidR="0065570C" w:rsidP="00AF654B" w:rsidRDefault="0065570C" w14:paraId="2FB802A6" w14:textId="414A6755">
      <w:pPr>
        <w:pStyle w:val="Ttulo2"/>
        <w:spacing w:before="240"/>
        <w:rPr>
          <w:rFonts w:ascii="Inter" w:hAnsi="Inter"/>
          <w:b/>
          <w:color w:val="1A1A1A"/>
          <w:sz w:val="23"/>
        </w:rPr>
      </w:pPr>
      <w:bookmarkStart w:name="_Toc239897207" w:id="26"/>
      <w:r w:rsidRPr="008006A1">
        <w:rPr>
          <w:rFonts w:ascii="Inter" w:hAnsi="Inter"/>
          <w:b/>
          <w:color w:val="1A1A1A"/>
          <w:sz w:val="23"/>
        </w:rPr>
        <w:t>4.2 Fuentes de ingreso</w:t>
      </w:r>
      <w:bookmarkEnd w:id="26"/>
    </w:p>
    <w:tbl>
      <w:tblPr>
        <w:tblStyle w:val="Tablabsica1"/>
        <w:tblW w:w="5000" w:type="pct"/>
        <w:tblLook w:val="0620" w:firstRow="1" w:lastRow="0" w:firstColumn="0" w:lastColumn="0" w:noHBand="1" w:noVBand="1"/>
      </w:tblPr>
      <w:tblGrid>
        <w:gridCol w:w="2340"/>
        <w:gridCol w:w="2340"/>
        <w:gridCol w:w="2340"/>
        <w:gridCol w:w="2340"/>
      </w:tblGrid>
      <w:tr w:rsidRPr="00AF654B" w:rsidR="0065570C" w:rsidTr="00AF654B" w14:paraId="50386BEC" w14:textId="77777777">
        <w:trPr>
          <w:cnfStyle w:val="100000000000" w:firstRow="1" w:lastRow="0" w:firstColumn="0" w:lastColumn="0" w:oddVBand="0" w:evenVBand="0" w:oddHBand="0" w:evenHBand="0" w:firstRowFirstColumn="0" w:firstRowLastColumn="0" w:lastRowFirstColumn="0" w:lastRowLastColumn="0"/>
          <w:tblHeader/>
        </w:trPr>
        <w:tc>
          <w:tcPr>
            <w:tcW w:w="1250" w:type="pct"/>
            <w:shd w:val="clear" w:color="F2F2F2" w:fill="F2F2F2"/>
          </w:tcPr>
          <w:p w:rsidRPr="00AF654B" w:rsidR="0065570C" w:rsidP="00AF654B" w:rsidRDefault="0065570C" w14:paraId="7C11D69F" w14:textId="459B9FA6">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Fuente</w:t>
            </w:r>
          </w:p>
        </w:tc>
        <w:tc>
          <w:tcPr>
            <w:tcW w:w="1250" w:type="pct"/>
            <w:shd w:val="clear" w:color="F2F2F2" w:fill="F2F2F2"/>
          </w:tcPr>
          <w:p w:rsidRPr="00AF654B" w:rsidR="0065570C" w:rsidP="00AF654B" w:rsidRDefault="0065570C" w14:paraId="536381EE" w14:textId="7E4882C3">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Cálculo del escenario base</w:t>
            </w:r>
          </w:p>
        </w:tc>
        <w:tc>
          <w:tcPr>
            <w:tcW w:w="1250" w:type="pct"/>
            <w:shd w:val="clear" w:color="F2F2F2" w:fill="F2F2F2"/>
          </w:tcPr>
          <w:p w:rsidRPr="00AF654B" w:rsidR="0065570C" w:rsidP="00AF654B" w:rsidRDefault="0065570C" w14:paraId="2B7C5E28" w14:textId="3ECD5C6A">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Ingreso promedio por evento</w:t>
            </w:r>
          </w:p>
        </w:tc>
        <w:tc>
          <w:tcPr>
            <w:tcW w:w="1250" w:type="pct"/>
            <w:shd w:val="clear" w:color="F2F2F2" w:fill="F2F2F2"/>
          </w:tcPr>
          <w:p w:rsidRPr="00AF654B" w:rsidR="0065570C" w:rsidP="00AF654B" w:rsidRDefault="0065570C" w14:paraId="5D34DE13" w14:textId="675F25CC">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Estado</w:t>
            </w:r>
          </w:p>
        </w:tc>
      </w:tr>
      <w:tr w:rsidRPr="00AF654B" w:rsidR="0065570C" w:rsidTr="00AF654B" w14:paraId="78188CF3" w14:textId="77777777">
        <w:tc>
          <w:tcPr>
            <w:tcW w:w="1250" w:type="pct"/>
          </w:tcPr>
          <w:p w:rsidRPr="00AF654B" w:rsidR="0065570C" w:rsidP="00AF654B" w:rsidRDefault="0065570C" w14:paraId="1F912197" w14:textId="4839F46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Cargo por servicio</w:t>
            </w:r>
          </w:p>
        </w:tc>
        <w:tc>
          <w:tcPr>
            <w:tcW w:w="1250" w:type="pct"/>
          </w:tcPr>
          <w:p w:rsidRPr="00AF654B" w:rsidR="0065570C" w:rsidP="00AF654B" w:rsidRDefault="0065570C" w14:paraId="1DC26411" w14:textId="7261DF78">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7.600 boletas por $24.000</w:t>
            </w:r>
          </w:p>
        </w:tc>
        <w:tc>
          <w:tcPr>
            <w:tcW w:w="1250" w:type="pct"/>
          </w:tcPr>
          <w:p w:rsidRPr="00AF654B" w:rsidR="0065570C" w:rsidP="00AF654B" w:rsidRDefault="0065570C" w14:paraId="45859B38" w14:textId="2FC6E672">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$182.400.000</w:t>
            </w:r>
          </w:p>
        </w:tc>
        <w:tc>
          <w:tcPr>
            <w:tcW w:w="1250" w:type="pct"/>
          </w:tcPr>
          <w:p w:rsidRPr="00AF654B" w:rsidR="0065570C" w:rsidP="00AF654B" w:rsidRDefault="0065570C" w14:paraId="31A09247" w14:textId="7C8373F5">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79715C8A" w14:textId="77777777">
        <w:tc>
          <w:tcPr>
            <w:tcW w:w="1250" w:type="pct"/>
          </w:tcPr>
          <w:p w:rsidRPr="00AF654B" w:rsidR="0065570C" w:rsidP="00AF654B" w:rsidRDefault="0065570C" w14:paraId="60E43A57" w14:textId="5A048852">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Comisión por reventa</w:t>
            </w:r>
          </w:p>
        </w:tc>
        <w:tc>
          <w:tcPr>
            <w:tcW w:w="1250" w:type="pct"/>
          </w:tcPr>
          <w:p w:rsidRPr="00AF654B" w:rsidR="0065570C" w:rsidP="00AF654B" w:rsidRDefault="0065570C" w14:paraId="2E9F0362" w14:textId="7AEE979D">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608 reventas por $280.000 × 10% × 50%</w:t>
            </w:r>
          </w:p>
        </w:tc>
        <w:tc>
          <w:tcPr>
            <w:tcW w:w="1250" w:type="pct"/>
          </w:tcPr>
          <w:p w:rsidRPr="00AF654B" w:rsidR="0065570C" w:rsidP="00AF654B" w:rsidRDefault="0065570C" w14:paraId="25519009" w14:textId="2E3B5C78">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$8.512.000</w:t>
            </w:r>
          </w:p>
        </w:tc>
        <w:tc>
          <w:tcPr>
            <w:tcW w:w="1250" w:type="pct"/>
          </w:tcPr>
          <w:p w:rsidRPr="00AF654B" w:rsidR="0065570C" w:rsidP="00AF654B" w:rsidRDefault="0065570C" w14:paraId="450F5D0C" w14:textId="365739F1">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388897B8" w14:textId="77777777">
        <w:tc>
          <w:tcPr>
            <w:tcW w:w="1250" w:type="pct"/>
          </w:tcPr>
          <w:p w:rsidRPr="00AF654B" w:rsidR="0065570C" w:rsidP="00AF654B" w:rsidRDefault="0065570C" w14:paraId="0CF80968" w14:textId="4B569DEE">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Plataforma por evento</w:t>
            </w:r>
          </w:p>
        </w:tc>
        <w:tc>
          <w:tcPr>
            <w:tcW w:w="1250" w:type="pct"/>
          </w:tcPr>
          <w:p w:rsidRPr="00AF654B" w:rsidR="0065570C" w:rsidP="00AF654B" w:rsidRDefault="0065570C" w14:paraId="228D8438" w14:textId="54F582F5">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$800.000 por evento activo</w:t>
            </w:r>
          </w:p>
        </w:tc>
        <w:tc>
          <w:tcPr>
            <w:tcW w:w="1250" w:type="pct"/>
          </w:tcPr>
          <w:p w:rsidRPr="00AF654B" w:rsidR="0065570C" w:rsidP="00AF654B" w:rsidRDefault="0065570C" w14:paraId="2A161CFB" w14:textId="69ADE67D">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$800.000</w:t>
            </w:r>
          </w:p>
        </w:tc>
        <w:tc>
          <w:tcPr>
            <w:tcW w:w="1250" w:type="pct"/>
          </w:tcPr>
          <w:p w:rsidRPr="00AF654B" w:rsidR="0065570C" w:rsidP="00AF654B" w:rsidRDefault="0065570C" w14:paraId="2D628B59" w14:textId="4F70426B">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4B6AA306" w14:textId="77777777">
        <w:tc>
          <w:tcPr>
            <w:tcW w:w="1250" w:type="pct"/>
          </w:tcPr>
          <w:p w:rsidRPr="00AF654B" w:rsidR="0065570C" w:rsidP="00AF654B" w:rsidRDefault="0065570C" w14:paraId="6B314522" w14:textId="20B0EA20">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Datos y reportes</w:t>
            </w:r>
          </w:p>
        </w:tc>
        <w:tc>
          <w:tcPr>
            <w:tcW w:w="1250" w:type="pct"/>
          </w:tcPr>
          <w:p w:rsidRPr="00AF654B" w:rsidR="0065570C" w:rsidP="00AF654B" w:rsidRDefault="0065570C" w14:paraId="5C361AA4" w14:textId="3E128CA4">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$400.000 en 50% de los eventos</w:t>
            </w:r>
          </w:p>
        </w:tc>
        <w:tc>
          <w:tcPr>
            <w:tcW w:w="1250" w:type="pct"/>
          </w:tcPr>
          <w:p w:rsidRPr="00AF654B" w:rsidR="0065570C" w:rsidP="00AF654B" w:rsidRDefault="0065570C" w14:paraId="22A8F7FF" w14:textId="68AA4033">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$200.000</w:t>
            </w:r>
          </w:p>
        </w:tc>
        <w:tc>
          <w:tcPr>
            <w:tcW w:w="1250" w:type="pct"/>
          </w:tcPr>
          <w:p w:rsidRPr="00AF654B" w:rsidR="0065570C" w:rsidP="00AF654B" w:rsidRDefault="0065570C" w14:paraId="473EB320" w14:textId="666DCF73">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535214F6" w14:textId="77777777">
        <w:tc>
          <w:tcPr>
            <w:tcW w:w="1250" w:type="pct"/>
          </w:tcPr>
          <w:p w:rsidRPr="00AF654B" w:rsidR="0065570C" w:rsidP="00AF654B" w:rsidRDefault="0065570C" w14:paraId="54FCF332" w14:textId="1DBC5056">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Preventa segmentada</w:t>
            </w:r>
          </w:p>
        </w:tc>
        <w:tc>
          <w:tcPr>
            <w:tcW w:w="1250" w:type="pct"/>
          </w:tcPr>
          <w:p w:rsidRPr="00AF654B" w:rsidR="0065570C" w:rsidP="00AF654B" w:rsidRDefault="0065570C" w14:paraId="070AB316" w14:textId="5C62B9C0">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$300.000 por campaña, una campaña cada dos eventos</w:t>
            </w:r>
          </w:p>
        </w:tc>
        <w:tc>
          <w:tcPr>
            <w:tcW w:w="1250" w:type="pct"/>
          </w:tcPr>
          <w:p w:rsidRPr="00AF654B" w:rsidR="0065570C" w:rsidP="00AF654B" w:rsidRDefault="0065570C" w14:paraId="40851860" w14:textId="527CD1AB">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$150.000</w:t>
            </w:r>
          </w:p>
        </w:tc>
        <w:tc>
          <w:tcPr>
            <w:tcW w:w="1250" w:type="pct"/>
          </w:tcPr>
          <w:p w:rsidRPr="00AF654B" w:rsidR="0065570C" w:rsidP="00AF654B" w:rsidRDefault="0065570C" w14:paraId="4D04FC5B" w14:textId="19845B93">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397B2DDF" w14:textId="77777777">
        <w:tc>
          <w:tcPr>
            <w:tcW w:w="1250" w:type="pct"/>
          </w:tcPr>
          <w:p w:rsidRPr="00AF654B" w:rsidR="0065570C" w:rsidP="00AF654B" w:rsidRDefault="0065570C" w14:paraId="0EFAFC69" w14:textId="05B9D0B3">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Ingreso promedio total</w:t>
            </w:r>
          </w:p>
        </w:tc>
        <w:tc>
          <w:tcPr>
            <w:tcW w:w="1250" w:type="pct"/>
          </w:tcPr>
          <w:p w:rsidRPr="00AF654B" w:rsidR="0065570C" w:rsidP="00AF654B" w:rsidRDefault="0065570C" w14:paraId="4DB1EFDB" w14:textId="77777777">
            <w:pPr>
              <w:spacing w:after="140" w:line="270" w:lineRule="auto"/>
              <w:rPr>
                <w:rFonts w:ascii="Inter" w:hAnsi="Inter" w:eastAsiaTheme="majorEastAsia" w:cstheme="majorBidi"/>
                <w:color w:val="1A1A1A"/>
                <w:sz w:val="18"/>
                <w:szCs w:val="32"/>
              </w:rPr>
            </w:pPr>
          </w:p>
        </w:tc>
        <w:tc>
          <w:tcPr>
            <w:tcW w:w="1250" w:type="pct"/>
          </w:tcPr>
          <w:p w:rsidRPr="00AF654B" w:rsidR="0065570C" w:rsidP="00AF654B" w:rsidRDefault="0065570C" w14:paraId="3E4B88BD" w14:textId="448822A4">
            <w:pPr>
              <w:spacing w:after="140" w:line="270" w:lineRule="auto"/>
              <w:jc w:val="right"/>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$192.062.000</w:t>
            </w:r>
          </w:p>
        </w:tc>
        <w:tc>
          <w:tcPr>
            <w:tcW w:w="1250" w:type="pct"/>
          </w:tcPr>
          <w:p w:rsidRPr="00AF654B" w:rsidR="0065570C" w:rsidP="00AF654B" w:rsidRDefault="0065570C" w14:paraId="72C98EE0" w14:textId="35A5CF96">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bl>
    <w:p w:rsidRPr="00AF654B" w:rsidR="0065570C" w:rsidP="00AF654B" w:rsidRDefault="0065570C" w14:paraId="4A548FCF" w14:textId="77777777">
      <w:pPr>
        <w:spacing w:after="140" w:line="270" w:lineRule="auto"/>
        <w:rPr>
          <w:rFonts w:ascii="Inter" w:hAnsi="Inter"/>
          <w:sz w:val="21"/>
        </w:rPr>
      </w:pPr>
    </w:p>
    <w:p w:rsidRPr="00AF654B" w:rsidR="0065570C" w:rsidP="00AF654B" w:rsidRDefault="0065570C" w14:paraId="2D0834F8" w14:textId="4F8CA3DD">
      <w:pPr>
        <w:spacing w:after="140" w:line="270" w:lineRule="auto"/>
        <w:jc w:val="both"/>
        <w:rPr>
          <w:rFonts w:ascii="Inter" w:hAnsi="Inter"/>
          <w:sz w:val="21"/>
          <w:lang w:val="es-ES"/>
        </w:rPr>
      </w:pPr>
      <w:r w:rsidRPr="00AF654B">
        <w:rPr>
          <w:rFonts w:ascii="Inter" w:hAnsi="Inter"/>
          <w:color w:val="000000"/>
          <w:sz w:val="21"/>
          <w:lang w:val="es-ES"/>
        </w:rPr>
        <w:t>El ingreso promedio total de $192.062.000 equivale a $25.271 por boleta si se dividen todas las fuentes entre las 7.600 ventas. Para el margen y el punto de equilibrio se usa una medida más conservadora: el ingreso por boleta atribuible a la venta, compuesto por el cargo y la reventa, que es $25.120. Se excluyen los $1.150.000 contratados por evento para no convertir ingresos fijos o de adopción incierta en margen unitario. La reventa de $14.000 se deriva de un precio secundario de 1,4 veces el nominal, una comisión de 10% y un reparto 50/50 con el promotor. Los tres parámetros son supuestos pendientes de validación contractual.</w:t>
      </w:r>
    </w:p>
    <w:p w:rsidRPr="008006A1" w:rsidR="0065570C" w:rsidP="00AF654B" w:rsidRDefault="0065570C" w14:paraId="37402ECD" w14:textId="34504EAE">
      <w:pPr>
        <w:pStyle w:val="Ttulo2"/>
        <w:spacing w:before="240"/>
        <w:rPr>
          <w:rFonts w:ascii="Inter" w:hAnsi="Inter"/>
          <w:b/>
          <w:color w:val="1A1A1A"/>
          <w:sz w:val="23"/>
          <w:lang w:val="es-ES"/>
        </w:rPr>
      </w:pPr>
      <w:bookmarkStart w:name="_Toc239897208" w:id="27"/>
      <w:r w:rsidRPr="008006A1">
        <w:rPr>
          <w:rFonts w:ascii="Inter" w:hAnsi="Inter"/>
          <w:b/>
          <w:color w:val="1A1A1A"/>
          <w:sz w:val="23"/>
          <w:lang w:val="es-ES"/>
        </w:rPr>
        <w:lastRenderedPageBreak/>
        <w:t>4.3 Costos variables</w:t>
      </w:r>
      <w:bookmarkEnd w:id="27"/>
    </w:p>
    <w:tbl>
      <w:tblPr>
        <w:tblStyle w:val="Tablabsica1"/>
        <w:tblW w:w="5000" w:type="pct"/>
        <w:tblLook w:val="0620" w:firstRow="1" w:lastRow="0" w:firstColumn="0" w:lastColumn="0" w:noHBand="1" w:noVBand="1"/>
      </w:tblPr>
      <w:tblGrid>
        <w:gridCol w:w="2814"/>
        <w:gridCol w:w="2314"/>
        <w:gridCol w:w="2072"/>
        <w:gridCol w:w="2160"/>
      </w:tblGrid>
      <w:tr w:rsidRPr="00AF654B" w:rsidR="0065570C" w:rsidTr="00AF654B" w14:paraId="7D2256D3" w14:textId="77777777">
        <w:trPr>
          <w:cnfStyle w:val="100000000000" w:firstRow="1" w:lastRow="0" w:firstColumn="0" w:lastColumn="0" w:oddVBand="0" w:evenVBand="0" w:oddHBand="0" w:evenHBand="0" w:firstRowFirstColumn="0" w:firstRowLastColumn="0" w:lastRowFirstColumn="0" w:lastRowLastColumn="0"/>
          <w:tblHeader/>
        </w:trPr>
        <w:tc>
          <w:tcPr>
            <w:tcW w:w="1503" w:type="pct"/>
            <w:shd w:val="clear" w:color="F2F2F2" w:fill="F2F2F2"/>
          </w:tcPr>
          <w:p w:rsidRPr="00AF654B" w:rsidR="0065570C" w:rsidP="00AF654B" w:rsidRDefault="0065570C" w14:paraId="4F0B366E" w14:textId="6AF1133A">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Costo</w:t>
            </w:r>
          </w:p>
        </w:tc>
        <w:tc>
          <w:tcPr>
            <w:tcW w:w="1236" w:type="pct"/>
            <w:shd w:val="clear" w:color="F2F2F2" w:fill="F2F2F2"/>
          </w:tcPr>
          <w:p w:rsidRPr="00AF654B" w:rsidR="0065570C" w:rsidP="00AF654B" w:rsidRDefault="0065570C" w14:paraId="7C340B8D" w14:textId="3D7B7C7A">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Inductor</w:t>
            </w:r>
          </w:p>
        </w:tc>
        <w:tc>
          <w:tcPr>
            <w:tcW w:w="1107" w:type="pct"/>
            <w:shd w:val="clear" w:color="F2F2F2" w:fill="F2F2F2"/>
          </w:tcPr>
          <w:p w:rsidRPr="00AF654B" w:rsidR="0065570C" w:rsidP="00AF654B" w:rsidRDefault="0065570C" w14:paraId="73AC0825" w14:textId="45631715">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Valor por boleta</w:t>
            </w:r>
          </w:p>
        </w:tc>
        <w:tc>
          <w:tcPr>
            <w:tcW w:w="1154" w:type="pct"/>
            <w:shd w:val="clear" w:color="F2F2F2" w:fill="F2F2F2"/>
          </w:tcPr>
          <w:p w:rsidRPr="00AF654B" w:rsidR="0065570C" w:rsidP="00AF654B" w:rsidRDefault="0065570C" w14:paraId="29C1713F" w14:textId="05795467">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Estado</w:t>
            </w:r>
          </w:p>
        </w:tc>
      </w:tr>
      <w:tr w:rsidRPr="00AF654B" w:rsidR="0065570C" w:rsidTr="00AF654B" w14:paraId="6ACD41CD" w14:textId="77777777">
        <w:tc>
          <w:tcPr>
            <w:tcW w:w="1503" w:type="pct"/>
          </w:tcPr>
          <w:p w:rsidRPr="00AF654B" w:rsidR="0065570C" w:rsidP="00AF654B" w:rsidRDefault="0065570C" w14:paraId="2969CDCC" w14:textId="1AA7A9BE">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Pasarela de pagos, antes de IVA</w:t>
            </w:r>
          </w:p>
        </w:tc>
        <w:tc>
          <w:tcPr>
            <w:tcW w:w="1236" w:type="pct"/>
          </w:tcPr>
          <w:p w:rsidRPr="00AF654B" w:rsidR="0065570C" w:rsidP="00AF654B" w:rsidRDefault="0065570C" w14:paraId="5B08C960" w14:textId="2D27ABF3">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Transacción aprobada sobre $244.000: 2,65% + $700</w:t>
            </w:r>
          </w:p>
        </w:tc>
        <w:tc>
          <w:tcPr>
            <w:tcW w:w="1107" w:type="pct"/>
          </w:tcPr>
          <w:p w:rsidRPr="00AF654B" w:rsidR="0065570C" w:rsidP="00AF654B" w:rsidRDefault="0065570C" w14:paraId="7B223F8A" w14:textId="65FC5F85">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$7.166</w:t>
            </w:r>
          </w:p>
        </w:tc>
        <w:tc>
          <w:tcPr>
            <w:tcW w:w="1154" w:type="pct"/>
          </w:tcPr>
          <w:p w:rsidRPr="00AF654B" w:rsidR="0065570C" w:rsidP="00AF654B" w:rsidRDefault="0065570C" w14:paraId="6BEC7EE7" w14:textId="1DE94DC8">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Tarifa [V], monto [S]</w:t>
            </w:r>
          </w:p>
        </w:tc>
      </w:tr>
      <w:tr w:rsidRPr="00AF654B" w:rsidR="0065570C" w:rsidTr="00AF654B" w14:paraId="0213DE21" w14:textId="77777777">
        <w:tc>
          <w:tcPr>
            <w:tcW w:w="1503" w:type="pct"/>
          </w:tcPr>
          <w:p w:rsidRPr="00AF654B" w:rsidR="0065570C" w:rsidP="00AF654B" w:rsidRDefault="0065570C" w14:paraId="5F62463D" w14:textId="1A59AAAE">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Infraestructura, mensajería y almacenamiento</w:t>
            </w:r>
          </w:p>
        </w:tc>
        <w:tc>
          <w:tcPr>
            <w:tcW w:w="1236" w:type="pct"/>
          </w:tcPr>
          <w:p w:rsidRPr="00AF654B" w:rsidR="0065570C" w:rsidP="00AF654B" w:rsidRDefault="0065570C" w14:paraId="582D7A3C" w14:textId="7CF59173">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Volumen de usuarios, ventas y eventos registrados</w:t>
            </w:r>
          </w:p>
        </w:tc>
        <w:tc>
          <w:tcPr>
            <w:tcW w:w="1107" w:type="pct"/>
          </w:tcPr>
          <w:p w:rsidRPr="00AF654B" w:rsidR="0065570C" w:rsidP="00AF654B" w:rsidRDefault="0065570C" w14:paraId="63B73519" w14:textId="73D9EA7A">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$74</w:t>
            </w:r>
          </w:p>
        </w:tc>
        <w:tc>
          <w:tcPr>
            <w:tcW w:w="1154" w:type="pct"/>
          </w:tcPr>
          <w:p w:rsidRPr="00AF654B" w:rsidR="0065570C" w:rsidP="00AF654B" w:rsidRDefault="0065570C" w14:paraId="067CF01B" w14:textId="0A053459">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1524FA31" w14:textId="77777777">
        <w:tc>
          <w:tcPr>
            <w:tcW w:w="1503" w:type="pct"/>
          </w:tcPr>
          <w:p w:rsidRPr="00AF654B" w:rsidR="0065570C" w:rsidP="00AF654B" w:rsidRDefault="0065570C" w14:paraId="4F3D52CE" w14:textId="04B5EEB6">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Notificaciones y verificación</w:t>
            </w:r>
          </w:p>
        </w:tc>
        <w:tc>
          <w:tcPr>
            <w:tcW w:w="1236" w:type="pct"/>
          </w:tcPr>
          <w:p w:rsidRPr="00AF654B" w:rsidR="0065570C" w:rsidP="00AF654B" w:rsidRDefault="0065570C" w14:paraId="7E9E993A" w14:textId="52936E51">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Mensajes enviados y compradores nuevos</w:t>
            </w:r>
          </w:p>
        </w:tc>
        <w:tc>
          <w:tcPr>
            <w:tcW w:w="1107" w:type="pct"/>
          </w:tcPr>
          <w:p w:rsidRPr="00AF654B" w:rsidR="0065570C" w:rsidP="00AF654B" w:rsidRDefault="0065570C" w14:paraId="25694899" w14:textId="7CFC0E16">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$180</w:t>
            </w:r>
          </w:p>
        </w:tc>
        <w:tc>
          <w:tcPr>
            <w:tcW w:w="1154" w:type="pct"/>
          </w:tcPr>
          <w:p w:rsidRPr="00AF654B" w:rsidR="0065570C" w:rsidP="00AF654B" w:rsidRDefault="0065570C" w14:paraId="5312D93E" w14:textId="6CB55B13">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4E51FC13" w14:textId="77777777">
        <w:tc>
          <w:tcPr>
            <w:tcW w:w="1503" w:type="pct"/>
          </w:tcPr>
          <w:p w:rsidRPr="00AF654B" w:rsidR="0065570C" w:rsidP="00AF654B" w:rsidRDefault="0065570C" w14:paraId="469ED509" w14:textId="0473D620">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Soporte, devoluciones y disputas</w:t>
            </w:r>
          </w:p>
        </w:tc>
        <w:tc>
          <w:tcPr>
            <w:tcW w:w="1236" w:type="pct"/>
          </w:tcPr>
          <w:p w:rsidRPr="00AF654B" w:rsidR="0065570C" w:rsidP="00AF654B" w:rsidRDefault="0065570C" w14:paraId="565F8CB1" w14:textId="6AEA4497">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Agentes por evento e incidentes atendidos</w:t>
            </w:r>
          </w:p>
        </w:tc>
        <w:tc>
          <w:tcPr>
            <w:tcW w:w="1107" w:type="pct"/>
          </w:tcPr>
          <w:p w:rsidRPr="00AF654B" w:rsidR="0065570C" w:rsidP="00AF654B" w:rsidRDefault="0065570C" w14:paraId="2AA534A6" w14:textId="3856532F">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$350</w:t>
            </w:r>
          </w:p>
        </w:tc>
        <w:tc>
          <w:tcPr>
            <w:tcW w:w="1154" w:type="pct"/>
          </w:tcPr>
          <w:p w:rsidRPr="00AF654B" w:rsidR="0065570C" w:rsidP="00AF654B" w:rsidRDefault="0065570C" w14:paraId="1EE18FAF" w14:textId="62C21581">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5AEDAC1F" w14:textId="77777777">
        <w:tc>
          <w:tcPr>
            <w:tcW w:w="1503" w:type="pct"/>
          </w:tcPr>
          <w:p w:rsidRPr="00AF654B" w:rsidR="0065570C" w:rsidP="00AF654B" w:rsidRDefault="0065570C" w14:paraId="3A403407" w14:textId="4ABFD120">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Total variable por boleta</w:t>
            </w:r>
          </w:p>
        </w:tc>
        <w:tc>
          <w:tcPr>
            <w:tcW w:w="1236" w:type="pct"/>
          </w:tcPr>
          <w:p w:rsidRPr="00AF654B" w:rsidR="0065570C" w:rsidP="00AF654B" w:rsidRDefault="0065570C" w14:paraId="4C18C330" w14:textId="77777777">
            <w:pPr>
              <w:spacing w:after="140" w:line="270" w:lineRule="auto"/>
              <w:rPr>
                <w:rFonts w:ascii="Inter" w:hAnsi="Inter" w:eastAsiaTheme="majorEastAsia" w:cstheme="majorBidi"/>
                <w:color w:val="1A1A1A"/>
                <w:sz w:val="18"/>
                <w:szCs w:val="32"/>
              </w:rPr>
            </w:pPr>
          </w:p>
        </w:tc>
        <w:tc>
          <w:tcPr>
            <w:tcW w:w="1107" w:type="pct"/>
          </w:tcPr>
          <w:p w:rsidRPr="00AF654B" w:rsidR="0065570C" w:rsidP="00AF654B" w:rsidRDefault="0065570C" w14:paraId="6D04EFB0" w14:textId="3BC69B9B">
            <w:pPr>
              <w:spacing w:after="140" w:line="270" w:lineRule="auto"/>
              <w:jc w:val="right"/>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$7.770</w:t>
            </w:r>
          </w:p>
        </w:tc>
        <w:tc>
          <w:tcPr>
            <w:tcW w:w="1154" w:type="pct"/>
          </w:tcPr>
          <w:p w:rsidRPr="00AF654B" w:rsidR="0065570C" w:rsidP="00AF654B" w:rsidRDefault="0065570C" w14:paraId="716C1850" w14:textId="4D4C6120">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bl>
    <w:p w:rsidRPr="00AF654B" w:rsidR="0065570C" w:rsidP="00AF654B" w:rsidRDefault="0065570C" w14:paraId="4F518C64" w14:textId="77777777">
      <w:pPr>
        <w:spacing w:after="140" w:line="270" w:lineRule="auto"/>
        <w:rPr>
          <w:rFonts w:ascii="Inter" w:hAnsi="Inter"/>
          <w:sz w:val="21"/>
        </w:rPr>
      </w:pPr>
    </w:p>
    <w:p w:rsidRPr="00AF654B" w:rsidR="0065570C" w:rsidP="00AF654B" w:rsidRDefault="0065570C" w14:paraId="01EE48AA" w14:textId="615CD093">
      <w:pPr>
        <w:spacing w:after="140" w:line="270" w:lineRule="auto"/>
        <w:jc w:val="both"/>
        <w:rPr>
          <w:rFonts w:ascii="Inter" w:hAnsi="Inter"/>
          <w:sz w:val="21"/>
          <w:lang w:val="es-ES"/>
        </w:rPr>
      </w:pPr>
      <w:r w:rsidRPr="00AF654B">
        <w:rPr>
          <w:rFonts w:ascii="Inter" w:hAnsi="Inter"/>
          <w:color w:val="000000"/>
          <w:sz w:val="21"/>
          <w:lang w:val="es-ES"/>
        </w:rPr>
        <w:t xml:space="preserve">[V] La referencia pública de la pasarela es la tarifa de Wompi de 2,65% más $700 e IVA por transacción exitosa. Fuente: </w:t>
      </w:r>
      <w:hyperlink w:history="1" r:id="rId21">
        <w:r w:rsidRPr="00AF654B">
          <w:rPr>
            <w:rStyle w:val="Hipervnculo"/>
            <w:rFonts w:ascii="Inter" w:hAnsi="Inter"/>
            <w:sz w:val="21"/>
            <w:lang w:val="es-ES"/>
          </w:rPr>
          <w:t>Wompi</w:t>
        </w:r>
      </w:hyperlink>
      <w:r w:rsidRPr="00AF654B">
        <w:rPr>
          <w:rFonts w:ascii="Inter" w:hAnsi="Inter"/>
          <w:color w:val="000000"/>
          <w:sz w:val="21"/>
          <w:lang w:val="es-ES"/>
        </w:rPr>
        <w:t>.</w:t>
      </w:r>
    </w:p>
    <w:p w:rsidRPr="00AF654B" w:rsidR="0065570C" w:rsidP="00AF654B" w:rsidRDefault="0065570C" w14:paraId="4BB9A7A5" w14:textId="65872BB4">
      <w:pPr>
        <w:spacing w:after="140" w:line="270" w:lineRule="auto"/>
        <w:jc w:val="both"/>
        <w:rPr>
          <w:rFonts w:ascii="Inter" w:hAnsi="Inter"/>
          <w:sz w:val="21"/>
          <w:lang w:val="es-ES"/>
        </w:rPr>
      </w:pPr>
      <w:r w:rsidRPr="00AF654B">
        <w:rPr>
          <w:rFonts w:ascii="Inter" w:hAnsi="Inter"/>
          <w:color w:val="000000"/>
          <w:sz w:val="21"/>
          <w:lang w:val="es-ES"/>
        </w:rPr>
        <w:t xml:space="preserve">[S] El escenario base supone que TicketRight es responsable de IVA, que la factura de la pasarela cumple los requisitos y que el servicio se destina a operaciones que permiten el descuento. Por ello, los $1.362 de IVA de la pasarela se registran como impuesto descontable y no como costo. La procedencia depende de la definición tributaria de S7. Fuente: </w:t>
      </w:r>
      <w:hyperlink w:history="1" r:id="rId22">
        <w:r w:rsidRPr="00AF654B">
          <w:rPr>
            <w:rStyle w:val="Hipervnculo"/>
            <w:rFonts w:ascii="Inter" w:hAnsi="Inter"/>
            <w:sz w:val="21"/>
            <w:lang w:val="es-ES"/>
          </w:rPr>
          <w:t>artículos 485 y 488 del Estatuto Tributario, explicados por la DIAN</w:t>
        </w:r>
      </w:hyperlink>
      <w:r w:rsidRPr="00AF654B">
        <w:rPr>
          <w:rFonts w:ascii="Inter" w:hAnsi="Inter"/>
          <w:color w:val="000000"/>
          <w:sz w:val="21"/>
          <w:lang w:val="es-ES"/>
        </w:rPr>
        <w:t>.</w:t>
      </w:r>
    </w:p>
    <w:p w:rsidRPr="008006A1" w:rsidR="0065570C" w:rsidP="00AF654B" w:rsidRDefault="0065570C" w14:paraId="78FB7063" w14:textId="61137BE6">
      <w:pPr>
        <w:pStyle w:val="Ttulo2"/>
        <w:spacing w:before="240"/>
        <w:rPr>
          <w:rFonts w:ascii="Inter" w:hAnsi="Inter"/>
          <w:b/>
          <w:color w:val="1A1A1A"/>
          <w:sz w:val="23"/>
        </w:rPr>
      </w:pPr>
      <w:bookmarkStart w:name="_Toc239897209" w:id="28"/>
      <w:r w:rsidRPr="008006A1">
        <w:rPr>
          <w:rFonts w:ascii="Inter" w:hAnsi="Inter"/>
          <w:b/>
          <w:color w:val="1A1A1A"/>
          <w:sz w:val="23"/>
        </w:rPr>
        <w:t>4.4 Costos fijos mensuales</w:t>
      </w:r>
      <w:bookmarkEnd w:id="28"/>
    </w:p>
    <w:tbl>
      <w:tblPr>
        <w:tblStyle w:val="Tablabsica1"/>
        <w:tblW w:w="5000" w:type="pct"/>
        <w:tblLook w:val="0620" w:firstRow="1" w:lastRow="0" w:firstColumn="0" w:lastColumn="0" w:noHBand="1" w:noVBand="1"/>
      </w:tblPr>
      <w:tblGrid>
        <w:gridCol w:w="3118"/>
        <w:gridCol w:w="3121"/>
        <w:gridCol w:w="3121"/>
      </w:tblGrid>
      <w:tr w:rsidRPr="00AF654B" w:rsidR="0065570C" w:rsidTr="00AF654B" w14:paraId="000F91EC" w14:textId="77777777">
        <w:trPr>
          <w:cnfStyle w:val="100000000000" w:firstRow="1" w:lastRow="0" w:firstColumn="0" w:lastColumn="0" w:oddVBand="0" w:evenVBand="0" w:oddHBand="0" w:evenHBand="0" w:firstRowFirstColumn="0" w:firstRowLastColumn="0" w:lastRowFirstColumn="0" w:lastRowLastColumn="0"/>
          <w:tblHeader/>
        </w:trPr>
        <w:tc>
          <w:tcPr>
            <w:tcW w:w="1666" w:type="pct"/>
            <w:shd w:val="clear" w:color="F2F2F2" w:fill="F2F2F2"/>
          </w:tcPr>
          <w:p w:rsidRPr="00AF654B" w:rsidR="0065570C" w:rsidP="00AF654B" w:rsidRDefault="0065570C" w14:paraId="2EC6C319" w14:textId="1EB1E849">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Concepto</w:t>
            </w:r>
          </w:p>
        </w:tc>
        <w:tc>
          <w:tcPr>
            <w:tcW w:w="1667" w:type="pct"/>
            <w:shd w:val="clear" w:color="F2F2F2" w:fill="F2F2F2"/>
          </w:tcPr>
          <w:p w:rsidRPr="00AF654B" w:rsidR="0065570C" w:rsidP="00AF654B" w:rsidRDefault="0065570C" w14:paraId="1A3769EE" w14:textId="2A290CF7">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Valor mensual</w:t>
            </w:r>
          </w:p>
        </w:tc>
        <w:tc>
          <w:tcPr>
            <w:tcW w:w="1667" w:type="pct"/>
            <w:shd w:val="clear" w:color="F2F2F2" w:fill="F2F2F2"/>
          </w:tcPr>
          <w:p w:rsidRPr="00AF654B" w:rsidR="0065570C" w:rsidP="00AF654B" w:rsidRDefault="0065570C" w14:paraId="5AE78CC0" w14:textId="03E32E69">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Estado</w:t>
            </w:r>
          </w:p>
        </w:tc>
      </w:tr>
      <w:tr w:rsidRPr="00041110" w:rsidR="0065570C" w:rsidTr="00AF654B" w14:paraId="075AB246" w14:textId="77777777">
        <w:tc>
          <w:tcPr>
            <w:tcW w:w="1666" w:type="pct"/>
          </w:tcPr>
          <w:p w:rsidRPr="00AF654B" w:rsidR="0065570C" w:rsidP="00AF654B" w:rsidRDefault="0065570C" w14:paraId="705DBAFC" w14:textId="3D781AFB">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Personal: 4 personas × 4 SMMLV × factor prestacional 1,52</w:t>
            </w:r>
          </w:p>
        </w:tc>
        <w:tc>
          <w:tcPr>
            <w:tcW w:w="1667" w:type="pct"/>
          </w:tcPr>
          <w:p w:rsidRPr="00AF654B" w:rsidR="0065570C" w:rsidP="00AF654B" w:rsidRDefault="0065570C" w14:paraId="56DB54DA" w14:textId="43AFE8CC">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$42.582.000</w:t>
            </w:r>
          </w:p>
        </w:tc>
        <w:tc>
          <w:tcPr>
            <w:tcW w:w="1667" w:type="pct"/>
          </w:tcPr>
          <w:p w:rsidRPr="00AF654B" w:rsidR="0065570C" w:rsidP="00AF654B" w:rsidRDefault="0065570C" w14:paraId="375307B0" w14:textId="4E82BD3D">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SMMLV [V]; nivel y factor [S]</w:t>
            </w:r>
          </w:p>
        </w:tc>
      </w:tr>
      <w:tr w:rsidRPr="00AF654B" w:rsidR="0065570C" w:rsidTr="00AF654B" w14:paraId="65CB3A18" w14:textId="77777777">
        <w:tc>
          <w:tcPr>
            <w:tcW w:w="1666" w:type="pct"/>
          </w:tcPr>
          <w:p w:rsidRPr="00AF654B" w:rsidR="0065570C" w:rsidP="00AF654B" w:rsidRDefault="0065570C" w14:paraId="3D75D7E9" w14:textId="08A2B2EB">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Adquisición comercial de promotores</w:t>
            </w:r>
          </w:p>
        </w:tc>
        <w:tc>
          <w:tcPr>
            <w:tcW w:w="1667" w:type="pct"/>
          </w:tcPr>
          <w:p w:rsidRPr="00AF654B" w:rsidR="0065570C" w:rsidP="00AF654B" w:rsidRDefault="0065570C" w14:paraId="6CE8CD20" w14:textId="64B6881B">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$5.000.000</w:t>
            </w:r>
          </w:p>
        </w:tc>
        <w:tc>
          <w:tcPr>
            <w:tcW w:w="1667" w:type="pct"/>
          </w:tcPr>
          <w:p w:rsidRPr="00AF654B" w:rsidR="0065570C" w:rsidP="00AF654B" w:rsidRDefault="0065570C" w14:paraId="3A122967" w14:textId="4990707D">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2B568CE2" w14:textId="77777777">
        <w:tc>
          <w:tcPr>
            <w:tcW w:w="1666" w:type="pct"/>
          </w:tcPr>
          <w:p w:rsidRPr="00AF654B" w:rsidR="0065570C" w:rsidP="00AF654B" w:rsidRDefault="0065570C" w14:paraId="40809737" w14:textId="45384ED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Infraestructura base y ambientes</w:t>
            </w:r>
          </w:p>
        </w:tc>
        <w:tc>
          <w:tcPr>
            <w:tcW w:w="1667" w:type="pct"/>
          </w:tcPr>
          <w:p w:rsidRPr="00AF654B" w:rsidR="0065570C" w:rsidP="00AF654B" w:rsidRDefault="0065570C" w14:paraId="2035F36C" w14:textId="1C35695F">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$2.000.000</w:t>
            </w:r>
          </w:p>
        </w:tc>
        <w:tc>
          <w:tcPr>
            <w:tcW w:w="1667" w:type="pct"/>
          </w:tcPr>
          <w:p w:rsidRPr="00AF654B" w:rsidR="0065570C" w:rsidP="00AF654B" w:rsidRDefault="0065570C" w14:paraId="50C832ED" w14:textId="48181E21">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7E225FFC" w14:textId="77777777">
        <w:tc>
          <w:tcPr>
            <w:tcW w:w="1666" w:type="pct"/>
          </w:tcPr>
          <w:p w:rsidRPr="00AF654B" w:rsidR="0065570C" w:rsidP="00AF654B" w:rsidRDefault="0065570C" w14:paraId="32678B53" w14:textId="6048AFCD">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Cumplimiento legal, contable y de datos</w:t>
            </w:r>
          </w:p>
        </w:tc>
        <w:tc>
          <w:tcPr>
            <w:tcW w:w="1667" w:type="pct"/>
          </w:tcPr>
          <w:p w:rsidRPr="00AF654B" w:rsidR="0065570C" w:rsidP="00AF654B" w:rsidRDefault="0065570C" w14:paraId="4958C518" w14:textId="5F8D472D">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$1.500.000</w:t>
            </w:r>
          </w:p>
        </w:tc>
        <w:tc>
          <w:tcPr>
            <w:tcW w:w="1667" w:type="pct"/>
          </w:tcPr>
          <w:p w:rsidRPr="00AF654B" w:rsidR="0065570C" w:rsidP="00AF654B" w:rsidRDefault="0065570C" w14:paraId="6D8E10AB" w14:textId="49F0854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3E1EBB1D" w14:textId="77777777">
        <w:tc>
          <w:tcPr>
            <w:tcW w:w="1666" w:type="pct"/>
          </w:tcPr>
          <w:p w:rsidRPr="00AF654B" w:rsidR="0065570C" w:rsidP="00AF654B" w:rsidRDefault="0065570C" w14:paraId="07C94E19" w14:textId="2B35DF45">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Licencias y herramientas</w:t>
            </w:r>
          </w:p>
        </w:tc>
        <w:tc>
          <w:tcPr>
            <w:tcW w:w="1667" w:type="pct"/>
          </w:tcPr>
          <w:p w:rsidRPr="00AF654B" w:rsidR="0065570C" w:rsidP="00AF654B" w:rsidRDefault="0065570C" w14:paraId="50C5B8D2" w14:textId="4CC311D0">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$800.000</w:t>
            </w:r>
          </w:p>
        </w:tc>
        <w:tc>
          <w:tcPr>
            <w:tcW w:w="1667" w:type="pct"/>
          </w:tcPr>
          <w:p w:rsidRPr="00AF654B" w:rsidR="0065570C" w:rsidP="00AF654B" w:rsidRDefault="0065570C" w14:paraId="4C5042C7" w14:textId="728F37CB">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715D2DC6" w14:textId="77777777">
        <w:tc>
          <w:tcPr>
            <w:tcW w:w="1666" w:type="pct"/>
          </w:tcPr>
          <w:p w:rsidRPr="00AF654B" w:rsidR="0065570C" w:rsidP="00AF654B" w:rsidRDefault="0065570C" w14:paraId="3BFD13D0" w14:textId="7B5C61C6">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Total fijo mensual</w:t>
            </w:r>
          </w:p>
        </w:tc>
        <w:tc>
          <w:tcPr>
            <w:tcW w:w="1667" w:type="pct"/>
          </w:tcPr>
          <w:p w:rsidRPr="00AF654B" w:rsidR="0065570C" w:rsidP="00AF654B" w:rsidRDefault="0065570C" w14:paraId="76EDE8F4" w14:textId="221FF306">
            <w:pPr>
              <w:spacing w:after="140" w:line="270" w:lineRule="auto"/>
              <w:jc w:val="right"/>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$51.882.000</w:t>
            </w:r>
          </w:p>
        </w:tc>
        <w:tc>
          <w:tcPr>
            <w:tcW w:w="1667" w:type="pct"/>
          </w:tcPr>
          <w:p w:rsidRPr="00AF654B" w:rsidR="0065570C" w:rsidP="00AF654B" w:rsidRDefault="0065570C" w14:paraId="200EC30B" w14:textId="3EBAFE0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bl>
    <w:p w:rsidRPr="00AF654B" w:rsidR="0065570C" w:rsidP="00AF654B" w:rsidRDefault="0065570C" w14:paraId="65A2B85B" w14:textId="77777777">
      <w:pPr>
        <w:spacing w:after="140" w:line="270" w:lineRule="auto"/>
        <w:rPr>
          <w:rFonts w:ascii="Inter" w:hAnsi="Inter"/>
          <w:sz w:val="21"/>
        </w:rPr>
      </w:pPr>
    </w:p>
    <w:p w:rsidRPr="00AF654B" w:rsidR="0065570C" w:rsidP="00AF654B" w:rsidRDefault="0065570C" w14:paraId="4F951DEB" w14:textId="4446B7BC">
      <w:pPr>
        <w:spacing w:after="140" w:line="270" w:lineRule="auto"/>
        <w:jc w:val="both"/>
        <w:rPr>
          <w:rFonts w:ascii="Inter" w:hAnsi="Inter"/>
          <w:sz w:val="21"/>
          <w:lang w:val="es-ES"/>
        </w:rPr>
      </w:pPr>
      <w:r w:rsidRPr="00AF654B">
        <w:rPr>
          <w:rFonts w:ascii="Inter" w:hAnsi="Inter"/>
          <w:color w:val="000000"/>
          <w:sz w:val="21"/>
          <w:lang w:val="es-ES"/>
        </w:rPr>
        <w:t xml:space="preserve">El costo de personal se deriva de cuatro cargos: dos de ingeniería, uno de operación y soporte y uno comercial-técnico. El salario bruto supuesto por persona es 4 × $1.750.905 = $7.003.620. Al aplicar el factor prestacional supuesto de 1,52, el costo por persona es $10.645.502 y el total mensual redondeado es $42.582.000. La validación de nómina y salarios se gestiona como riesgo R3 de la sección 4.10. El SMMLV de 2026 está fijado transitoriamente por el </w:t>
      </w:r>
      <w:hyperlink w:history="1" r:id="rId23">
        <w:r w:rsidRPr="00AF654B">
          <w:rPr>
            <w:rStyle w:val="Hipervnculo"/>
            <w:rFonts w:ascii="Inter" w:hAnsi="Inter"/>
            <w:sz w:val="21"/>
            <w:lang w:val="es-ES"/>
          </w:rPr>
          <w:t xml:space="preserve">Decreto 159 </w:t>
        </w:r>
        <w:r w:rsidRPr="00AF654B">
          <w:rPr>
            <w:rStyle w:val="Hipervnculo"/>
            <w:rFonts w:ascii="Inter" w:hAnsi="Inter"/>
            <w:sz w:val="21"/>
            <w:lang w:val="es-ES"/>
          </w:rPr>
          <w:lastRenderedPageBreak/>
          <w:t>de 2026</w:t>
        </w:r>
      </w:hyperlink>
      <w:r w:rsidRPr="00AF654B">
        <w:rPr>
          <w:rFonts w:ascii="Inter" w:hAnsi="Inter"/>
          <w:color w:val="000000"/>
          <w:sz w:val="21"/>
          <w:lang w:val="es-ES"/>
        </w:rPr>
        <w:t xml:space="preserve">. Si el valor definitivo cambia, el costo de personal se desplaza en la misma proporción. Cada variación de 1% mueve aproximadamente $425.820 al mes y 25 boletas en el punto de equilibrio. Esta descomposición sigue la distinción del curso y de la rúbrica entre </w:t>
      </w:r>
      <w:r w:rsidRPr="00FB215E">
        <w:rPr>
          <w:rFonts w:ascii="Inter" w:hAnsi="Inter"/>
          <w:color w:val="000000"/>
          <w:sz w:val="21"/>
          <w:lang w:val="es-ES"/>
        </w:rPr>
        <w:t>el valor del costo y su inductor</w:t>
      </w:r>
      <w:r w:rsidRPr="00AF654B">
        <w:rPr>
          <w:rFonts w:ascii="Inter" w:hAnsi="Inter"/>
          <w:color w:val="000000"/>
          <w:sz w:val="21"/>
          <w:lang w:val="es-ES"/>
        </w:rPr>
        <w:t>.</w:t>
      </w:r>
    </w:p>
    <w:p w:rsidRPr="00AF654B" w:rsidR="0065570C" w:rsidP="00AF654B" w:rsidRDefault="0065570C" w14:paraId="2FCD477C" w14:textId="2D85B6A6">
      <w:pPr>
        <w:spacing w:after="140" w:line="270" w:lineRule="auto"/>
        <w:jc w:val="both"/>
        <w:rPr>
          <w:rFonts w:ascii="Inter" w:hAnsi="Inter"/>
          <w:sz w:val="21"/>
          <w:lang w:val="es-ES"/>
        </w:rPr>
      </w:pPr>
      <w:r w:rsidRPr="00AF654B">
        <w:rPr>
          <w:rFonts w:ascii="Inter" w:hAnsi="Inter"/>
          <w:color w:val="000000"/>
          <w:sz w:val="21"/>
          <w:lang w:val="es-ES"/>
        </w:rPr>
        <w:t>El canal comercial también tiene una relación económica explícita. Doce meses de adquisición a $5.000.000 representan $60.000.000 para captar diez promotores, por lo que el CAC supuesto es $6.000.000 por promotor. Un evento tipo aporta 7.600 × $17.350 = $131.860.000 antes de costos fijos, cerca de 22 veces ese CAC. Esta comparación supone que cada promotor opera al menos un evento y no reemplaza el análisis futuro de retención y valor de vida del cliente.</w:t>
      </w:r>
    </w:p>
    <w:p w:rsidRPr="008006A1" w:rsidR="0065570C" w:rsidP="00AF654B" w:rsidRDefault="0065570C" w14:paraId="4E27B2DC" w14:textId="64057012">
      <w:pPr>
        <w:pStyle w:val="Ttulo2"/>
        <w:spacing w:before="240"/>
        <w:rPr>
          <w:rFonts w:ascii="Inter" w:hAnsi="Inter"/>
          <w:b/>
          <w:color w:val="1A1A1A"/>
          <w:sz w:val="23"/>
          <w:lang w:val="es-ES"/>
        </w:rPr>
      </w:pPr>
      <w:bookmarkStart w:name="_Toc239897210" w:id="29"/>
      <w:r w:rsidRPr="008006A1">
        <w:rPr>
          <w:rFonts w:ascii="Inter" w:hAnsi="Inter"/>
          <w:b/>
          <w:color w:val="1A1A1A"/>
          <w:sz w:val="23"/>
          <w:lang w:val="es-ES"/>
        </w:rPr>
        <w:t>4.5 Resultado por boleta y punto de equilibrio</w:t>
      </w:r>
      <w:bookmarkEnd w:id="29"/>
    </w:p>
    <w:tbl>
      <w:tblPr>
        <w:tblStyle w:val="Tablabsica1"/>
        <w:tblW w:w="5000" w:type="pct"/>
        <w:tblLook w:val="0620" w:firstRow="1" w:lastRow="0" w:firstColumn="0" w:lastColumn="0" w:noHBand="1" w:noVBand="1"/>
      </w:tblPr>
      <w:tblGrid>
        <w:gridCol w:w="3118"/>
        <w:gridCol w:w="3121"/>
        <w:gridCol w:w="3121"/>
      </w:tblGrid>
      <w:tr w:rsidRPr="00AF654B" w:rsidR="0065570C" w:rsidTr="00AF654B" w14:paraId="7CB12CDF" w14:textId="77777777">
        <w:trPr>
          <w:cnfStyle w:val="100000000000" w:firstRow="1" w:lastRow="0" w:firstColumn="0" w:lastColumn="0" w:oddVBand="0" w:evenVBand="0" w:oddHBand="0" w:evenHBand="0" w:firstRowFirstColumn="0" w:firstRowLastColumn="0" w:lastRowFirstColumn="0" w:lastRowLastColumn="0"/>
          <w:tblHeader/>
        </w:trPr>
        <w:tc>
          <w:tcPr>
            <w:tcW w:w="1666" w:type="pct"/>
            <w:shd w:val="clear" w:color="F2F2F2" w:fill="F2F2F2"/>
          </w:tcPr>
          <w:p w:rsidRPr="00AF654B" w:rsidR="0065570C" w:rsidP="00AF654B" w:rsidRDefault="0065570C" w14:paraId="14947632" w14:textId="49E0E459">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Indicador</w:t>
            </w:r>
          </w:p>
        </w:tc>
        <w:tc>
          <w:tcPr>
            <w:tcW w:w="1667" w:type="pct"/>
            <w:shd w:val="clear" w:color="F2F2F2" w:fill="F2F2F2"/>
          </w:tcPr>
          <w:p w:rsidRPr="00AF654B" w:rsidR="0065570C" w:rsidP="00AF654B" w:rsidRDefault="0065570C" w14:paraId="1E872167" w14:textId="53A50D63">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Resultado</w:t>
            </w:r>
          </w:p>
        </w:tc>
        <w:tc>
          <w:tcPr>
            <w:tcW w:w="1667" w:type="pct"/>
            <w:shd w:val="clear" w:color="F2F2F2" w:fill="F2F2F2"/>
          </w:tcPr>
          <w:p w:rsidRPr="00AF654B" w:rsidR="0065570C" w:rsidP="00AF654B" w:rsidRDefault="0065570C" w14:paraId="4119251A" w14:textId="7DFF6DBF">
            <w:pPr>
              <w:spacing w:after="140" w:line="270" w:lineRule="auto"/>
              <w:rPr>
                <w:rFonts w:ascii="Inter" w:hAnsi="Inter" w:eastAsiaTheme="majorEastAsia" w:cstheme="majorBidi"/>
                <w:b/>
                <w:color w:val="1A1A1A"/>
                <w:sz w:val="18"/>
                <w:szCs w:val="32"/>
              </w:rPr>
            </w:pPr>
            <w:r w:rsidRPr="00AF654B">
              <w:rPr>
                <w:rFonts w:ascii="Inter" w:hAnsi="Inter" w:eastAsiaTheme="majorEastAsia" w:cstheme="majorBidi"/>
                <w:b/>
                <w:color w:val="1A1A1A"/>
                <w:sz w:val="18"/>
                <w:szCs w:val="32"/>
              </w:rPr>
              <w:t>Estado</w:t>
            </w:r>
          </w:p>
        </w:tc>
      </w:tr>
      <w:tr w:rsidRPr="00AF654B" w:rsidR="0065570C" w:rsidTr="00AF654B" w14:paraId="2A5A7DB0" w14:textId="77777777">
        <w:tc>
          <w:tcPr>
            <w:tcW w:w="1666" w:type="pct"/>
          </w:tcPr>
          <w:p w:rsidRPr="00AF654B" w:rsidR="0065570C" w:rsidP="00AF654B" w:rsidRDefault="0065570C" w14:paraId="3413680A" w14:textId="4B222FF9">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Ingreso por boleta atribuible a la venta, cargo más reventa; se excluyen por prudencia los ingresos por evento</w:t>
            </w:r>
          </w:p>
        </w:tc>
        <w:tc>
          <w:tcPr>
            <w:tcW w:w="1667" w:type="pct"/>
          </w:tcPr>
          <w:p w:rsidRPr="00AF654B" w:rsidR="0065570C" w:rsidP="00AF654B" w:rsidRDefault="0065570C" w14:paraId="678B1961" w14:textId="79973966">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$25.120</w:t>
            </w:r>
          </w:p>
        </w:tc>
        <w:tc>
          <w:tcPr>
            <w:tcW w:w="1667" w:type="pct"/>
          </w:tcPr>
          <w:p w:rsidRPr="00AF654B" w:rsidR="0065570C" w:rsidP="00AF654B" w:rsidRDefault="0065570C" w14:paraId="5E597E98" w14:textId="3981E502">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36BA6C41" w14:textId="77777777">
        <w:tc>
          <w:tcPr>
            <w:tcW w:w="1666" w:type="pct"/>
          </w:tcPr>
          <w:p w:rsidRPr="00AF654B" w:rsidR="0065570C" w:rsidP="00AF654B" w:rsidRDefault="0065570C" w14:paraId="6C949510" w14:textId="473B4762">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Costo variable por boleta</w:t>
            </w:r>
          </w:p>
        </w:tc>
        <w:tc>
          <w:tcPr>
            <w:tcW w:w="1667" w:type="pct"/>
          </w:tcPr>
          <w:p w:rsidRPr="00AF654B" w:rsidR="0065570C" w:rsidP="00AF654B" w:rsidRDefault="0065570C" w14:paraId="1B2775A2" w14:textId="482E4348">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$7.770</w:t>
            </w:r>
          </w:p>
        </w:tc>
        <w:tc>
          <w:tcPr>
            <w:tcW w:w="1667" w:type="pct"/>
          </w:tcPr>
          <w:p w:rsidRPr="00AF654B" w:rsidR="0065570C" w:rsidP="00AF654B" w:rsidRDefault="0065570C" w14:paraId="53D89434" w14:textId="31D8025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[S]</w:t>
            </w:r>
          </w:p>
        </w:tc>
      </w:tr>
      <w:tr w:rsidRPr="00AF654B" w:rsidR="0065570C" w:rsidTr="00AF654B" w14:paraId="030E96CA" w14:textId="77777777">
        <w:tc>
          <w:tcPr>
            <w:tcW w:w="1666" w:type="pct"/>
          </w:tcPr>
          <w:p w:rsidRPr="00AF654B" w:rsidR="0065570C" w:rsidP="00AF654B" w:rsidRDefault="0065570C" w14:paraId="28D7B987" w14:textId="46DE8DA2">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Dinero disponible por boleta después de costos variables</w:t>
            </w:r>
          </w:p>
        </w:tc>
        <w:tc>
          <w:tcPr>
            <w:tcW w:w="1667" w:type="pct"/>
          </w:tcPr>
          <w:p w:rsidRPr="00AF654B" w:rsidR="0065570C" w:rsidP="00AF654B" w:rsidRDefault="0065570C" w14:paraId="76F5478E" w14:textId="62EC6B5F">
            <w:pPr>
              <w:spacing w:after="140" w:line="270" w:lineRule="auto"/>
              <w:jc w:val="right"/>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$17.350</w:t>
            </w:r>
          </w:p>
        </w:tc>
        <w:tc>
          <w:tcPr>
            <w:tcW w:w="1667" w:type="pct"/>
          </w:tcPr>
          <w:p w:rsidRPr="00AF654B" w:rsidR="0065570C" w:rsidP="00AF654B" w:rsidRDefault="0065570C" w14:paraId="3AC718C8" w14:textId="22E00E74">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r w:rsidRPr="00AF654B" w:rsidR="0065570C" w:rsidTr="00AF654B" w14:paraId="32C8EA45" w14:textId="77777777">
        <w:tc>
          <w:tcPr>
            <w:tcW w:w="1666" w:type="pct"/>
          </w:tcPr>
          <w:p w:rsidRPr="00AF654B" w:rsidR="0065570C" w:rsidP="00AF654B" w:rsidRDefault="0065570C" w14:paraId="61BB6699" w14:textId="0897440C">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Punto de equilibrio con cargo completo</w:t>
            </w:r>
          </w:p>
        </w:tc>
        <w:tc>
          <w:tcPr>
            <w:tcW w:w="1667" w:type="pct"/>
          </w:tcPr>
          <w:p w:rsidRPr="00AF654B" w:rsidR="0065570C" w:rsidP="00AF654B" w:rsidRDefault="0065570C" w14:paraId="6D5BE3A8" w14:textId="2E1A33E9">
            <w:pPr>
              <w:spacing w:after="140" w:line="270" w:lineRule="auto"/>
              <w:jc w:val="right"/>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2.990 boletas o 0,39 eventos al mes</w:t>
            </w:r>
          </w:p>
        </w:tc>
        <w:tc>
          <w:tcPr>
            <w:tcW w:w="1667" w:type="pct"/>
          </w:tcPr>
          <w:p w:rsidRPr="00AF654B" w:rsidR="0065570C" w:rsidP="00AF654B" w:rsidRDefault="0065570C" w14:paraId="7939A056" w14:textId="3E464A49">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r w:rsidRPr="00AF654B" w:rsidR="0065570C" w:rsidTr="00AF654B" w14:paraId="1E44A0FE" w14:textId="77777777">
        <w:tc>
          <w:tcPr>
            <w:tcW w:w="1666" w:type="pct"/>
          </w:tcPr>
          <w:p w:rsidRPr="00AF654B" w:rsidR="0065570C" w:rsidP="00AF654B" w:rsidRDefault="0065570C" w14:paraId="60D0299D" w14:textId="299CA7CA">
            <w:pPr>
              <w:spacing w:after="140" w:line="270" w:lineRule="auto"/>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Punto de equilibrio con cargo compartido 50/50</w:t>
            </w:r>
          </w:p>
        </w:tc>
        <w:tc>
          <w:tcPr>
            <w:tcW w:w="1667" w:type="pct"/>
          </w:tcPr>
          <w:p w:rsidRPr="00AF654B" w:rsidR="0065570C" w:rsidP="00AF654B" w:rsidRDefault="0065570C" w14:paraId="2CD94FFE" w14:textId="79DDBEFB">
            <w:pPr>
              <w:spacing w:after="140" w:line="270" w:lineRule="auto"/>
              <w:jc w:val="right"/>
              <w:rPr>
                <w:rFonts w:ascii="Inter" w:hAnsi="Inter" w:eastAsiaTheme="majorEastAsia" w:cstheme="majorBidi"/>
                <w:color w:val="1A1A1A"/>
                <w:sz w:val="18"/>
                <w:szCs w:val="32"/>
                <w:lang w:val="es-ES"/>
              </w:rPr>
            </w:pPr>
            <w:r w:rsidRPr="00AF654B">
              <w:rPr>
                <w:rFonts w:ascii="Inter" w:hAnsi="Inter" w:eastAsiaTheme="majorEastAsia" w:cstheme="majorBidi"/>
                <w:color w:val="1A1A1A"/>
                <w:sz w:val="18"/>
                <w:szCs w:val="32"/>
                <w:lang w:val="es-ES"/>
              </w:rPr>
              <w:t>9.698 boletas o 1,28 eventos al mes</w:t>
            </w:r>
          </w:p>
        </w:tc>
        <w:tc>
          <w:tcPr>
            <w:tcW w:w="1667" w:type="pct"/>
          </w:tcPr>
          <w:p w:rsidRPr="00AF654B" w:rsidR="0065570C" w:rsidP="00AF654B" w:rsidRDefault="0065570C" w14:paraId="27DE8297" w14:textId="4AF491C7">
            <w:pPr>
              <w:spacing w:after="140" w:line="270" w:lineRule="auto"/>
              <w:rPr>
                <w:rFonts w:ascii="Inter" w:hAnsi="Inter" w:eastAsiaTheme="majorEastAsia" w:cstheme="majorBidi"/>
                <w:color w:val="1A1A1A"/>
                <w:sz w:val="18"/>
                <w:szCs w:val="32"/>
              </w:rPr>
            </w:pPr>
            <w:r w:rsidRPr="00AF654B">
              <w:rPr>
                <w:rFonts w:ascii="Inter" w:hAnsi="Inter" w:eastAsiaTheme="majorEastAsia" w:cstheme="majorBidi"/>
                <w:color w:val="1A1A1A"/>
                <w:sz w:val="18"/>
                <w:szCs w:val="32"/>
              </w:rPr>
              <w:t>Derivado</w:t>
            </w:r>
          </w:p>
        </w:tc>
      </w:tr>
    </w:tbl>
    <w:p w:rsidRPr="00AF654B" w:rsidR="0065570C" w:rsidP="00AF654B" w:rsidRDefault="0065570C" w14:paraId="5D162909" w14:textId="77777777">
      <w:pPr>
        <w:spacing w:after="140" w:line="270" w:lineRule="auto"/>
        <w:rPr>
          <w:rFonts w:ascii="Inter" w:hAnsi="Inter"/>
          <w:sz w:val="21"/>
        </w:rPr>
      </w:pPr>
    </w:p>
    <w:p w:rsidRPr="00AF654B" w:rsidR="0065570C" w:rsidP="00AF654B" w:rsidRDefault="0065570C" w14:paraId="67C2B84C" w14:textId="1004D3D0">
      <w:pPr>
        <w:spacing w:after="140" w:line="270" w:lineRule="auto"/>
        <w:jc w:val="both"/>
        <w:rPr>
          <w:rFonts w:ascii="Inter" w:hAnsi="Inter"/>
          <w:sz w:val="21"/>
          <w:lang w:val="es-ES"/>
        </w:rPr>
      </w:pPr>
      <w:r w:rsidRPr="00AF654B">
        <w:rPr>
          <w:rFonts w:ascii="Inter" w:hAnsi="Inter"/>
          <w:color w:val="000000"/>
          <w:sz w:val="21"/>
          <w:lang w:val="es-ES"/>
        </w:rPr>
        <w:t>La expresión "dinero disponible por boleta" corresponde al ingreso que queda después de pagar los costos directamente asociados con la venta. Ese valor se utiliza para cubrir los costos fijos mensuales y financiar el crecimiento. Los puntos de equilibrio se redondean a la boleta más cercana y no incluyen los ingresos por evento.</w:t>
      </w:r>
    </w:p>
    <w:p w:rsidRPr="008006A1" w:rsidR="0065570C" w:rsidP="00AF654B" w:rsidRDefault="0065570C" w14:paraId="0CDA089F" w14:textId="2389649A">
      <w:pPr>
        <w:pStyle w:val="Ttulo2"/>
        <w:spacing w:before="240"/>
        <w:rPr>
          <w:rFonts w:ascii="Inter" w:hAnsi="Inter"/>
          <w:b/>
          <w:color w:val="1A1A1A"/>
          <w:sz w:val="23"/>
          <w:lang w:val="es-ES"/>
        </w:rPr>
      </w:pPr>
      <w:bookmarkStart w:name="_Toc239897211" w:id="30"/>
      <w:r w:rsidRPr="008006A1">
        <w:rPr>
          <w:rFonts w:ascii="Inter" w:hAnsi="Inter"/>
          <w:b/>
          <w:color w:val="1A1A1A"/>
          <w:sz w:val="23"/>
          <w:lang w:val="es-ES"/>
        </w:rPr>
        <w:t>4.6 Sensibilidad del punto de equilibrio</w:t>
      </w:r>
      <w:bookmarkEnd w:id="30"/>
    </w:p>
    <w:p w:rsidRPr="00AF654B" w:rsidR="0065570C" w:rsidP="00AF654B" w:rsidRDefault="0065570C" w14:paraId="3851304C" w14:textId="1DB69300">
      <w:pPr>
        <w:spacing w:after="140" w:line="270" w:lineRule="auto"/>
        <w:jc w:val="both"/>
        <w:rPr>
          <w:rFonts w:ascii="Inter" w:hAnsi="Inter"/>
          <w:sz w:val="21"/>
          <w:lang w:val="es-ES"/>
        </w:rPr>
      </w:pPr>
      <w:r w:rsidRPr="00AF654B">
        <w:rPr>
          <w:rFonts w:ascii="Inter" w:hAnsi="Inter"/>
          <w:color w:val="000000"/>
          <w:sz w:val="21"/>
          <w:lang w:val="es-ES"/>
        </w:rPr>
        <w:t>La sensibilidad modifica una variable a la vez y conserva las demás en el escenario base. El IVA de la pasarela se trata como descontable. La ocupación no cambia la contribución por boleta, pero sí cuántas boletas aporta cada evento.</w:t>
      </w:r>
    </w:p>
    <w:tbl>
      <w:tblPr>
        <w:tblStyle w:val="Tablabsica1"/>
        <w:tblW w:w="5000" w:type="pct"/>
        <w:tblLook w:val="0620" w:firstRow="1" w:lastRow="0" w:firstColumn="0" w:lastColumn="0" w:noHBand="1" w:noVBand="1"/>
      </w:tblPr>
      <w:tblGrid>
        <w:gridCol w:w="2340"/>
        <w:gridCol w:w="2340"/>
        <w:gridCol w:w="2340"/>
        <w:gridCol w:w="2340"/>
      </w:tblGrid>
      <w:tr w:rsidRPr="00041110" w:rsidR="0065570C" w:rsidTr="00AF654B" w14:paraId="57AC516D" w14:textId="77777777">
        <w:trPr>
          <w:cnfStyle w:val="100000000000" w:firstRow="1" w:lastRow="0" w:firstColumn="0" w:lastColumn="0" w:oddVBand="0" w:evenVBand="0" w:oddHBand="0" w:evenHBand="0" w:firstRowFirstColumn="0" w:firstRowLastColumn="0" w:lastRowFirstColumn="0" w:lastRowLastColumn="0"/>
          <w:tblHeader/>
        </w:trPr>
        <w:tc>
          <w:tcPr>
            <w:tcW w:w="1250" w:type="pct"/>
            <w:shd w:val="clear" w:color="F2F2F2" w:fill="F2F2F2"/>
          </w:tcPr>
          <w:p w:rsidRPr="00AF654B" w:rsidR="0065570C" w:rsidP="00AF654B" w:rsidRDefault="0065570C" w14:paraId="23214D92" w14:textId="471518F7">
            <w:pPr>
              <w:spacing w:after="140" w:line="270" w:lineRule="auto"/>
              <w:rPr>
                <w:rFonts w:ascii="Inter" w:hAnsi="Inter"/>
                <w:b/>
                <w:color w:val="1A1A1A"/>
                <w:sz w:val="18"/>
              </w:rPr>
            </w:pPr>
            <w:r w:rsidRPr="00AF654B">
              <w:rPr>
                <w:rFonts w:ascii="Inter" w:hAnsi="Inter"/>
                <w:b/>
                <w:color w:val="1A1A1A"/>
                <w:sz w:val="18"/>
              </w:rPr>
              <w:t>Escenario</w:t>
            </w:r>
          </w:p>
        </w:tc>
        <w:tc>
          <w:tcPr>
            <w:tcW w:w="1250" w:type="pct"/>
            <w:shd w:val="clear" w:color="F2F2F2" w:fill="F2F2F2"/>
          </w:tcPr>
          <w:p w:rsidRPr="00AF654B" w:rsidR="0065570C" w:rsidP="00AF654B" w:rsidRDefault="0065570C" w14:paraId="4FA99442" w14:textId="0F6B8E74">
            <w:pPr>
              <w:spacing w:after="140" w:line="270" w:lineRule="auto"/>
              <w:rPr>
                <w:rFonts w:ascii="Inter" w:hAnsi="Inter"/>
                <w:b/>
                <w:color w:val="1A1A1A"/>
                <w:sz w:val="18"/>
              </w:rPr>
            </w:pPr>
            <w:r w:rsidRPr="00AF654B">
              <w:rPr>
                <w:rFonts w:ascii="Inter" w:hAnsi="Inter"/>
                <w:b/>
                <w:color w:val="1A1A1A"/>
                <w:sz w:val="18"/>
              </w:rPr>
              <w:t>Contribución por boleta</w:t>
            </w:r>
          </w:p>
        </w:tc>
        <w:tc>
          <w:tcPr>
            <w:tcW w:w="1250" w:type="pct"/>
            <w:shd w:val="clear" w:color="F2F2F2" w:fill="F2F2F2"/>
          </w:tcPr>
          <w:p w:rsidRPr="00AF654B" w:rsidR="0065570C" w:rsidP="00AF654B" w:rsidRDefault="0065570C" w14:paraId="37A986FD" w14:textId="2C44C000">
            <w:pPr>
              <w:spacing w:after="140" w:line="270" w:lineRule="auto"/>
              <w:rPr>
                <w:rFonts w:ascii="Inter" w:hAnsi="Inter"/>
                <w:b/>
                <w:color w:val="1A1A1A"/>
                <w:sz w:val="18"/>
              </w:rPr>
            </w:pPr>
            <w:r w:rsidRPr="00AF654B">
              <w:rPr>
                <w:rFonts w:ascii="Inter" w:hAnsi="Inter"/>
                <w:b/>
                <w:color w:val="1A1A1A"/>
                <w:sz w:val="18"/>
              </w:rPr>
              <w:t>Boletas de equilibrio</w:t>
            </w:r>
          </w:p>
        </w:tc>
        <w:tc>
          <w:tcPr>
            <w:tcW w:w="1250" w:type="pct"/>
            <w:shd w:val="clear" w:color="F2F2F2" w:fill="F2F2F2"/>
          </w:tcPr>
          <w:p w:rsidRPr="00AF654B" w:rsidR="0065570C" w:rsidP="00AF654B" w:rsidRDefault="0065570C" w14:paraId="7DAC57AC" w14:textId="64867AE4">
            <w:pPr>
              <w:spacing w:after="140" w:line="270" w:lineRule="auto"/>
              <w:rPr>
                <w:rFonts w:ascii="Inter" w:hAnsi="Inter"/>
                <w:b/>
                <w:color w:val="1A1A1A"/>
                <w:sz w:val="18"/>
                <w:lang w:val="es-ES"/>
              </w:rPr>
            </w:pPr>
            <w:r w:rsidRPr="00AF654B">
              <w:rPr>
                <w:rFonts w:ascii="Inter" w:hAnsi="Inter"/>
                <w:b/>
                <w:color w:val="1A1A1A"/>
                <w:sz w:val="18"/>
                <w:lang w:val="es-ES"/>
              </w:rPr>
              <w:t>Eventos de equilibrio al mes</w:t>
            </w:r>
          </w:p>
        </w:tc>
      </w:tr>
      <w:tr w:rsidRPr="00AF654B" w:rsidR="0065570C" w:rsidTr="00AF654B" w14:paraId="63E29CFB" w14:textId="77777777">
        <w:tc>
          <w:tcPr>
            <w:tcW w:w="1250" w:type="pct"/>
          </w:tcPr>
          <w:p w:rsidRPr="00AF654B" w:rsidR="0065570C" w:rsidP="00AF654B" w:rsidRDefault="0065570C" w14:paraId="08BCAAD4" w14:textId="16257431">
            <w:pPr>
              <w:spacing w:after="140" w:line="270" w:lineRule="auto"/>
              <w:rPr>
                <w:rFonts w:ascii="Inter" w:hAnsi="Inter"/>
                <w:color w:val="1A1A1A"/>
                <w:sz w:val="18"/>
              </w:rPr>
            </w:pPr>
            <w:r w:rsidRPr="00AF654B">
              <w:rPr>
                <w:rFonts w:ascii="Inter" w:hAnsi="Inter"/>
                <w:color w:val="1A1A1A"/>
                <w:sz w:val="18"/>
              </w:rPr>
              <w:t>Cargo 12%, ocupación 95%, boleta $200.000</w:t>
            </w:r>
          </w:p>
        </w:tc>
        <w:tc>
          <w:tcPr>
            <w:tcW w:w="1250" w:type="pct"/>
          </w:tcPr>
          <w:p w:rsidRPr="00AF654B" w:rsidR="0065570C" w:rsidP="00AF654B" w:rsidRDefault="0065570C" w14:paraId="48F22D87" w14:textId="35E73CD7">
            <w:pPr>
              <w:spacing w:after="140" w:line="270" w:lineRule="auto"/>
              <w:jc w:val="right"/>
              <w:rPr>
                <w:rFonts w:ascii="Inter" w:hAnsi="Inter"/>
                <w:color w:val="1A1A1A"/>
                <w:sz w:val="18"/>
              </w:rPr>
            </w:pPr>
            <w:r w:rsidRPr="00AF654B">
              <w:rPr>
                <w:rFonts w:ascii="Inter" w:hAnsi="Inter"/>
                <w:color w:val="1A1A1A"/>
                <w:sz w:val="18"/>
              </w:rPr>
              <w:t>$17.350</w:t>
            </w:r>
          </w:p>
        </w:tc>
        <w:tc>
          <w:tcPr>
            <w:tcW w:w="1250" w:type="pct"/>
          </w:tcPr>
          <w:p w:rsidRPr="00AF654B" w:rsidR="0065570C" w:rsidP="00AF654B" w:rsidRDefault="0065570C" w14:paraId="0DC97BD2" w14:textId="0315D110">
            <w:pPr>
              <w:spacing w:after="140" w:line="270" w:lineRule="auto"/>
              <w:jc w:val="right"/>
              <w:rPr>
                <w:rFonts w:ascii="Inter" w:hAnsi="Inter"/>
                <w:color w:val="1A1A1A"/>
                <w:sz w:val="18"/>
              </w:rPr>
            </w:pPr>
            <w:r w:rsidRPr="00AF654B">
              <w:rPr>
                <w:rFonts w:ascii="Inter" w:hAnsi="Inter"/>
                <w:color w:val="1A1A1A"/>
                <w:sz w:val="18"/>
              </w:rPr>
              <w:t>2.990</w:t>
            </w:r>
          </w:p>
        </w:tc>
        <w:tc>
          <w:tcPr>
            <w:tcW w:w="1250" w:type="pct"/>
          </w:tcPr>
          <w:p w:rsidRPr="00AF654B" w:rsidR="0065570C" w:rsidP="00AF654B" w:rsidRDefault="0065570C" w14:paraId="059FF0B9" w14:textId="7701F4D4">
            <w:pPr>
              <w:spacing w:after="140" w:line="270" w:lineRule="auto"/>
              <w:jc w:val="right"/>
              <w:rPr>
                <w:rFonts w:ascii="Inter" w:hAnsi="Inter"/>
                <w:color w:val="1A1A1A"/>
                <w:sz w:val="18"/>
              </w:rPr>
            </w:pPr>
            <w:r w:rsidRPr="00AF654B">
              <w:rPr>
                <w:rFonts w:ascii="Inter" w:hAnsi="Inter"/>
                <w:color w:val="1A1A1A"/>
                <w:sz w:val="18"/>
              </w:rPr>
              <w:t>0,39</w:t>
            </w:r>
          </w:p>
        </w:tc>
      </w:tr>
      <w:tr w:rsidRPr="00AF654B" w:rsidR="0065570C" w:rsidTr="00AF654B" w14:paraId="50C292A4" w14:textId="77777777">
        <w:tc>
          <w:tcPr>
            <w:tcW w:w="1250" w:type="pct"/>
          </w:tcPr>
          <w:p w:rsidRPr="00AF654B" w:rsidR="0065570C" w:rsidP="00AF654B" w:rsidRDefault="0065570C" w14:paraId="07AD36BC" w14:textId="211A54B1">
            <w:pPr>
              <w:spacing w:after="140" w:line="270" w:lineRule="auto"/>
              <w:rPr>
                <w:rFonts w:ascii="Inter" w:hAnsi="Inter"/>
                <w:color w:val="1A1A1A"/>
                <w:sz w:val="18"/>
              </w:rPr>
            </w:pPr>
            <w:r w:rsidRPr="00AF654B">
              <w:rPr>
                <w:rFonts w:ascii="Inter" w:hAnsi="Inter"/>
                <w:color w:val="1A1A1A"/>
                <w:sz w:val="18"/>
              </w:rPr>
              <w:t>Cargo 10%</w:t>
            </w:r>
          </w:p>
        </w:tc>
        <w:tc>
          <w:tcPr>
            <w:tcW w:w="1250" w:type="pct"/>
          </w:tcPr>
          <w:p w:rsidRPr="00AF654B" w:rsidR="0065570C" w:rsidP="00AF654B" w:rsidRDefault="0065570C" w14:paraId="1B196CD7" w14:textId="0A2FD575">
            <w:pPr>
              <w:spacing w:after="140" w:line="270" w:lineRule="auto"/>
              <w:jc w:val="right"/>
              <w:rPr>
                <w:rFonts w:ascii="Inter" w:hAnsi="Inter"/>
                <w:color w:val="1A1A1A"/>
                <w:sz w:val="18"/>
              </w:rPr>
            </w:pPr>
            <w:r w:rsidRPr="00AF654B">
              <w:rPr>
                <w:rFonts w:ascii="Inter" w:hAnsi="Inter"/>
                <w:color w:val="1A1A1A"/>
                <w:sz w:val="18"/>
              </w:rPr>
              <w:t>$13.456</w:t>
            </w:r>
          </w:p>
        </w:tc>
        <w:tc>
          <w:tcPr>
            <w:tcW w:w="1250" w:type="pct"/>
          </w:tcPr>
          <w:p w:rsidRPr="00AF654B" w:rsidR="0065570C" w:rsidP="00AF654B" w:rsidRDefault="0065570C" w14:paraId="397143D4" w14:textId="681CA419">
            <w:pPr>
              <w:spacing w:after="140" w:line="270" w:lineRule="auto"/>
              <w:jc w:val="right"/>
              <w:rPr>
                <w:rFonts w:ascii="Inter" w:hAnsi="Inter"/>
                <w:color w:val="1A1A1A"/>
                <w:sz w:val="18"/>
              </w:rPr>
            </w:pPr>
            <w:r w:rsidRPr="00AF654B">
              <w:rPr>
                <w:rFonts w:ascii="Inter" w:hAnsi="Inter"/>
                <w:color w:val="1A1A1A"/>
                <w:sz w:val="18"/>
              </w:rPr>
              <w:t>3.856</w:t>
            </w:r>
          </w:p>
        </w:tc>
        <w:tc>
          <w:tcPr>
            <w:tcW w:w="1250" w:type="pct"/>
          </w:tcPr>
          <w:p w:rsidRPr="00AF654B" w:rsidR="0065570C" w:rsidP="00AF654B" w:rsidRDefault="0065570C" w14:paraId="4944000B" w14:textId="2DD02E92">
            <w:pPr>
              <w:spacing w:after="140" w:line="270" w:lineRule="auto"/>
              <w:jc w:val="right"/>
              <w:rPr>
                <w:rFonts w:ascii="Inter" w:hAnsi="Inter"/>
                <w:color w:val="1A1A1A"/>
                <w:sz w:val="18"/>
              </w:rPr>
            </w:pPr>
            <w:r w:rsidRPr="00AF654B">
              <w:rPr>
                <w:rFonts w:ascii="Inter" w:hAnsi="Inter"/>
                <w:color w:val="1A1A1A"/>
                <w:sz w:val="18"/>
              </w:rPr>
              <w:t>0,51</w:t>
            </w:r>
          </w:p>
        </w:tc>
      </w:tr>
      <w:tr w:rsidRPr="00AF654B" w:rsidR="0065570C" w:rsidTr="00AF654B" w14:paraId="2D050FCA" w14:textId="77777777">
        <w:tc>
          <w:tcPr>
            <w:tcW w:w="1250" w:type="pct"/>
          </w:tcPr>
          <w:p w:rsidRPr="00AF654B" w:rsidR="0065570C" w:rsidP="00AF654B" w:rsidRDefault="0065570C" w14:paraId="538085F4" w14:textId="26976890">
            <w:pPr>
              <w:spacing w:after="140" w:line="270" w:lineRule="auto"/>
              <w:rPr>
                <w:rFonts w:ascii="Inter" w:hAnsi="Inter"/>
                <w:color w:val="1A1A1A"/>
                <w:sz w:val="18"/>
              </w:rPr>
            </w:pPr>
            <w:r w:rsidRPr="00AF654B">
              <w:rPr>
                <w:rFonts w:ascii="Inter" w:hAnsi="Inter"/>
                <w:color w:val="1A1A1A"/>
                <w:sz w:val="18"/>
              </w:rPr>
              <w:t>Cargo 6%</w:t>
            </w:r>
          </w:p>
        </w:tc>
        <w:tc>
          <w:tcPr>
            <w:tcW w:w="1250" w:type="pct"/>
          </w:tcPr>
          <w:p w:rsidRPr="00AF654B" w:rsidR="0065570C" w:rsidP="00AF654B" w:rsidRDefault="0065570C" w14:paraId="049FBC75" w14:textId="199327C5">
            <w:pPr>
              <w:spacing w:after="140" w:line="270" w:lineRule="auto"/>
              <w:jc w:val="right"/>
              <w:rPr>
                <w:rFonts w:ascii="Inter" w:hAnsi="Inter"/>
                <w:color w:val="1A1A1A"/>
                <w:sz w:val="18"/>
              </w:rPr>
            </w:pPr>
            <w:r w:rsidRPr="00AF654B">
              <w:rPr>
                <w:rFonts w:ascii="Inter" w:hAnsi="Inter"/>
                <w:color w:val="1A1A1A"/>
                <w:sz w:val="18"/>
              </w:rPr>
              <w:t>$5.668</w:t>
            </w:r>
          </w:p>
        </w:tc>
        <w:tc>
          <w:tcPr>
            <w:tcW w:w="1250" w:type="pct"/>
          </w:tcPr>
          <w:p w:rsidRPr="00AF654B" w:rsidR="0065570C" w:rsidP="00AF654B" w:rsidRDefault="0065570C" w14:paraId="7F0D8DAC" w14:textId="3D6960AC">
            <w:pPr>
              <w:spacing w:after="140" w:line="270" w:lineRule="auto"/>
              <w:jc w:val="right"/>
              <w:rPr>
                <w:rFonts w:ascii="Inter" w:hAnsi="Inter"/>
                <w:color w:val="1A1A1A"/>
                <w:sz w:val="18"/>
              </w:rPr>
            </w:pPr>
            <w:r w:rsidRPr="00AF654B">
              <w:rPr>
                <w:rFonts w:ascii="Inter" w:hAnsi="Inter"/>
                <w:color w:val="1A1A1A"/>
                <w:sz w:val="18"/>
              </w:rPr>
              <w:t>9.153</w:t>
            </w:r>
          </w:p>
        </w:tc>
        <w:tc>
          <w:tcPr>
            <w:tcW w:w="1250" w:type="pct"/>
          </w:tcPr>
          <w:p w:rsidRPr="00AF654B" w:rsidR="0065570C" w:rsidP="00AF654B" w:rsidRDefault="0065570C" w14:paraId="4600F007" w14:textId="0EAE717E">
            <w:pPr>
              <w:spacing w:after="140" w:line="270" w:lineRule="auto"/>
              <w:jc w:val="right"/>
              <w:rPr>
                <w:rFonts w:ascii="Inter" w:hAnsi="Inter"/>
                <w:color w:val="1A1A1A"/>
                <w:sz w:val="18"/>
              </w:rPr>
            </w:pPr>
            <w:r w:rsidRPr="00AF654B">
              <w:rPr>
                <w:rFonts w:ascii="Inter" w:hAnsi="Inter"/>
                <w:color w:val="1A1A1A"/>
                <w:sz w:val="18"/>
              </w:rPr>
              <w:t>1,20</w:t>
            </w:r>
          </w:p>
        </w:tc>
      </w:tr>
      <w:tr w:rsidRPr="00AF654B" w:rsidR="0065570C" w:rsidTr="00AF654B" w14:paraId="7CF6A5F6" w14:textId="77777777">
        <w:tc>
          <w:tcPr>
            <w:tcW w:w="1250" w:type="pct"/>
          </w:tcPr>
          <w:p w:rsidRPr="00AF654B" w:rsidR="0065570C" w:rsidP="00AF654B" w:rsidRDefault="0065570C" w14:paraId="363B8AA8" w14:textId="55449B6E">
            <w:pPr>
              <w:spacing w:after="140" w:line="270" w:lineRule="auto"/>
              <w:rPr>
                <w:rFonts w:ascii="Inter" w:hAnsi="Inter"/>
                <w:color w:val="1A1A1A"/>
                <w:sz w:val="18"/>
              </w:rPr>
            </w:pPr>
            <w:r w:rsidRPr="00AF654B">
              <w:rPr>
                <w:rFonts w:ascii="Inter" w:hAnsi="Inter"/>
                <w:color w:val="1A1A1A"/>
                <w:sz w:val="18"/>
              </w:rPr>
              <w:lastRenderedPageBreak/>
              <w:t>Ocupación 80%</w:t>
            </w:r>
          </w:p>
        </w:tc>
        <w:tc>
          <w:tcPr>
            <w:tcW w:w="1250" w:type="pct"/>
          </w:tcPr>
          <w:p w:rsidRPr="00AF654B" w:rsidR="0065570C" w:rsidP="00AF654B" w:rsidRDefault="0065570C" w14:paraId="25431371" w14:textId="440BAEB1">
            <w:pPr>
              <w:spacing w:after="140" w:line="270" w:lineRule="auto"/>
              <w:jc w:val="right"/>
              <w:rPr>
                <w:rFonts w:ascii="Inter" w:hAnsi="Inter"/>
                <w:color w:val="1A1A1A"/>
                <w:sz w:val="18"/>
              </w:rPr>
            </w:pPr>
            <w:r w:rsidRPr="00AF654B">
              <w:rPr>
                <w:rFonts w:ascii="Inter" w:hAnsi="Inter"/>
                <w:color w:val="1A1A1A"/>
                <w:sz w:val="18"/>
              </w:rPr>
              <w:t>$17.350</w:t>
            </w:r>
          </w:p>
        </w:tc>
        <w:tc>
          <w:tcPr>
            <w:tcW w:w="1250" w:type="pct"/>
          </w:tcPr>
          <w:p w:rsidRPr="00AF654B" w:rsidR="0065570C" w:rsidP="00AF654B" w:rsidRDefault="0065570C" w14:paraId="194DA9AC" w14:textId="0F398D14">
            <w:pPr>
              <w:spacing w:after="140" w:line="270" w:lineRule="auto"/>
              <w:jc w:val="right"/>
              <w:rPr>
                <w:rFonts w:ascii="Inter" w:hAnsi="Inter"/>
                <w:color w:val="1A1A1A"/>
                <w:sz w:val="18"/>
              </w:rPr>
            </w:pPr>
            <w:r w:rsidRPr="00AF654B">
              <w:rPr>
                <w:rFonts w:ascii="Inter" w:hAnsi="Inter"/>
                <w:color w:val="1A1A1A"/>
                <w:sz w:val="18"/>
              </w:rPr>
              <w:t>2.990</w:t>
            </w:r>
          </w:p>
        </w:tc>
        <w:tc>
          <w:tcPr>
            <w:tcW w:w="1250" w:type="pct"/>
          </w:tcPr>
          <w:p w:rsidRPr="00AF654B" w:rsidR="0065570C" w:rsidP="00AF654B" w:rsidRDefault="0065570C" w14:paraId="5372FA3C" w14:textId="2DE5E466">
            <w:pPr>
              <w:spacing w:after="140" w:line="270" w:lineRule="auto"/>
              <w:jc w:val="right"/>
              <w:rPr>
                <w:rFonts w:ascii="Inter" w:hAnsi="Inter"/>
                <w:color w:val="1A1A1A"/>
                <w:sz w:val="18"/>
              </w:rPr>
            </w:pPr>
            <w:r w:rsidRPr="00AF654B">
              <w:rPr>
                <w:rFonts w:ascii="Inter" w:hAnsi="Inter"/>
                <w:color w:val="1A1A1A"/>
                <w:sz w:val="18"/>
              </w:rPr>
              <w:t>0,47</w:t>
            </w:r>
          </w:p>
        </w:tc>
      </w:tr>
      <w:tr w:rsidRPr="00AF654B" w:rsidR="0065570C" w:rsidTr="00AF654B" w14:paraId="09CE36B3" w14:textId="77777777">
        <w:tc>
          <w:tcPr>
            <w:tcW w:w="1250" w:type="pct"/>
          </w:tcPr>
          <w:p w:rsidRPr="00AF654B" w:rsidR="0065570C" w:rsidP="00AF654B" w:rsidRDefault="0065570C" w14:paraId="1D49CA3A" w14:textId="6777F65E">
            <w:pPr>
              <w:spacing w:after="140" w:line="270" w:lineRule="auto"/>
              <w:rPr>
                <w:rFonts w:ascii="Inter" w:hAnsi="Inter"/>
                <w:color w:val="1A1A1A"/>
                <w:sz w:val="18"/>
                <w:lang w:val="es-ES"/>
              </w:rPr>
            </w:pPr>
            <w:r w:rsidRPr="00AF654B">
              <w:rPr>
                <w:rFonts w:ascii="Inter" w:hAnsi="Inter"/>
                <w:color w:val="1A1A1A"/>
                <w:sz w:val="18"/>
                <w:lang w:val="es-ES"/>
              </w:rPr>
              <w:t>Boleta $150.000, por debajo de 3 UVT</w:t>
            </w:r>
          </w:p>
        </w:tc>
        <w:tc>
          <w:tcPr>
            <w:tcW w:w="1250" w:type="pct"/>
          </w:tcPr>
          <w:p w:rsidRPr="00AF654B" w:rsidR="0065570C" w:rsidP="00AF654B" w:rsidRDefault="0065570C" w14:paraId="32DFD04A" w14:textId="003361C6">
            <w:pPr>
              <w:spacing w:after="140" w:line="270" w:lineRule="auto"/>
              <w:jc w:val="right"/>
              <w:rPr>
                <w:rFonts w:ascii="Inter" w:hAnsi="Inter"/>
                <w:color w:val="1A1A1A"/>
                <w:sz w:val="18"/>
              </w:rPr>
            </w:pPr>
            <w:r w:rsidRPr="00AF654B">
              <w:rPr>
                <w:rFonts w:ascii="Inter" w:hAnsi="Inter"/>
                <w:color w:val="1A1A1A"/>
                <w:sz w:val="18"/>
              </w:rPr>
              <w:t>$13.084</w:t>
            </w:r>
          </w:p>
        </w:tc>
        <w:tc>
          <w:tcPr>
            <w:tcW w:w="1250" w:type="pct"/>
          </w:tcPr>
          <w:p w:rsidRPr="00AF654B" w:rsidR="0065570C" w:rsidP="00AF654B" w:rsidRDefault="0065570C" w14:paraId="4F4669B8" w14:textId="4E3A9270">
            <w:pPr>
              <w:spacing w:after="140" w:line="270" w:lineRule="auto"/>
              <w:jc w:val="right"/>
              <w:rPr>
                <w:rFonts w:ascii="Inter" w:hAnsi="Inter"/>
                <w:color w:val="1A1A1A"/>
                <w:sz w:val="18"/>
              </w:rPr>
            </w:pPr>
            <w:r w:rsidRPr="00AF654B">
              <w:rPr>
                <w:rFonts w:ascii="Inter" w:hAnsi="Inter"/>
                <w:color w:val="1A1A1A"/>
                <w:sz w:val="18"/>
              </w:rPr>
              <w:t>3.965</w:t>
            </w:r>
          </w:p>
        </w:tc>
        <w:tc>
          <w:tcPr>
            <w:tcW w:w="1250" w:type="pct"/>
          </w:tcPr>
          <w:p w:rsidRPr="00AF654B" w:rsidR="0065570C" w:rsidP="00AF654B" w:rsidRDefault="0065570C" w14:paraId="5B529295" w14:textId="3810C4A8">
            <w:pPr>
              <w:spacing w:after="140" w:line="270" w:lineRule="auto"/>
              <w:jc w:val="right"/>
              <w:rPr>
                <w:rFonts w:ascii="Inter" w:hAnsi="Inter"/>
                <w:color w:val="1A1A1A"/>
                <w:sz w:val="18"/>
              </w:rPr>
            </w:pPr>
            <w:r w:rsidRPr="00AF654B">
              <w:rPr>
                <w:rFonts w:ascii="Inter" w:hAnsi="Inter"/>
                <w:color w:val="1A1A1A"/>
                <w:sz w:val="18"/>
              </w:rPr>
              <w:t>0,52</w:t>
            </w:r>
          </w:p>
        </w:tc>
      </w:tr>
    </w:tbl>
    <w:p w:rsidRPr="00AF654B" w:rsidR="0065570C" w:rsidP="00AF654B" w:rsidRDefault="0065570C" w14:paraId="21059FC4" w14:textId="77777777">
      <w:pPr>
        <w:spacing w:after="140" w:line="270" w:lineRule="auto"/>
        <w:rPr>
          <w:rFonts w:ascii="Inter" w:hAnsi="Inter"/>
          <w:sz w:val="21"/>
        </w:rPr>
      </w:pPr>
    </w:p>
    <w:p w:rsidRPr="00AF654B" w:rsidR="0065570C" w:rsidP="00AF654B" w:rsidRDefault="0065570C" w14:paraId="3CBDC5D5" w14:textId="67496587">
      <w:pPr>
        <w:spacing w:after="140" w:line="270" w:lineRule="auto"/>
        <w:jc w:val="both"/>
        <w:rPr>
          <w:rFonts w:ascii="Inter" w:hAnsi="Inter"/>
          <w:sz w:val="21"/>
          <w:lang w:val="es-ES"/>
        </w:rPr>
      </w:pPr>
      <w:r w:rsidRPr="00AF654B">
        <w:rPr>
          <w:rFonts w:ascii="Inter" w:hAnsi="Inter"/>
          <w:color w:val="000000"/>
          <w:sz w:val="21"/>
          <w:lang w:val="es-ES"/>
        </w:rPr>
        <w:t>La tabla muestra que el porcentaje del cargo es el inductor de mayor efecto. Un menor aforo vendido modifica los eventos necesarios, mientras que una boleta de $150.000 también reduce el cargo, la reventa atribuida y el costo de pasarela; además queda por debajo del umbral parafiscal modelado.</w:t>
      </w:r>
    </w:p>
    <w:p w:rsidRPr="008006A1" w:rsidR="0065570C" w:rsidP="00AF654B" w:rsidRDefault="0065570C" w14:paraId="07DCC168" w14:textId="3AF473BF">
      <w:pPr>
        <w:pStyle w:val="Ttulo2"/>
        <w:spacing w:before="240"/>
        <w:rPr>
          <w:rFonts w:ascii="Inter" w:hAnsi="Inter"/>
          <w:b/>
          <w:color w:val="1A1A1A"/>
          <w:sz w:val="23"/>
          <w:lang w:val="es-ES"/>
        </w:rPr>
      </w:pPr>
      <w:bookmarkStart w:name="_Toc239897212" w:id="31"/>
      <w:r w:rsidRPr="008006A1">
        <w:rPr>
          <w:rFonts w:ascii="Inter" w:hAnsi="Inter"/>
          <w:b/>
          <w:color w:val="1A1A1A"/>
          <w:sz w:val="23"/>
          <w:lang w:val="es-ES"/>
        </w:rPr>
        <w:t>4.7 Necesidad de capital antes del primer ingreso</w:t>
      </w:r>
      <w:bookmarkEnd w:id="31"/>
    </w:p>
    <w:p w:rsidRPr="00AF654B" w:rsidR="0065570C" w:rsidP="00AF654B" w:rsidRDefault="0065570C" w14:paraId="2DF80504" w14:textId="177A2345">
      <w:pPr>
        <w:spacing w:after="140" w:line="270" w:lineRule="auto"/>
        <w:jc w:val="both"/>
        <w:rPr>
          <w:rFonts w:ascii="Inter" w:hAnsi="Inter"/>
          <w:sz w:val="21"/>
          <w:lang w:val="es-ES"/>
        </w:rPr>
      </w:pPr>
      <w:r w:rsidRPr="00AF654B">
        <w:rPr>
          <w:rFonts w:ascii="Inter" w:hAnsi="Inter"/>
          <w:color w:val="000000"/>
          <w:sz w:val="21"/>
          <w:lang w:val="es-ES"/>
        </w:rPr>
        <w:t>[S] T0 dura entre cuatro y seis meses. El rango no pretende sustituir un presupuesto; responde cuánto capital debe estar disponible antes de recibir ingresos y hace explícita la incertidumbre que se cerrará durante T0. La notación T0.1 a T0.6 identifica cada mes de esta etapa preoperativa.</w:t>
      </w:r>
    </w:p>
    <w:tbl>
      <w:tblPr>
        <w:tblStyle w:val="Tablabsica1"/>
        <w:tblW w:w="5000" w:type="pct"/>
        <w:tblLook w:val="0620" w:firstRow="1" w:lastRow="0" w:firstColumn="0" w:lastColumn="0" w:noHBand="1" w:noVBand="1"/>
      </w:tblPr>
      <w:tblGrid>
        <w:gridCol w:w="3118"/>
        <w:gridCol w:w="3121"/>
        <w:gridCol w:w="3121"/>
      </w:tblGrid>
      <w:tr w:rsidRPr="00AF654B" w:rsidR="0065570C" w:rsidTr="00AF654B" w14:paraId="4F1733AC" w14:textId="77777777">
        <w:trPr>
          <w:cnfStyle w:val="100000000000" w:firstRow="1" w:lastRow="0" w:firstColumn="0" w:lastColumn="0" w:oddVBand="0" w:evenVBand="0" w:oddHBand="0" w:evenHBand="0" w:firstRowFirstColumn="0" w:firstRowLastColumn="0" w:lastRowFirstColumn="0" w:lastRowLastColumn="0"/>
          <w:tblHeader/>
        </w:trPr>
        <w:tc>
          <w:tcPr>
            <w:tcW w:w="1666" w:type="pct"/>
            <w:shd w:val="clear" w:color="F2F2F2" w:fill="F2F2F2"/>
          </w:tcPr>
          <w:p w:rsidRPr="00AF654B" w:rsidR="0065570C" w:rsidP="00AF654B" w:rsidRDefault="0065570C" w14:paraId="13AE8E00" w14:textId="4F879FD6">
            <w:pPr>
              <w:spacing w:after="140" w:line="270" w:lineRule="auto"/>
              <w:rPr>
                <w:rFonts w:ascii="Inter" w:hAnsi="Inter"/>
                <w:b/>
                <w:color w:val="1A1A1A"/>
                <w:sz w:val="18"/>
              </w:rPr>
            </w:pPr>
            <w:r w:rsidRPr="00AF654B">
              <w:rPr>
                <w:rFonts w:ascii="Inter" w:hAnsi="Inter"/>
                <w:b/>
                <w:color w:val="1A1A1A"/>
                <w:sz w:val="18"/>
              </w:rPr>
              <w:t>Componente</w:t>
            </w:r>
          </w:p>
        </w:tc>
        <w:tc>
          <w:tcPr>
            <w:tcW w:w="1667" w:type="pct"/>
            <w:shd w:val="clear" w:color="F2F2F2" w:fill="F2F2F2"/>
          </w:tcPr>
          <w:p w:rsidRPr="00AF654B" w:rsidR="0065570C" w:rsidP="00AF654B" w:rsidRDefault="0065570C" w14:paraId="2A8A5CA9" w14:textId="210BC762">
            <w:pPr>
              <w:spacing w:after="140" w:line="270" w:lineRule="auto"/>
              <w:rPr>
                <w:rFonts w:ascii="Inter" w:hAnsi="Inter"/>
                <w:b/>
                <w:color w:val="1A1A1A"/>
                <w:sz w:val="18"/>
              </w:rPr>
            </w:pPr>
            <w:r w:rsidRPr="00AF654B">
              <w:rPr>
                <w:rFonts w:ascii="Inter" w:hAnsi="Inter"/>
                <w:b/>
                <w:color w:val="1A1A1A"/>
                <w:sz w:val="18"/>
              </w:rPr>
              <w:t>Cálculo</w:t>
            </w:r>
          </w:p>
        </w:tc>
        <w:tc>
          <w:tcPr>
            <w:tcW w:w="1667" w:type="pct"/>
            <w:shd w:val="clear" w:color="F2F2F2" w:fill="F2F2F2"/>
          </w:tcPr>
          <w:p w:rsidRPr="00AF654B" w:rsidR="0065570C" w:rsidP="00AF654B" w:rsidRDefault="0065570C" w14:paraId="19117DE3" w14:textId="5BECD0FE">
            <w:pPr>
              <w:spacing w:after="140" w:line="270" w:lineRule="auto"/>
              <w:rPr>
                <w:rFonts w:ascii="Inter" w:hAnsi="Inter"/>
                <w:b/>
                <w:color w:val="1A1A1A"/>
                <w:sz w:val="18"/>
              </w:rPr>
            </w:pPr>
            <w:r w:rsidRPr="00AF654B">
              <w:rPr>
                <w:rFonts w:ascii="Inter" w:hAnsi="Inter"/>
                <w:b/>
                <w:color w:val="1A1A1A"/>
                <w:sz w:val="18"/>
              </w:rPr>
              <w:t>Rango estimado</w:t>
            </w:r>
          </w:p>
        </w:tc>
      </w:tr>
      <w:tr w:rsidRPr="00AF654B" w:rsidR="0065570C" w:rsidTr="00AF654B" w14:paraId="28297CDA" w14:textId="77777777">
        <w:tc>
          <w:tcPr>
            <w:tcW w:w="1666" w:type="pct"/>
          </w:tcPr>
          <w:p w:rsidRPr="00AF654B" w:rsidR="0065570C" w:rsidP="00AF654B" w:rsidRDefault="0065570C" w14:paraId="48262EE4" w14:textId="271A8AAC">
            <w:pPr>
              <w:spacing w:after="140" w:line="270" w:lineRule="auto"/>
              <w:rPr>
                <w:rFonts w:ascii="Inter" w:hAnsi="Inter"/>
                <w:color w:val="1A1A1A"/>
                <w:sz w:val="18"/>
              </w:rPr>
            </w:pPr>
            <w:r w:rsidRPr="00AF654B">
              <w:rPr>
                <w:rFonts w:ascii="Inter" w:hAnsi="Inter"/>
                <w:color w:val="1A1A1A"/>
                <w:sz w:val="18"/>
              </w:rPr>
              <w:t>Costos fijos durante T0</w:t>
            </w:r>
          </w:p>
        </w:tc>
        <w:tc>
          <w:tcPr>
            <w:tcW w:w="1667" w:type="pct"/>
          </w:tcPr>
          <w:p w:rsidRPr="00AF654B" w:rsidR="0065570C" w:rsidP="00AF654B" w:rsidRDefault="0065570C" w14:paraId="7BE1BFC2" w14:textId="4046BFA0">
            <w:pPr>
              <w:spacing w:after="140" w:line="270" w:lineRule="auto"/>
              <w:rPr>
                <w:rFonts w:ascii="Inter" w:hAnsi="Inter"/>
                <w:color w:val="1A1A1A"/>
                <w:sz w:val="18"/>
              </w:rPr>
            </w:pPr>
            <w:r w:rsidRPr="00AF654B">
              <w:rPr>
                <w:rFonts w:ascii="Inter" w:hAnsi="Inter"/>
                <w:color w:val="1A1A1A"/>
                <w:sz w:val="18"/>
              </w:rPr>
              <w:t>4 a 6 meses × $51.882.000</w:t>
            </w:r>
          </w:p>
        </w:tc>
        <w:tc>
          <w:tcPr>
            <w:tcW w:w="1667" w:type="pct"/>
          </w:tcPr>
          <w:p w:rsidRPr="00AF654B" w:rsidR="0065570C" w:rsidP="00AF654B" w:rsidRDefault="0065570C" w14:paraId="1E867B00" w14:textId="7532407A">
            <w:pPr>
              <w:spacing w:after="140" w:line="270" w:lineRule="auto"/>
              <w:jc w:val="right"/>
              <w:rPr>
                <w:rFonts w:ascii="Inter" w:hAnsi="Inter"/>
                <w:color w:val="1A1A1A"/>
                <w:sz w:val="18"/>
              </w:rPr>
            </w:pPr>
            <w:r w:rsidRPr="00AF654B">
              <w:rPr>
                <w:rFonts w:ascii="Inter" w:hAnsi="Inter"/>
                <w:color w:val="1A1A1A"/>
                <w:sz w:val="18"/>
              </w:rPr>
              <w:t>$207.528.000 a $311.292.000</w:t>
            </w:r>
          </w:p>
        </w:tc>
      </w:tr>
      <w:tr w:rsidRPr="00AF654B" w:rsidR="0065570C" w:rsidTr="00AF654B" w14:paraId="2A24EC30" w14:textId="77777777">
        <w:tc>
          <w:tcPr>
            <w:tcW w:w="1666" w:type="pct"/>
          </w:tcPr>
          <w:p w:rsidRPr="00AF654B" w:rsidR="0065570C" w:rsidP="00AF654B" w:rsidRDefault="0065570C" w14:paraId="5AA78678" w14:textId="23E082FB">
            <w:pPr>
              <w:spacing w:after="140" w:line="270" w:lineRule="auto"/>
              <w:rPr>
                <w:rFonts w:ascii="Inter" w:hAnsi="Inter"/>
                <w:color w:val="1A1A1A"/>
                <w:sz w:val="18"/>
                <w:lang w:val="es-ES"/>
              </w:rPr>
            </w:pPr>
            <w:r w:rsidRPr="00AF654B">
              <w:rPr>
                <w:rFonts w:ascii="Inter" w:hAnsi="Inter"/>
                <w:color w:val="1A1A1A"/>
                <w:sz w:val="18"/>
                <w:lang w:val="es-ES"/>
              </w:rPr>
              <w:t>Habilitación inicial fuera de nómina</w:t>
            </w:r>
          </w:p>
        </w:tc>
        <w:tc>
          <w:tcPr>
            <w:tcW w:w="1667" w:type="pct"/>
          </w:tcPr>
          <w:p w:rsidRPr="00AF654B" w:rsidR="0065570C" w:rsidP="00AF654B" w:rsidRDefault="0065570C" w14:paraId="67DE8A2D" w14:textId="770D97FE">
            <w:pPr>
              <w:spacing w:after="140" w:line="270" w:lineRule="auto"/>
              <w:rPr>
                <w:rFonts w:ascii="Inter" w:hAnsi="Inter"/>
                <w:color w:val="1A1A1A"/>
                <w:sz w:val="18"/>
                <w:lang w:val="es-ES"/>
              </w:rPr>
            </w:pPr>
            <w:r w:rsidRPr="00AF654B">
              <w:rPr>
                <w:rFonts w:ascii="Inter" w:hAnsi="Inter"/>
                <w:color w:val="1A1A1A"/>
                <w:sz w:val="18"/>
                <w:lang w:val="es-ES"/>
              </w:rPr>
              <w:t>0,5 a 1 mes de costo fijo para desarrollo externo, seguridad, asesoría y autorización</w:t>
            </w:r>
          </w:p>
        </w:tc>
        <w:tc>
          <w:tcPr>
            <w:tcW w:w="1667" w:type="pct"/>
          </w:tcPr>
          <w:p w:rsidRPr="00AF654B" w:rsidR="0065570C" w:rsidP="00AF654B" w:rsidRDefault="0065570C" w14:paraId="5F67BF5B" w14:textId="5F8CF00B">
            <w:pPr>
              <w:spacing w:after="140" w:line="270" w:lineRule="auto"/>
              <w:jc w:val="right"/>
              <w:rPr>
                <w:rFonts w:ascii="Inter" w:hAnsi="Inter"/>
                <w:color w:val="1A1A1A"/>
                <w:sz w:val="18"/>
              </w:rPr>
            </w:pPr>
            <w:r w:rsidRPr="00AF654B">
              <w:rPr>
                <w:rFonts w:ascii="Inter" w:hAnsi="Inter"/>
                <w:color w:val="1A1A1A"/>
                <w:sz w:val="18"/>
              </w:rPr>
              <w:t>$25.941.000 a $51.882.000</w:t>
            </w:r>
          </w:p>
        </w:tc>
      </w:tr>
      <w:tr w:rsidRPr="00AF654B" w:rsidR="0065570C" w:rsidTr="00AF654B" w14:paraId="1D4E9BFD" w14:textId="77777777">
        <w:tc>
          <w:tcPr>
            <w:tcW w:w="1666" w:type="pct"/>
          </w:tcPr>
          <w:p w:rsidRPr="00AF654B" w:rsidR="0065570C" w:rsidP="00AF654B" w:rsidRDefault="0065570C" w14:paraId="6585B704" w14:textId="3CE1D11B">
            <w:pPr>
              <w:spacing w:after="140" w:line="270" w:lineRule="auto"/>
              <w:rPr>
                <w:rFonts w:ascii="Inter" w:hAnsi="Inter"/>
                <w:color w:val="1A1A1A"/>
                <w:sz w:val="18"/>
              </w:rPr>
            </w:pPr>
            <w:r w:rsidRPr="00AF654B">
              <w:rPr>
                <w:rFonts w:ascii="Inter" w:hAnsi="Inter"/>
                <w:color w:val="1A1A1A"/>
                <w:sz w:val="18"/>
              </w:rPr>
              <w:t>Reserva de liquidez</w:t>
            </w:r>
          </w:p>
        </w:tc>
        <w:tc>
          <w:tcPr>
            <w:tcW w:w="1667" w:type="pct"/>
          </w:tcPr>
          <w:p w:rsidRPr="00AF654B" w:rsidR="0065570C" w:rsidP="00AF654B" w:rsidRDefault="0065570C" w14:paraId="55CAFC87" w14:textId="3E1FBCFE">
            <w:pPr>
              <w:spacing w:after="140" w:line="270" w:lineRule="auto"/>
              <w:rPr>
                <w:rFonts w:ascii="Inter" w:hAnsi="Inter"/>
                <w:color w:val="1A1A1A"/>
                <w:sz w:val="18"/>
                <w:lang w:val="es-ES"/>
              </w:rPr>
            </w:pPr>
            <w:r w:rsidRPr="00AF654B">
              <w:rPr>
                <w:rFonts w:ascii="Inter" w:hAnsi="Inter"/>
                <w:color w:val="1A1A1A"/>
                <w:sz w:val="18"/>
                <w:lang w:val="es-ES"/>
              </w:rPr>
              <w:t>5% a 10% de los $1.672 millones de terceros en un evento tipo</w:t>
            </w:r>
          </w:p>
        </w:tc>
        <w:tc>
          <w:tcPr>
            <w:tcW w:w="1667" w:type="pct"/>
          </w:tcPr>
          <w:p w:rsidRPr="00AF654B" w:rsidR="0065570C" w:rsidP="00AF654B" w:rsidRDefault="0065570C" w14:paraId="6746AC58" w14:textId="62A2415A">
            <w:pPr>
              <w:spacing w:after="140" w:line="270" w:lineRule="auto"/>
              <w:jc w:val="right"/>
              <w:rPr>
                <w:rFonts w:ascii="Inter" w:hAnsi="Inter"/>
                <w:color w:val="1A1A1A"/>
                <w:sz w:val="18"/>
              </w:rPr>
            </w:pPr>
            <w:r w:rsidRPr="00AF654B">
              <w:rPr>
                <w:rFonts w:ascii="Inter" w:hAnsi="Inter"/>
                <w:color w:val="1A1A1A"/>
                <w:sz w:val="18"/>
              </w:rPr>
              <w:t>$83.600.000 a $167.200.000</w:t>
            </w:r>
          </w:p>
        </w:tc>
      </w:tr>
      <w:tr w:rsidRPr="00AF654B" w:rsidR="0065570C" w:rsidTr="00AF654B" w14:paraId="58A1BAC9" w14:textId="77777777">
        <w:tc>
          <w:tcPr>
            <w:tcW w:w="1666" w:type="pct"/>
          </w:tcPr>
          <w:p w:rsidRPr="00AF654B" w:rsidR="0065570C" w:rsidP="00AF654B" w:rsidRDefault="0065570C" w14:paraId="6BC30197" w14:textId="05B1F4D0">
            <w:pPr>
              <w:spacing w:after="140" w:line="270" w:lineRule="auto"/>
              <w:rPr>
                <w:rFonts w:ascii="Inter" w:hAnsi="Inter"/>
                <w:b/>
                <w:color w:val="1A1A1A"/>
                <w:sz w:val="18"/>
              </w:rPr>
            </w:pPr>
            <w:r w:rsidRPr="00AF654B">
              <w:rPr>
                <w:rFonts w:ascii="Inter" w:hAnsi="Inter"/>
                <w:b/>
                <w:color w:val="1A1A1A"/>
                <w:sz w:val="18"/>
              </w:rPr>
              <w:t>Necesidad de capital estimada</w:t>
            </w:r>
          </w:p>
        </w:tc>
        <w:tc>
          <w:tcPr>
            <w:tcW w:w="1667" w:type="pct"/>
          </w:tcPr>
          <w:p w:rsidRPr="00AF654B" w:rsidR="0065570C" w:rsidP="00AF654B" w:rsidRDefault="0065570C" w14:paraId="3320DF0A" w14:textId="17097E3F">
            <w:pPr>
              <w:spacing w:after="140" w:line="270" w:lineRule="auto"/>
              <w:rPr>
                <w:rFonts w:ascii="Inter" w:hAnsi="Inter"/>
                <w:color w:val="1A1A1A"/>
                <w:sz w:val="18"/>
                <w:lang w:val="es-ES"/>
              </w:rPr>
            </w:pPr>
            <w:r w:rsidRPr="00AF654B">
              <w:rPr>
                <w:rFonts w:ascii="Inter" w:hAnsi="Inter"/>
                <w:color w:val="1A1A1A"/>
                <w:sz w:val="18"/>
                <w:lang w:val="es-ES"/>
              </w:rPr>
              <w:t>Suma de los tres componentes</w:t>
            </w:r>
          </w:p>
        </w:tc>
        <w:tc>
          <w:tcPr>
            <w:tcW w:w="1667" w:type="pct"/>
          </w:tcPr>
          <w:p w:rsidRPr="00AF654B" w:rsidR="0065570C" w:rsidP="00AF654B" w:rsidRDefault="0065570C" w14:paraId="0F194CBD" w14:textId="623CF094">
            <w:pPr>
              <w:spacing w:after="140" w:line="270" w:lineRule="auto"/>
              <w:jc w:val="right"/>
              <w:rPr>
                <w:rFonts w:ascii="Inter" w:hAnsi="Inter"/>
                <w:b/>
                <w:color w:val="1A1A1A"/>
                <w:sz w:val="18"/>
              </w:rPr>
            </w:pPr>
            <w:r w:rsidRPr="00AF654B">
              <w:rPr>
                <w:rFonts w:ascii="Inter" w:hAnsi="Inter"/>
                <w:b/>
                <w:color w:val="1A1A1A"/>
                <w:sz w:val="18"/>
              </w:rPr>
              <w:t>$317.069.000 a $530.374.000</w:t>
            </w:r>
          </w:p>
        </w:tc>
      </w:tr>
    </w:tbl>
    <w:p w:rsidRPr="00AF654B" w:rsidR="0065570C" w:rsidP="00AF654B" w:rsidRDefault="0065570C" w14:paraId="159084FB" w14:textId="77777777">
      <w:pPr>
        <w:spacing w:after="140" w:line="270" w:lineRule="auto"/>
        <w:rPr>
          <w:rFonts w:ascii="Inter" w:hAnsi="Inter"/>
          <w:sz w:val="21"/>
        </w:rPr>
      </w:pPr>
    </w:p>
    <w:p w:rsidRPr="00AF654B" w:rsidR="0065570C" w:rsidP="00AF654B" w:rsidRDefault="0065570C" w14:paraId="5DE68DD1" w14:textId="2EA0E340">
      <w:pPr>
        <w:spacing w:after="140" w:line="270" w:lineRule="auto"/>
        <w:jc w:val="both"/>
      </w:pPr>
      <w:r w:rsidRPr="55234BA3" w:rsidR="0065570C">
        <w:rPr>
          <w:rFonts w:ascii="Inter" w:hAnsi="Inter"/>
          <w:color w:val="000000" w:themeColor="text1" w:themeTint="FF" w:themeShade="FF"/>
          <w:sz w:val="21"/>
          <w:szCs w:val="21"/>
          <w:lang w:val="es-ES"/>
        </w:rPr>
        <w:t>La habilitación y la reserva son supuestos de planeación, no cotizaciones verificadas. El desarrollo realizado por los dos cargos de ingeniería ya está incluido en el costo fijo y no se suma de nuevo. Los $1.854,4 millones recaudados en un evento tampoco son capital propio: son fondos originados por las ventas que deben custodiarse. Si el contrato permite girarlos antes del evento, la exposición por cancelación puede superar la reserva y alcanzar el recaudo completo.</w:t>
      </w:r>
    </w:p>
    <w:p w:rsidR="55511A9E" w:rsidP="55234BA3" w:rsidRDefault="55511A9E" w14:paraId="100DF05F" w14:textId="1A5B36CE">
      <w:pPr>
        <w:pStyle w:val="Normal"/>
        <w:spacing w:after="140" w:line="270" w:lineRule="auto"/>
        <w:jc w:val="both"/>
      </w:pPr>
      <w:r w:rsidRPr="55234BA3" w:rsidR="55511A9E">
        <w:rPr>
          <w:rFonts w:ascii="system-ui" w:hAnsi="system-ui" w:eastAsia="system-ui" w:cs="system-ui"/>
          <w:b w:val="0"/>
          <w:bCs w:val="0"/>
          <w:i w:val="0"/>
          <w:iCs w:val="0"/>
          <w:caps w:val="0"/>
          <w:smallCaps w:val="0"/>
          <w:noProof w:val="0"/>
          <w:color w:val="141414"/>
          <w:sz w:val="22"/>
          <w:szCs w:val="22"/>
          <w:lang w:val="es-ES"/>
        </w:rPr>
        <w:t>T0 pide entre ~$317 M y ~$530 M antes del primer peso de ingreso. Con el modelo base, un evento tipo al mes ya cubre fijos; recuperar ese capital toma del orden de un trimestre de operación en verde en el ritmo de T1, o varios años si hay que compartir el cargo por servicio.</w:t>
      </w:r>
    </w:p>
    <w:p w:rsidRPr="008006A1" w:rsidR="0065570C" w:rsidP="00AF654B" w:rsidRDefault="0065570C" w14:paraId="084287E5" w14:textId="7B63FE95">
      <w:pPr>
        <w:pStyle w:val="Ttulo2"/>
        <w:spacing w:before="240"/>
        <w:rPr>
          <w:rFonts w:ascii="Inter" w:hAnsi="Inter"/>
          <w:b/>
          <w:color w:val="1A1A1A"/>
          <w:sz w:val="23"/>
          <w:lang w:val="es-ES"/>
        </w:rPr>
      </w:pPr>
      <w:bookmarkStart w:name="_Toc239897213" w:id="32"/>
      <w:r w:rsidRPr="008006A1">
        <w:rPr>
          <w:rFonts w:ascii="Inter" w:hAnsi="Inter"/>
          <w:b/>
          <w:color w:val="1A1A1A"/>
          <w:sz w:val="23"/>
          <w:lang w:val="es-ES"/>
        </w:rPr>
        <w:t>4.8 Proyección del primer año</w:t>
      </w:r>
      <w:bookmarkEnd w:id="32"/>
    </w:p>
    <w:p w:rsidRPr="00AF654B" w:rsidR="0065570C" w:rsidP="00AF654B" w:rsidRDefault="0065570C" w14:paraId="67D4CA36" w14:textId="5BF10B77">
      <w:pPr>
        <w:spacing w:after="140" w:line="270" w:lineRule="auto"/>
        <w:jc w:val="both"/>
        <w:rPr>
          <w:rFonts w:ascii="Inter" w:hAnsi="Inter"/>
          <w:sz w:val="21"/>
          <w:lang w:val="es-ES"/>
        </w:rPr>
      </w:pPr>
      <w:r w:rsidRPr="00AF654B">
        <w:rPr>
          <w:rFonts w:ascii="Inter" w:hAnsi="Inter"/>
          <w:color w:val="000000"/>
          <w:sz w:val="21"/>
          <w:lang w:val="es-ES"/>
        </w:rPr>
        <w:t>La siguiente proyección representa un escenario comercial agresivo [S], no un presupuesto aprobado. Utiliza la misma unidad económica y aumenta gradualmente de dos a diez promotores activos. Antes existe un T0 de cuatro a seis meses sin ventas para obtener la autorización como operador, completar el producto y financiar la operación inicial.</w:t>
      </w:r>
    </w:p>
    <w:p w:rsidRPr="00AF654B" w:rsidR="0065570C" w:rsidP="00AF654B" w:rsidRDefault="0065570C" w14:paraId="6010BD5F" w14:textId="7D3DC09F">
      <w:pPr>
        <w:spacing w:after="140" w:line="270" w:lineRule="auto"/>
        <w:jc w:val="both"/>
        <w:rPr>
          <w:rFonts w:ascii="Inter" w:hAnsi="Inter"/>
          <w:sz w:val="21"/>
          <w:lang w:val="es-ES"/>
        </w:rPr>
      </w:pPr>
      <w:r w:rsidRPr="00AF654B">
        <w:rPr>
          <w:rFonts w:ascii="Inter" w:hAnsi="Inter"/>
          <w:color w:val="000000"/>
          <w:sz w:val="21"/>
          <w:lang w:val="es-ES"/>
        </w:rPr>
        <w:t>T1, T2, T3 y T4 corresponden al primer, segundo, tercer y cuarto trimestre posteriores a la autorización. Las cifras trimestrales son promedios mensuales; la última columna acumula los tres meses de cada trimestre.</w:t>
      </w:r>
    </w:p>
    <w:tbl>
      <w:tblPr>
        <w:tblStyle w:val="Tablabsica1"/>
        <w:tblW w:w="5000" w:type="pct"/>
        <w:tblLook w:val="0620" w:firstRow="1" w:lastRow="0" w:firstColumn="0" w:lastColumn="0" w:noHBand="1" w:noVBand="1"/>
      </w:tblPr>
      <w:tblGrid>
        <w:gridCol w:w="1738"/>
        <w:gridCol w:w="1522"/>
        <w:gridCol w:w="1524"/>
        <w:gridCol w:w="1524"/>
        <w:gridCol w:w="1524"/>
        <w:gridCol w:w="1528"/>
      </w:tblGrid>
      <w:tr w:rsidRPr="00AF654B" w:rsidR="0065570C" w:rsidTr="00AF654B" w14:paraId="3D369564" w14:textId="77777777">
        <w:trPr>
          <w:cnfStyle w:val="100000000000" w:firstRow="1" w:lastRow="0" w:firstColumn="0" w:lastColumn="0" w:oddVBand="0" w:evenVBand="0" w:oddHBand="0" w:evenHBand="0" w:firstRowFirstColumn="0" w:firstRowLastColumn="0" w:lastRowFirstColumn="0" w:lastRowLastColumn="0"/>
          <w:tblHeader/>
        </w:trPr>
        <w:tc>
          <w:tcPr>
            <w:tcW w:w="929" w:type="pct"/>
            <w:shd w:val="clear" w:color="F2F2F2" w:fill="F2F2F2"/>
          </w:tcPr>
          <w:p w:rsidRPr="00AF654B" w:rsidR="0065570C" w:rsidP="00AF654B" w:rsidRDefault="0065570C" w14:paraId="71E874A0" w14:textId="0869A0E7">
            <w:pPr>
              <w:spacing w:after="140" w:line="270" w:lineRule="auto"/>
              <w:rPr>
                <w:rFonts w:ascii="Inter" w:hAnsi="Inter"/>
                <w:b/>
                <w:color w:val="1A1A1A"/>
                <w:sz w:val="18"/>
              </w:rPr>
            </w:pPr>
            <w:r w:rsidRPr="00AF654B">
              <w:rPr>
                <w:rFonts w:ascii="Inter" w:hAnsi="Inter"/>
                <w:b/>
                <w:color w:val="1A1A1A"/>
                <w:sz w:val="18"/>
              </w:rPr>
              <w:lastRenderedPageBreak/>
              <w:t>Indicador mensual promedio</w:t>
            </w:r>
          </w:p>
        </w:tc>
        <w:tc>
          <w:tcPr>
            <w:tcW w:w="813" w:type="pct"/>
            <w:shd w:val="clear" w:color="F2F2F2" w:fill="F2F2F2"/>
          </w:tcPr>
          <w:p w:rsidRPr="00AF654B" w:rsidR="0065570C" w:rsidP="00AF654B" w:rsidRDefault="0065570C" w14:paraId="7DCF03A6" w14:textId="574E64A8">
            <w:pPr>
              <w:spacing w:after="140" w:line="270" w:lineRule="auto"/>
              <w:rPr>
                <w:rFonts w:ascii="Inter" w:hAnsi="Inter"/>
                <w:b/>
                <w:color w:val="1A1A1A"/>
                <w:sz w:val="18"/>
              </w:rPr>
            </w:pPr>
            <w:r w:rsidRPr="00AF654B">
              <w:rPr>
                <w:rFonts w:ascii="Inter" w:hAnsi="Inter"/>
                <w:b/>
                <w:color w:val="1A1A1A"/>
                <w:sz w:val="18"/>
              </w:rPr>
              <w:t>T1</w:t>
            </w:r>
          </w:p>
        </w:tc>
        <w:tc>
          <w:tcPr>
            <w:tcW w:w="814" w:type="pct"/>
            <w:shd w:val="clear" w:color="F2F2F2" w:fill="F2F2F2"/>
          </w:tcPr>
          <w:p w:rsidRPr="00AF654B" w:rsidR="0065570C" w:rsidP="00AF654B" w:rsidRDefault="0065570C" w14:paraId="09CBFC4E" w14:textId="75785759">
            <w:pPr>
              <w:spacing w:after="140" w:line="270" w:lineRule="auto"/>
              <w:rPr>
                <w:rFonts w:ascii="Inter" w:hAnsi="Inter"/>
                <w:b/>
                <w:color w:val="1A1A1A"/>
                <w:sz w:val="18"/>
              </w:rPr>
            </w:pPr>
            <w:r w:rsidRPr="00AF654B">
              <w:rPr>
                <w:rFonts w:ascii="Inter" w:hAnsi="Inter"/>
                <w:b/>
                <w:color w:val="1A1A1A"/>
                <w:sz w:val="18"/>
              </w:rPr>
              <w:t>T2</w:t>
            </w:r>
          </w:p>
        </w:tc>
        <w:tc>
          <w:tcPr>
            <w:tcW w:w="814" w:type="pct"/>
            <w:shd w:val="clear" w:color="F2F2F2" w:fill="F2F2F2"/>
          </w:tcPr>
          <w:p w:rsidRPr="00AF654B" w:rsidR="0065570C" w:rsidP="00AF654B" w:rsidRDefault="0065570C" w14:paraId="719AFFB2" w14:textId="24BBD4C4">
            <w:pPr>
              <w:spacing w:after="140" w:line="270" w:lineRule="auto"/>
              <w:rPr>
                <w:rFonts w:ascii="Inter" w:hAnsi="Inter"/>
                <w:b/>
                <w:color w:val="1A1A1A"/>
                <w:sz w:val="18"/>
              </w:rPr>
            </w:pPr>
            <w:r w:rsidRPr="00AF654B">
              <w:rPr>
                <w:rFonts w:ascii="Inter" w:hAnsi="Inter"/>
                <w:b/>
                <w:color w:val="1A1A1A"/>
                <w:sz w:val="18"/>
              </w:rPr>
              <w:t>T3</w:t>
            </w:r>
          </w:p>
        </w:tc>
        <w:tc>
          <w:tcPr>
            <w:tcW w:w="814" w:type="pct"/>
            <w:shd w:val="clear" w:color="F2F2F2" w:fill="F2F2F2"/>
          </w:tcPr>
          <w:p w:rsidRPr="00AF654B" w:rsidR="0065570C" w:rsidP="00AF654B" w:rsidRDefault="0065570C" w14:paraId="625034D1" w14:textId="54DE182D">
            <w:pPr>
              <w:spacing w:after="140" w:line="270" w:lineRule="auto"/>
              <w:rPr>
                <w:rFonts w:ascii="Inter" w:hAnsi="Inter"/>
                <w:b/>
                <w:color w:val="1A1A1A"/>
                <w:sz w:val="18"/>
              </w:rPr>
            </w:pPr>
            <w:r w:rsidRPr="00AF654B">
              <w:rPr>
                <w:rFonts w:ascii="Inter" w:hAnsi="Inter"/>
                <w:b/>
                <w:color w:val="1A1A1A"/>
                <w:sz w:val="18"/>
              </w:rPr>
              <w:t>T4</w:t>
            </w:r>
          </w:p>
        </w:tc>
        <w:tc>
          <w:tcPr>
            <w:tcW w:w="816" w:type="pct"/>
            <w:shd w:val="clear" w:color="F2F2F2" w:fill="F2F2F2"/>
          </w:tcPr>
          <w:p w:rsidRPr="00AF654B" w:rsidR="0065570C" w:rsidP="00AF654B" w:rsidRDefault="0065570C" w14:paraId="3A071828" w14:textId="6752604B">
            <w:pPr>
              <w:spacing w:after="140" w:line="270" w:lineRule="auto"/>
              <w:rPr>
                <w:rFonts w:ascii="Inter" w:hAnsi="Inter"/>
                <w:b/>
                <w:color w:val="1A1A1A"/>
                <w:sz w:val="18"/>
              </w:rPr>
            </w:pPr>
            <w:r w:rsidRPr="00AF654B">
              <w:rPr>
                <w:rFonts w:ascii="Inter" w:hAnsi="Inter"/>
                <w:b/>
                <w:color w:val="1A1A1A"/>
                <w:sz w:val="18"/>
              </w:rPr>
              <w:t>Total año 1</w:t>
            </w:r>
          </w:p>
        </w:tc>
      </w:tr>
      <w:tr w:rsidRPr="00AF654B" w:rsidR="0065570C" w:rsidTr="00AF654B" w14:paraId="1E214BB3" w14:textId="77777777">
        <w:tc>
          <w:tcPr>
            <w:tcW w:w="929" w:type="pct"/>
          </w:tcPr>
          <w:p w:rsidRPr="00AF654B" w:rsidR="0065570C" w:rsidP="00AF654B" w:rsidRDefault="0065570C" w14:paraId="720DF584" w14:textId="5E45174E">
            <w:pPr>
              <w:spacing w:after="140" w:line="270" w:lineRule="auto"/>
              <w:rPr>
                <w:rFonts w:ascii="Inter" w:hAnsi="Inter"/>
                <w:color w:val="1A1A1A"/>
                <w:sz w:val="18"/>
              </w:rPr>
            </w:pPr>
            <w:r w:rsidRPr="00AF654B">
              <w:rPr>
                <w:rFonts w:ascii="Inter" w:hAnsi="Inter"/>
                <w:color w:val="1A1A1A"/>
                <w:sz w:val="18"/>
              </w:rPr>
              <w:t>Promotores activos</w:t>
            </w:r>
          </w:p>
        </w:tc>
        <w:tc>
          <w:tcPr>
            <w:tcW w:w="813" w:type="pct"/>
          </w:tcPr>
          <w:p w:rsidRPr="00AF654B" w:rsidR="0065570C" w:rsidP="00AF654B" w:rsidRDefault="0065570C" w14:paraId="1C90C124" w14:textId="1B9BE10E">
            <w:pPr>
              <w:spacing w:after="140" w:line="270" w:lineRule="auto"/>
              <w:jc w:val="right"/>
              <w:rPr>
                <w:rFonts w:ascii="Inter" w:hAnsi="Inter"/>
                <w:color w:val="1A1A1A"/>
                <w:sz w:val="18"/>
              </w:rPr>
            </w:pPr>
            <w:r w:rsidRPr="00AF654B">
              <w:rPr>
                <w:rFonts w:ascii="Inter" w:hAnsi="Inter"/>
                <w:color w:val="1A1A1A"/>
                <w:sz w:val="18"/>
              </w:rPr>
              <w:t>2</w:t>
            </w:r>
          </w:p>
        </w:tc>
        <w:tc>
          <w:tcPr>
            <w:tcW w:w="814" w:type="pct"/>
          </w:tcPr>
          <w:p w:rsidRPr="00AF654B" w:rsidR="0065570C" w:rsidP="00AF654B" w:rsidRDefault="0065570C" w14:paraId="784E430A" w14:textId="4615A822">
            <w:pPr>
              <w:spacing w:after="140" w:line="270" w:lineRule="auto"/>
              <w:jc w:val="right"/>
              <w:rPr>
                <w:rFonts w:ascii="Inter" w:hAnsi="Inter"/>
                <w:color w:val="1A1A1A"/>
                <w:sz w:val="18"/>
              </w:rPr>
            </w:pPr>
            <w:r w:rsidRPr="00AF654B">
              <w:rPr>
                <w:rFonts w:ascii="Inter" w:hAnsi="Inter"/>
                <w:color w:val="1A1A1A"/>
                <w:sz w:val="18"/>
              </w:rPr>
              <w:t>4</w:t>
            </w:r>
          </w:p>
        </w:tc>
        <w:tc>
          <w:tcPr>
            <w:tcW w:w="814" w:type="pct"/>
          </w:tcPr>
          <w:p w:rsidRPr="00AF654B" w:rsidR="0065570C" w:rsidP="00AF654B" w:rsidRDefault="0065570C" w14:paraId="6D6EC2FA" w14:textId="47DFF638">
            <w:pPr>
              <w:spacing w:after="140" w:line="270" w:lineRule="auto"/>
              <w:jc w:val="right"/>
              <w:rPr>
                <w:rFonts w:ascii="Inter" w:hAnsi="Inter"/>
                <w:color w:val="1A1A1A"/>
                <w:sz w:val="18"/>
              </w:rPr>
            </w:pPr>
            <w:r w:rsidRPr="00AF654B">
              <w:rPr>
                <w:rFonts w:ascii="Inter" w:hAnsi="Inter"/>
                <w:color w:val="1A1A1A"/>
                <w:sz w:val="18"/>
              </w:rPr>
              <w:t>7</w:t>
            </w:r>
          </w:p>
        </w:tc>
        <w:tc>
          <w:tcPr>
            <w:tcW w:w="814" w:type="pct"/>
          </w:tcPr>
          <w:p w:rsidRPr="00AF654B" w:rsidR="0065570C" w:rsidP="00AF654B" w:rsidRDefault="0065570C" w14:paraId="4D3AE3D6" w14:textId="75F5A253">
            <w:pPr>
              <w:spacing w:after="140" w:line="270" w:lineRule="auto"/>
              <w:jc w:val="right"/>
              <w:rPr>
                <w:rFonts w:ascii="Inter" w:hAnsi="Inter"/>
                <w:color w:val="1A1A1A"/>
                <w:sz w:val="18"/>
              </w:rPr>
            </w:pPr>
            <w:r w:rsidRPr="00AF654B">
              <w:rPr>
                <w:rFonts w:ascii="Inter" w:hAnsi="Inter"/>
                <w:color w:val="1A1A1A"/>
                <w:sz w:val="18"/>
              </w:rPr>
              <w:t>10</w:t>
            </w:r>
          </w:p>
        </w:tc>
        <w:tc>
          <w:tcPr>
            <w:tcW w:w="816" w:type="pct"/>
          </w:tcPr>
          <w:p w:rsidRPr="00AF654B" w:rsidR="0065570C" w:rsidP="00AF654B" w:rsidRDefault="0065570C" w14:paraId="67435BB0" w14:textId="6B613E24">
            <w:pPr>
              <w:spacing w:after="140" w:line="270" w:lineRule="auto"/>
              <w:jc w:val="right"/>
              <w:rPr>
                <w:rFonts w:ascii="Inter" w:hAnsi="Inter"/>
                <w:color w:val="1A1A1A"/>
                <w:sz w:val="18"/>
              </w:rPr>
            </w:pPr>
            <w:r w:rsidRPr="00AF654B">
              <w:rPr>
                <w:rFonts w:ascii="Inter" w:hAnsi="Inter"/>
                <w:color w:val="1A1A1A"/>
                <w:sz w:val="18"/>
              </w:rPr>
              <w:t>No se suma</w:t>
            </w:r>
          </w:p>
        </w:tc>
      </w:tr>
      <w:tr w:rsidRPr="00AF654B" w:rsidR="0065570C" w:rsidTr="00AF654B" w14:paraId="4A03E6BB" w14:textId="77777777">
        <w:tc>
          <w:tcPr>
            <w:tcW w:w="929" w:type="pct"/>
          </w:tcPr>
          <w:p w:rsidRPr="00AF654B" w:rsidR="0065570C" w:rsidP="00AF654B" w:rsidRDefault="0065570C" w14:paraId="7E61E6EB" w14:textId="0C99CBD0">
            <w:pPr>
              <w:spacing w:after="140" w:line="270" w:lineRule="auto"/>
              <w:rPr>
                <w:rFonts w:ascii="Inter" w:hAnsi="Inter"/>
                <w:color w:val="1A1A1A"/>
                <w:sz w:val="18"/>
              </w:rPr>
            </w:pPr>
            <w:r w:rsidRPr="00AF654B">
              <w:rPr>
                <w:rFonts w:ascii="Inter" w:hAnsi="Inter"/>
                <w:color w:val="1A1A1A"/>
                <w:sz w:val="18"/>
              </w:rPr>
              <w:t>Eventos pagos</w:t>
            </w:r>
          </w:p>
        </w:tc>
        <w:tc>
          <w:tcPr>
            <w:tcW w:w="813" w:type="pct"/>
          </w:tcPr>
          <w:p w:rsidRPr="00AF654B" w:rsidR="0065570C" w:rsidP="00AF654B" w:rsidRDefault="0065570C" w14:paraId="0CE4BDDC" w14:textId="032CB139">
            <w:pPr>
              <w:spacing w:after="140" w:line="270" w:lineRule="auto"/>
              <w:jc w:val="right"/>
              <w:rPr>
                <w:rFonts w:ascii="Inter" w:hAnsi="Inter"/>
                <w:color w:val="1A1A1A"/>
                <w:sz w:val="18"/>
              </w:rPr>
            </w:pPr>
            <w:r w:rsidRPr="00AF654B">
              <w:rPr>
                <w:rFonts w:ascii="Inter" w:hAnsi="Inter"/>
                <w:color w:val="1A1A1A"/>
                <w:sz w:val="18"/>
              </w:rPr>
              <w:t>2</w:t>
            </w:r>
          </w:p>
        </w:tc>
        <w:tc>
          <w:tcPr>
            <w:tcW w:w="814" w:type="pct"/>
          </w:tcPr>
          <w:p w:rsidRPr="00AF654B" w:rsidR="0065570C" w:rsidP="00AF654B" w:rsidRDefault="0065570C" w14:paraId="3E545765" w14:textId="64979632">
            <w:pPr>
              <w:spacing w:after="140" w:line="270" w:lineRule="auto"/>
              <w:jc w:val="right"/>
              <w:rPr>
                <w:rFonts w:ascii="Inter" w:hAnsi="Inter"/>
                <w:color w:val="1A1A1A"/>
                <w:sz w:val="18"/>
              </w:rPr>
            </w:pPr>
            <w:r w:rsidRPr="00AF654B">
              <w:rPr>
                <w:rFonts w:ascii="Inter" w:hAnsi="Inter"/>
                <w:color w:val="1A1A1A"/>
                <w:sz w:val="18"/>
              </w:rPr>
              <w:t>4</w:t>
            </w:r>
          </w:p>
        </w:tc>
        <w:tc>
          <w:tcPr>
            <w:tcW w:w="814" w:type="pct"/>
          </w:tcPr>
          <w:p w:rsidRPr="00AF654B" w:rsidR="0065570C" w:rsidP="00AF654B" w:rsidRDefault="0065570C" w14:paraId="44A9998E" w14:textId="2669E8BD">
            <w:pPr>
              <w:spacing w:after="140" w:line="270" w:lineRule="auto"/>
              <w:jc w:val="right"/>
              <w:rPr>
                <w:rFonts w:ascii="Inter" w:hAnsi="Inter"/>
                <w:color w:val="1A1A1A"/>
                <w:sz w:val="18"/>
              </w:rPr>
            </w:pPr>
            <w:r w:rsidRPr="00AF654B">
              <w:rPr>
                <w:rFonts w:ascii="Inter" w:hAnsi="Inter"/>
                <w:color w:val="1A1A1A"/>
                <w:sz w:val="18"/>
              </w:rPr>
              <w:t>7</w:t>
            </w:r>
          </w:p>
        </w:tc>
        <w:tc>
          <w:tcPr>
            <w:tcW w:w="814" w:type="pct"/>
          </w:tcPr>
          <w:p w:rsidRPr="00AF654B" w:rsidR="0065570C" w:rsidP="00AF654B" w:rsidRDefault="0065570C" w14:paraId="3974AA96" w14:textId="48126CB5">
            <w:pPr>
              <w:spacing w:after="140" w:line="270" w:lineRule="auto"/>
              <w:jc w:val="right"/>
              <w:rPr>
                <w:rFonts w:ascii="Inter" w:hAnsi="Inter"/>
                <w:color w:val="1A1A1A"/>
                <w:sz w:val="18"/>
              </w:rPr>
            </w:pPr>
            <w:r w:rsidRPr="00AF654B">
              <w:rPr>
                <w:rFonts w:ascii="Inter" w:hAnsi="Inter"/>
                <w:color w:val="1A1A1A"/>
                <w:sz w:val="18"/>
              </w:rPr>
              <w:t>10</w:t>
            </w:r>
          </w:p>
        </w:tc>
        <w:tc>
          <w:tcPr>
            <w:tcW w:w="816" w:type="pct"/>
          </w:tcPr>
          <w:p w:rsidRPr="00AF654B" w:rsidR="0065570C" w:rsidP="00AF654B" w:rsidRDefault="0065570C" w14:paraId="4BC119B4" w14:textId="05E131A0">
            <w:pPr>
              <w:spacing w:after="140" w:line="270" w:lineRule="auto"/>
              <w:jc w:val="right"/>
              <w:rPr>
                <w:rFonts w:ascii="Inter" w:hAnsi="Inter"/>
                <w:color w:val="1A1A1A"/>
                <w:sz w:val="18"/>
              </w:rPr>
            </w:pPr>
            <w:r w:rsidRPr="00AF654B">
              <w:rPr>
                <w:rFonts w:ascii="Inter" w:hAnsi="Inter"/>
                <w:color w:val="1A1A1A"/>
                <w:sz w:val="18"/>
              </w:rPr>
              <w:t>69</w:t>
            </w:r>
          </w:p>
        </w:tc>
      </w:tr>
      <w:tr w:rsidRPr="00AF654B" w:rsidR="0065570C" w:rsidTr="00AF654B" w14:paraId="5432ECDC" w14:textId="77777777">
        <w:tc>
          <w:tcPr>
            <w:tcW w:w="929" w:type="pct"/>
          </w:tcPr>
          <w:p w:rsidRPr="00AF654B" w:rsidR="0065570C" w:rsidP="00AF654B" w:rsidRDefault="0065570C" w14:paraId="12B773B2" w14:textId="2B3980BF">
            <w:pPr>
              <w:spacing w:after="140" w:line="270" w:lineRule="auto"/>
              <w:rPr>
                <w:rFonts w:ascii="Inter" w:hAnsi="Inter"/>
                <w:color w:val="1A1A1A"/>
                <w:sz w:val="18"/>
              </w:rPr>
            </w:pPr>
            <w:r w:rsidRPr="00AF654B">
              <w:rPr>
                <w:rFonts w:ascii="Inter" w:hAnsi="Inter"/>
                <w:color w:val="1A1A1A"/>
                <w:sz w:val="18"/>
              </w:rPr>
              <w:t>Boletas vendidas</w:t>
            </w:r>
          </w:p>
        </w:tc>
        <w:tc>
          <w:tcPr>
            <w:tcW w:w="813" w:type="pct"/>
          </w:tcPr>
          <w:p w:rsidRPr="00AF654B" w:rsidR="0065570C" w:rsidP="00AF654B" w:rsidRDefault="0065570C" w14:paraId="22DE2C63" w14:textId="580CED03">
            <w:pPr>
              <w:spacing w:after="140" w:line="270" w:lineRule="auto"/>
              <w:jc w:val="right"/>
              <w:rPr>
                <w:rFonts w:ascii="Inter" w:hAnsi="Inter"/>
                <w:color w:val="1A1A1A"/>
                <w:sz w:val="18"/>
              </w:rPr>
            </w:pPr>
            <w:r w:rsidRPr="00AF654B">
              <w:rPr>
                <w:rFonts w:ascii="Inter" w:hAnsi="Inter"/>
                <w:color w:val="1A1A1A"/>
                <w:sz w:val="18"/>
              </w:rPr>
              <w:t>15.200</w:t>
            </w:r>
          </w:p>
        </w:tc>
        <w:tc>
          <w:tcPr>
            <w:tcW w:w="814" w:type="pct"/>
          </w:tcPr>
          <w:p w:rsidRPr="00AF654B" w:rsidR="0065570C" w:rsidP="00AF654B" w:rsidRDefault="0065570C" w14:paraId="405998B3" w14:textId="02ED6CD4">
            <w:pPr>
              <w:spacing w:after="140" w:line="270" w:lineRule="auto"/>
              <w:jc w:val="right"/>
              <w:rPr>
                <w:rFonts w:ascii="Inter" w:hAnsi="Inter"/>
                <w:color w:val="1A1A1A"/>
                <w:sz w:val="18"/>
              </w:rPr>
            </w:pPr>
            <w:r w:rsidRPr="00AF654B">
              <w:rPr>
                <w:rFonts w:ascii="Inter" w:hAnsi="Inter"/>
                <w:color w:val="1A1A1A"/>
                <w:sz w:val="18"/>
              </w:rPr>
              <w:t>30.400</w:t>
            </w:r>
          </w:p>
        </w:tc>
        <w:tc>
          <w:tcPr>
            <w:tcW w:w="814" w:type="pct"/>
          </w:tcPr>
          <w:p w:rsidRPr="00AF654B" w:rsidR="0065570C" w:rsidP="00AF654B" w:rsidRDefault="0065570C" w14:paraId="4843D07C" w14:textId="6974A13C">
            <w:pPr>
              <w:spacing w:after="140" w:line="270" w:lineRule="auto"/>
              <w:jc w:val="right"/>
              <w:rPr>
                <w:rFonts w:ascii="Inter" w:hAnsi="Inter"/>
                <w:color w:val="1A1A1A"/>
                <w:sz w:val="18"/>
              </w:rPr>
            </w:pPr>
            <w:r w:rsidRPr="00AF654B">
              <w:rPr>
                <w:rFonts w:ascii="Inter" w:hAnsi="Inter"/>
                <w:color w:val="1A1A1A"/>
                <w:sz w:val="18"/>
              </w:rPr>
              <w:t>53.200</w:t>
            </w:r>
          </w:p>
        </w:tc>
        <w:tc>
          <w:tcPr>
            <w:tcW w:w="814" w:type="pct"/>
          </w:tcPr>
          <w:p w:rsidRPr="00AF654B" w:rsidR="0065570C" w:rsidP="00AF654B" w:rsidRDefault="0065570C" w14:paraId="6CA20D7F" w14:textId="3A5A58AF">
            <w:pPr>
              <w:spacing w:after="140" w:line="270" w:lineRule="auto"/>
              <w:jc w:val="right"/>
              <w:rPr>
                <w:rFonts w:ascii="Inter" w:hAnsi="Inter"/>
                <w:color w:val="1A1A1A"/>
                <w:sz w:val="18"/>
              </w:rPr>
            </w:pPr>
            <w:r w:rsidRPr="00AF654B">
              <w:rPr>
                <w:rFonts w:ascii="Inter" w:hAnsi="Inter"/>
                <w:color w:val="1A1A1A"/>
                <w:sz w:val="18"/>
              </w:rPr>
              <w:t>76.000</w:t>
            </w:r>
          </w:p>
        </w:tc>
        <w:tc>
          <w:tcPr>
            <w:tcW w:w="816" w:type="pct"/>
          </w:tcPr>
          <w:p w:rsidRPr="00AF654B" w:rsidR="0065570C" w:rsidP="00AF654B" w:rsidRDefault="0065570C" w14:paraId="1FECA2EC" w14:textId="370912E8">
            <w:pPr>
              <w:spacing w:after="140" w:line="270" w:lineRule="auto"/>
              <w:jc w:val="right"/>
              <w:rPr>
                <w:rFonts w:ascii="Inter" w:hAnsi="Inter"/>
                <w:color w:val="1A1A1A"/>
                <w:sz w:val="18"/>
              </w:rPr>
            </w:pPr>
            <w:r w:rsidRPr="00AF654B">
              <w:rPr>
                <w:rFonts w:ascii="Inter" w:hAnsi="Inter"/>
                <w:color w:val="1A1A1A"/>
                <w:sz w:val="18"/>
              </w:rPr>
              <w:t>524.400</w:t>
            </w:r>
          </w:p>
        </w:tc>
      </w:tr>
      <w:tr w:rsidRPr="00AF654B" w:rsidR="0065570C" w:rsidTr="00AF654B" w14:paraId="1B5548E9" w14:textId="77777777">
        <w:tc>
          <w:tcPr>
            <w:tcW w:w="929" w:type="pct"/>
          </w:tcPr>
          <w:p w:rsidRPr="00AF654B" w:rsidR="0065570C" w:rsidP="00AF654B" w:rsidRDefault="0065570C" w14:paraId="40B58572" w14:textId="7227263F">
            <w:pPr>
              <w:spacing w:after="140" w:line="270" w:lineRule="auto"/>
              <w:rPr>
                <w:rFonts w:ascii="Inter" w:hAnsi="Inter"/>
                <w:color w:val="1A1A1A"/>
                <w:sz w:val="18"/>
              </w:rPr>
            </w:pPr>
            <w:r w:rsidRPr="00AF654B">
              <w:rPr>
                <w:rFonts w:ascii="Inter" w:hAnsi="Inter"/>
                <w:color w:val="1A1A1A"/>
                <w:sz w:val="18"/>
              </w:rPr>
              <w:t>Ingresos aproximados</w:t>
            </w:r>
          </w:p>
        </w:tc>
        <w:tc>
          <w:tcPr>
            <w:tcW w:w="813" w:type="pct"/>
          </w:tcPr>
          <w:p w:rsidRPr="00AF654B" w:rsidR="0065570C" w:rsidP="00AF654B" w:rsidRDefault="0065570C" w14:paraId="0ECD31DF" w14:textId="62F3222A">
            <w:pPr>
              <w:spacing w:after="140" w:line="270" w:lineRule="auto"/>
              <w:jc w:val="right"/>
              <w:rPr>
                <w:rFonts w:ascii="Inter" w:hAnsi="Inter"/>
                <w:color w:val="1A1A1A"/>
                <w:sz w:val="18"/>
              </w:rPr>
            </w:pPr>
            <w:r w:rsidRPr="00AF654B">
              <w:rPr>
                <w:rFonts w:ascii="Inter" w:hAnsi="Inter"/>
                <w:color w:val="1A1A1A"/>
                <w:sz w:val="18"/>
              </w:rPr>
              <w:t>$384 millones</w:t>
            </w:r>
          </w:p>
        </w:tc>
        <w:tc>
          <w:tcPr>
            <w:tcW w:w="814" w:type="pct"/>
          </w:tcPr>
          <w:p w:rsidRPr="00AF654B" w:rsidR="0065570C" w:rsidP="00AF654B" w:rsidRDefault="0065570C" w14:paraId="70FEE81D" w14:textId="24729906">
            <w:pPr>
              <w:spacing w:after="140" w:line="270" w:lineRule="auto"/>
              <w:jc w:val="right"/>
              <w:rPr>
                <w:rFonts w:ascii="Inter" w:hAnsi="Inter"/>
                <w:color w:val="1A1A1A"/>
                <w:sz w:val="18"/>
              </w:rPr>
            </w:pPr>
            <w:r w:rsidRPr="00AF654B">
              <w:rPr>
                <w:rFonts w:ascii="Inter" w:hAnsi="Inter"/>
                <w:color w:val="1A1A1A"/>
                <w:sz w:val="18"/>
              </w:rPr>
              <w:t>$768 millones</w:t>
            </w:r>
          </w:p>
        </w:tc>
        <w:tc>
          <w:tcPr>
            <w:tcW w:w="814" w:type="pct"/>
          </w:tcPr>
          <w:p w:rsidRPr="00AF654B" w:rsidR="0065570C" w:rsidP="00AF654B" w:rsidRDefault="0065570C" w14:paraId="7E1B91E6" w14:textId="5B654701">
            <w:pPr>
              <w:spacing w:after="140" w:line="270" w:lineRule="auto"/>
              <w:jc w:val="right"/>
              <w:rPr>
                <w:rFonts w:ascii="Inter" w:hAnsi="Inter"/>
                <w:color w:val="1A1A1A"/>
                <w:sz w:val="18"/>
              </w:rPr>
            </w:pPr>
            <w:r w:rsidRPr="00AF654B">
              <w:rPr>
                <w:rFonts w:ascii="Inter" w:hAnsi="Inter"/>
                <w:color w:val="1A1A1A"/>
                <w:sz w:val="18"/>
              </w:rPr>
              <w:t>$1.344 millones</w:t>
            </w:r>
          </w:p>
        </w:tc>
        <w:tc>
          <w:tcPr>
            <w:tcW w:w="814" w:type="pct"/>
          </w:tcPr>
          <w:p w:rsidRPr="00AF654B" w:rsidR="0065570C" w:rsidP="00AF654B" w:rsidRDefault="0065570C" w14:paraId="02B91E04" w14:textId="5761EAAC">
            <w:pPr>
              <w:spacing w:after="140" w:line="270" w:lineRule="auto"/>
              <w:jc w:val="right"/>
              <w:rPr>
                <w:rFonts w:ascii="Inter" w:hAnsi="Inter"/>
                <w:color w:val="1A1A1A"/>
                <w:sz w:val="18"/>
              </w:rPr>
            </w:pPr>
            <w:r w:rsidRPr="00AF654B">
              <w:rPr>
                <w:rFonts w:ascii="Inter" w:hAnsi="Inter"/>
                <w:color w:val="1A1A1A"/>
                <w:sz w:val="18"/>
              </w:rPr>
              <w:t>$1.921 millones</w:t>
            </w:r>
          </w:p>
        </w:tc>
        <w:tc>
          <w:tcPr>
            <w:tcW w:w="816" w:type="pct"/>
          </w:tcPr>
          <w:p w:rsidRPr="00AF654B" w:rsidR="0065570C" w:rsidP="00AF654B" w:rsidRDefault="0065570C" w14:paraId="12C143DE" w14:textId="6274A53E">
            <w:pPr>
              <w:spacing w:after="140" w:line="270" w:lineRule="auto"/>
              <w:jc w:val="right"/>
              <w:rPr>
                <w:rFonts w:ascii="Inter" w:hAnsi="Inter"/>
                <w:color w:val="1A1A1A"/>
                <w:sz w:val="18"/>
              </w:rPr>
            </w:pPr>
            <w:r w:rsidRPr="00AF654B">
              <w:rPr>
                <w:rFonts w:ascii="Inter" w:hAnsi="Inter"/>
                <w:color w:val="1A1A1A"/>
                <w:sz w:val="18"/>
              </w:rPr>
              <w:t>$13.252 millones</w:t>
            </w:r>
          </w:p>
        </w:tc>
      </w:tr>
      <w:tr w:rsidRPr="00AF654B" w:rsidR="0065570C" w:rsidTr="00AF654B" w14:paraId="5F27E9D4" w14:textId="77777777">
        <w:tc>
          <w:tcPr>
            <w:tcW w:w="929" w:type="pct"/>
          </w:tcPr>
          <w:p w:rsidRPr="00AF654B" w:rsidR="0065570C" w:rsidP="00AF654B" w:rsidRDefault="0065570C" w14:paraId="31DAD209" w14:textId="2FF436C8">
            <w:pPr>
              <w:spacing w:after="140" w:line="270" w:lineRule="auto"/>
              <w:rPr>
                <w:rFonts w:ascii="Inter" w:hAnsi="Inter"/>
                <w:color w:val="1A1A1A"/>
                <w:sz w:val="18"/>
              </w:rPr>
            </w:pPr>
            <w:r w:rsidRPr="00AF654B">
              <w:rPr>
                <w:rFonts w:ascii="Inter" w:hAnsi="Inter"/>
                <w:color w:val="1A1A1A"/>
                <w:sz w:val="18"/>
              </w:rPr>
              <w:t>Costos variables</w:t>
            </w:r>
          </w:p>
        </w:tc>
        <w:tc>
          <w:tcPr>
            <w:tcW w:w="813" w:type="pct"/>
          </w:tcPr>
          <w:p w:rsidRPr="00AF654B" w:rsidR="0065570C" w:rsidP="00AF654B" w:rsidRDefault="0065570C" w14:paraId="32B8705F" w14:textId="46E668C7">
            <w:pPr>
              <w:spacing w:after="140" w:line="270" w:lineRule="auto"/>
              <w:jc w:val="right"/>
              <w:rPr>
                <w:rFonts w:ascii="Inter" w:hAnsi="Inter"/>
                <w:color w:val="1A1A1A"/>
                <w:sz w:val="18"/>
              </w:rPr>
            </w:pPr>
            <w:r w:rsidRPr="00AF654B">
              <w:rPr>
                <w:rFonts w:ascii="Inter" w:hAnsi="Inter"/>
                <w:color w:val="1A1A1A"/>
                <w:sz w:val="18"/>
              </w:rPr>
              <w:t>$118 millones</w:t>
            </w:r>
          </w:p>
        </w:tc>
        <w:tc>
          <w:tcPr>
            <w:tcW w:w="814" w:type="pct"/>
          </w:tcPr>
          <w:p w:rsidRPr="00AF654B" w:rsidR="0065570C" w:rsidP="00AF654B" w:rsidRDefault="0065570C" w14:paraId="68BBC2D4" w14:textId="104E7722">
            <w:pPr>
              <w:spacing w:after="140" w:line="270" w:lineRule="auto"/>
              <w:jc w:val="right"/>
              <w:rPr>
                <w:rFonts w:ascii="Inter" w:hAnsi="Inter"/>
                <w:color w:val="1A1A1A"/>
                <w:sz w:val="18"/>
              </w:rPr>
            </w:pPr>
            <w:r w:rsidRPr="00AF654B">
              <w:rPr>
                <w:rFonts w:ascii="Inter" w:hAnsi="Inter"/>
                <w:color w:val="1A1A1A"/>
                <w:sz w:val="18"/>
              </w:rPr>
              <w:t>$236 millones</w:t>
            </w:r>
          </w:p>
        </w:tc>
        <w:tc>
          <w:tcPr>
            <w:tcW w:w="814" w:type="pct"/>
          </w:tcPr>
          <w:p w:rsidRPr="00AF654B" w:rsidR="0065570C" w:rsidP="00AF654B" w:rsidRDefault="0065570C" w14:paraId="062E2273" w14:textId="2D3D08DA">
            <w:pPr>
              <w:spacing w:after="140" w:line="270" w:lineRule="auto"/>
              <w:jc w:val="right"/>
              <w:rPr>
                <w:rFonts w:ascii="Inter" w:hAnsi="Inter"/>
                <w:color w:val="1A1A1A"/>
                <w:sz w:val="18"/>
              </w:rPr>
            </w:pPr>
            <w:r w:rsidRPr="00AF654B">
              <w:rPr>
                <w:rFonts w:ascii="Inter" w:hAnsi="Inter"/>
                <w:color w:val="1A1A1A"/>
                <w:sz w:val="18"/>
              </w:rPr>
              <w:t>$413 millones</w:t>
            </w:r>
          </w:p>
        </w:tc>
        <w:tc>
          <w:tcPr>
            <w:tcW w:w="814" w:type="pct"/>
          </w:tcPr>
          <w:p w:rsidRPr="00AF654B" w:rsidR="0065570C" w:rsidP="00AF654B" w:rsidRDefault="0065570C" w14:paraId="32EC4AAE" w14:textId="19896133">
            <w:pPr>
              <w:spacing w:after="140" w:line="270" w:lineRule="auto"/>
              <w:jc w:val="right"/>
              <w:rPr>
                <w:rFonts w:ascii="Inter" w:hAnsi="Inter"/>
                <w:color w:val="1A1A1A"/>
                <w:sz w:val="18"/>
              </w:rPr>
            </w:pPr>
            <w:r w:rsidRPr="00AF654B">
              <w:rPr>
                <w:rFonts w:ascii="Inter" w:hAnsi="Inter"/>
                <w:color w:val="1A1A1A"/>
                <w:sz w:val="18"/>
              </w:rPr>
              <w:t>$591 millones</w:t>
            </w:r>
          </w:p>
        </w:tc>
        <w:tc>
          <w:tcPr>
            <w:tcW w:w="816" w:type="pct"/>
          </w:tcPr>
          <w:p w:rsidRPr="00AF654B" w:rsidR="0065570C" w:rsidP="00AF654B" w:rsidRDefault="0065570C" w14:paraId="2DF9B1D4" w14:textId="46629860">
            <w:pPr>
              <w:spacing w:after="140" w:line="270" w:lineRule="auto"/>
              <w:jc w:val="right"/>
              <w:rPr>
                <w:rFonts w:ascii="Inter" w:hAnsi="Inter"/>
                <w:color w:val="1A1A1A"/>
                <w:sz w:val="18"/>
              </w:rPr>
            </w:pPr>
            <w:r w:rsidRPr="00AF654B">
              <w:rPr>
                <w:rFonts w:ascii="Inter" w:hAnsi="Inter"/>
                <w:color w:val="1A1A1A"/>
                <w:sz w:val="18"/>
              </w:rPr>
              <w:t>$4.075 millones</w:t>
            </w:r>
          </w:p>
        </w:tc>
      </w:tr>
      <w:tr w:rsidRPr="00AF654B" w:rsidR="0065570C" w:rsidTr="00AF654B" w14:paraId="0FD7DE73" w14:textId="77777777">
        <w:tc>
          <w:tcPr>
            <w:tcW w:w="929" w:type="pct"/>
          </w:tcPr>
          <w:p w:rsidRPr="00AF654B" w:rsidR="0065570C" w:rsidP="00AF654B" w:rsidRDefault="0065570C" w14:paraId="194265BA" w14:textId="4F7C7337">
            <w:pPr>
              <w:spacing w:after="140" w:line="270" w:lineRule="auto"/>
              <w:rPr>
                <w:rFonts w:ascii="Inter" w:hAnsi="Inter"/>
                <w:color w:val="1A1A1A"/>
                <w:sz w:val="18"/>
              </w:rPr>
            </w:pPr>
            <w:r w:rsidRPr="00AF654B">
              <w:rPr>
                <w:rFonts w:ascii="Inter" w:hAnsi="Inter"/>
                <w:color w:val="1A1A1A"/>
                <w:sz w:val="18"/>
              </w:rPr>
              <w:t>Costos fijos</w:t>
            </w:r>
          </w:p>
        </w:tc>
        <w:tc>
          <w:tcPr>
            <w:tcW w:w="813" w:type="pct"/>
          </w:tcPr>
          <w:p w:rsidRPr="00AF654B" w:rsidR="0065570C" w:rsidP="00AF654B" w:rsidRDefault="0065570C" w14:paraId="23453FC7" w14:textId="745CE4BC">
            <w:pPr>
              <w:spacing w:after="140" w:line="270" w:lineRule="auto"/>
              <w:jc w:val="right"/>
              <w:rPr>
                <w:rFonts w:ascii="Inter" w:hAnsi="Inter"/>
                <w:color w:val="1A1A1A"/>
                <w:sz w:val="18"/>
              </w:rPr>
            </w:pPr>
            <w:r w:rsidRPr="00AF654B">
              <w:rPr>
                <w:rFonts w:ascii="Inter" w:hAnsi="Inter"/>
                <w:color w:val="1A1A1A"/>
                <w:sz w:val="18"/>
              </w:rPr>
              <w:t>$52 millones</w:t>
            </w:r>
          </w:p>
        </w:tc>
        <w:tc>
          <w:tcPr>
            <w:tcW w:w="814" w:type="pct"/>
          </w:tcPr>
          <w:p w:rsidRPr="00AF654B" w:rsidR="0065570C" w:rsidP="00AF654B" w:rsidRDefault="0065570C" w14:paraId="32AC7967" w14:textId="2AC005BF">
            <w:pPr>
              <w:spacing w:after="140" w:line="270" w:lineRule="auto"/>
              <w:jc w:val="right"/>
              <w:rPr>
                <w:rFonts w:ascii="Inter" w:hAnsi="Inter"/>
                <w:color w:val="1A1A1A"/>
                <w:sz w:val="18"/>
              </w:rPr>
            </w:pPr>
            <w:r w:rsidRPr="00AF654B">
              <w:rPr>
                <w:rFonts w:ascii="Inter" w:hAnsi="Inter"/>
                <w:color w:val="1A1A1A"/>
                <w:sz w:val="18"/>
              </w:rPr>
              <w:t>$55 millones</w:t>
            </w:r>
          </w:p>
        </w:tc>
        <w:tc>
          <w:tcPr>
            <w:tcW w:w="814" w:type="pct"/>
          </w:tcPr>
          <w:p w:rsidRPr="00AF654B" w:rsidR="0065570C" w:rsidP="00AF654B" w:rsidRDefault="0065570C" w14:paraId="1DBA4288" w14:textId="23A93732">
            <w:pPr>
              <w:spacing w:after="140" w:line="270" w:lineRule="auto"/>
              <w:jc w:val="right"/>
              <w:rPr>
                <w:rFonts w:ascii="Inter" w:hAnsi="Inter"/>
                <w:color w:val="1A1A1A"/>
                <w:sz w:val="18"/>
              </w:rPr>
            </w:pPr>
            <w:r w:rsidRPr="00AF654B">
              <w:rPr>
                <w:rFonts w:ascii="Inter" w:hAnsi="Inter"/>
                <w:color w:val="1A1A1A"/>
                <w:sz w:val="18"/>
              </w:rPr>
              <w:t>$60 millones</w:t>
            </w:r>
          </w:p>
        </w:tc>
        <w:tc>
          <w:tcPr>
            <w:tcW w:w="814" w:type="pct"/>
          </w:tcPr>
          <w:p w:rsidRPr="00AF654B" w:rsidR="0065570C" w:rsidP="00AF654B" w:rsidRDefault="0065570C" w14:paraId="0D971448" w14:textId="2DB74598">
            <w:pPr>
              <w:spacing w:after="140" w:line="270" w:lineRule="auto"/>
              <w:jc w:val="right"/>
              <w:rPr>
                <w:rFonts w:ascii="Inter" w:hAnsi="Inter"/>
                <w:color w:val="1A1A1A"/>
                <w:sz w:val="18"/>
              </w:rPr>
            </w:pPr>
            <w:r w:rsidRPr="00AF654B">
              <w:rPr>
                <w:rFonts w:ascii="Inter" w:hAnsi="Inter"/>
                <w:color w:val="1A1A1A"/>
                <w:sz w:val="18"/>
              </w:rPr>
              <w:t>$68 millones</w:t>
            </w:r>
          </w:p>
        </w:tc>
        <w:tc>
          <w:tcPr>
            <w:tcW w:w="816" w:type="pct"/>
          </w:tcPr>
          <w:p w:rsidRPr="00AF654B" w:rsidR="0065570C" w:rsidP="00AF654B" w:rsidRDefault="0065570C" w14:paraId="77F1BC75" w14:textId="6AF5962F">
            <w:pPr>
              <w:spacing w:after="140" w:line="270" w:lineRule="auto"/>
              <w:jc w:val="right"/>
              <w:rPr>
                <w:rFonts w:ascii="Inter" w:hAnsi="Inter"/>
                <w:color w:val="1A1A1A"/>
                <w:sz w:val="18"/>
              </w:rPr>
            </w:pPr>
            <w:r w:rsidRPr="00AF654B">
              <w:rPr>
                <w:rFonts w:ascii="Inter" w:hAnsi="Inter"/>
                <w:color w:val="1A1A1A"/>
                <w:sz w:val="18"/>
              </w:rPr>
              <w:t>$705 millones</w:t>
            </w:r>
          </w:p>
        </w:tc>
      </w:tr>
      <w:tr w:rsidRPr="00AF654B" w:rsidR="0065570C" w:rsidTr="00AF654B" w14:paraId="31D30B6A" w14:textId="77777777">
        <w:tc>
          <w:tcPr>
            <w:tcW w:w="929" w:type="pct"/>
          </w:tcPr>
          <w:p w:rsidRPr="00AF654B" w:rsidR="0065570C" w:rsidP="00AF654B" w:rsidRDefault="0065570C" w14:paraId="677DA4B0" w14:textId="6A8F6B3A">
            <w:pPr>
              <w:spacing w:after="140" w:line="270" w:lineRule="auto"/>
              <w:rPr>
                <w:rFonts w:ascii="Inter" w:hAnsi="Inter"/>
                <w:color w:val="1A1A1A"/>
                <w:sz w:val="18"/>
                <w:lang w:val="es-ES"/>
              </w:rPr>
            </w:pPr>
            <w:r w:rsidRPr="00AF654B">
              <w:rPr>
                <w:rFonts w:ascii="Inter" w:hAnsi="Inter"/>
                <w:color w:val="1A1A1A"/>
                <w:sz w:val="18"/>
                <w:lang w:val="es-ES"/>
              </w:rPr>
              <w:t>Resultado antes de impuestos e inversión</w:t>
            </w:r>
          </w:p>
        </w:tc>
        <w:tc>
          <w:tcPr>
            <w:tcW w:w="813" w:type="pct"/>
          </w:tcPr>
          <w:p w:rsidRPr="00AF654B" w:rsidR="0065570C" w:rsidP="00AF654B" w:rsidRDefault="0065570C" w14:paraId="5A23D5A5" w14:textId="1B118E7A">
            <w:pPr>
              <w:spacing w:after="140" w:line="270" w:lineRule="auto"/>
              <w:jc w:val="right"/>
              <w:rPr>
                <w:rFonts w:ascii="Inter" w:hAnsi="Inter"/>
                <w:color w:val="1A1A1A"/>
                <w:sz w:val="18"/>
              </w:rPr>
            </w:pPr>
            <w:r w:rsidRPr="00AF654B">
              <w:rPr>
                <w:rFonts w:ascii="Inter" w:hAnsi="Inter"/>
                <w:color w:val="1A1A1A"/>
                <w:sz w:val="18"/>
              </w:rPr>
              <w:t>$214 millones</w:t>
            </w:r>
          </w:p>
        </w:tc>
        <w:tc>
          <w:tcPr>
            <w:tcW w:w="814" w:type="pct"/>
          </w:tcPr>
          <w:p w:rsidRPr="00AF654B" w:rsidR="0065570C" w:rsidP="00AF654B" w:rsidRDefault="0065570C" w14:paraId="2BC7EF63" w14:textId="0B93A235">
            <w:pPr>
              <w:spacing w:after="140" w:line="270" w:lineRule="auto"/>
              <w:jc w:val="right"/>
              <w:rPr>
                <w:rFonts w:ascii="Inter" w:hAnsi="Inter"/>
                <w:color w:val="1A1A1A"/>
                <w:sz w:val="18"/>
              </w:rPr>
            </w:pPr>
            <w:r w:rsidRPr="00AF654B">
              <w:rPr>
                <w:rFonts w:ascii="Inter" w:hAnsi="Inter"/>
                <w:color w:val="1A1A1A"/>
                <w:sz w:val="18"/>
              </w:rPr>
              <w:t>$477 millones</w:t>
            </w:r>
          </w:p>
        </w:tc>
        <w:tc>
          <w:tcPr>
            <w:tcW w:w="814" w:type="pct"/>
          </w:tcPr>
          <w:p w:rsidRPr="00AF654B" w:rsidR="0065570C" w:rsidP="00AF654B" w:rsidRDefault="0065570C" w14:paraId="303777A4" w14:textId="39C29476">
            <w:pPr>
              <w:spacing w:after="140" w:line="270" w:lineRule="auto"/>
              <w:jc w:val="right"/>
              <w:rPr>
                <w:rFonts w:ascii="Inter" w:hAnsi="Inter"/>
                <w:color w:val="1A1A1A"/>
                <w:sz w:val="18"/>
              </w:rPr>
            </w:pPr>
            <w:r w:rsidRPr="00AF654B">
              <w:rPr>
                <w:rFonts w:ascii="Inter" w:hAnsi="Inter"/>
                <w:color w:val="1A1A1A"/>
                <w:sz w:val="18"/>
              </w:rPr>
              <w:t>$871 millones</w:t>
            </w:r>
          </w:p>
        </w:tc>
        <w:tc>
          <w:tcPr>
            <w:tcW w:w="814" w:type="pct"/>
          </w:tcPr>
          <w:p w:rsidRPr="00AF654B" w:rsidR="0065570C" w:rsidP="00AF654B" w:rsidRDefault="0065570C" w14:paraId="5AF59DC7" w14:textId="78C63819">
            <w:pPr>
              <w:spacing w:after="140" w:line="270" w:lineRule="auto"/>
              <w:jc w:val="right"/>
              <w:rPr>
                <w:rFonts w:ascii="Inter" w:hAnsi="Inter"/>
                <w:color w:val="1A1A1A"/>
                <w:sz w:val="18"/>
              </w:rPr>
            </w:pPr>
            <w:r w:rsidRPr="00AF654B">
              <w:rPr>
                <w:rFonts w:ascii="Inter" w:hAnsi="Inter"/>
                <w:color w:val="1A1A1A"/>
                <w:sz w:val="18"/>
              </w:rPr>
              <w:t>$1.262 millones</w:t>
            </w:r>
          </w:p>
        </w:tc>
        <w:tc>
          <w:tcPr>
            <w:tcW w:w="816" w:type="pct"/>
          </w:tcPr>
          <w:p w:rsidRPr="00AF654B" w:rsidR="0065570C" w:rsidP="00AF654B" w:rsidRDefault="0065570C" w14:paraId="1BB2B4E9" w14:textId="676310FD">
            <w:pPr>
              <w:spacing w:after="140" w:line="270" w:lineRule="auto"/>
              <w:jc w:val="right"/>
              <w:rPr>
                <w:rFonts w:ascii="Inter" w:hAnsi="Inter"/>
                <w:color w:val="1A1A1A"/>
                <w:sz w:val="18"/>
              </w:rPr>
            </w:pPr>
            <w:r w:rsidRPr="00AF654B">
              <w:rPr>
                <w:rFonts w:ascii="Inter" w:hAnsi="Inter"/>
                <w:color w:val="1A1A1A"/>
                <w:sz w:val="18"/>
              </w:rPr>
              <w:t>$8.473 millones</w:t>
            </w:r>
          </w:p>
        </w:tc>
      </w:tr>
    </w:tbl>
    <w:p w:rsidRPr="00AF654B" w:rsidR="0065570C" w:rsidP="00AF654B" w:rsidRDefault="0065570C" w14:paraId="1A6844C2" w14:textId="77777777">
      <w:pPr>
        <w:spacing w:after="140" w:line="270" w:lineRule="auto"/>
        <w:rPr>
          <w:rFonts w:ascii="Inter" w:hAnsi="Inter"/>
          <w:sz w:val="21"/>
        </w:rPr>
      </w:pPr>
    </w:p>
    <w:p w:rsidRPr="00AF654B" w:rsidR="0065570C" w:rsidP="00AF654B" w:rsidRDefault="0065570C" w14:paraId="4831DB3F" w14:textId="6DD0E29D">
      <w:pPr>
        <w:spacing w:after="140" w:line="270" w:lineRule="auto"/>
        <w:jc w:val="both"/>
        <w:rPr>
          <w:rFonts w:ascii="Inter" w:hAnsi="Inter"/>
          <w:sz w:val="21"/>
          <w:lang w:val="es-ES"/>
        </w:rPr>
      </w:pPr>
      <w:r w:rsidRPr="00AF654B">
        <w:rPr>
          <w:rFonts w:ascii="Inter" w:hAnsi="Inter"/>
          <w:color w:val="000000"/>
          <w:sz w:val="21"/>
          <w:lang w:val="es-ES"/>
        </w:rPr>
        <w:t xml:space="preserve">El resultado proyectado no descuenta el impuesto de renta ni la necesidad de capital de la sección 4.7. Tampoco deduce los rangos de contracargos, fraude, comisiones de pasarela que no se recuperen ante retractos, dispersión o cancelación. En una devolución del pago modelado, TicketRight reintegra hasta $244.000 al fan y ya tuvo una salida de caja de $8.528 por la pasarela, de la cual $1.362 solo se recupera si procede como IVA descontable. El reglamento de la pasarela también asigna al comercio riesgos por reclamaciones en ventas no presenciales. Fuente: </w:t>
      </w:r>
      <w:hyperlink w:history="1" r:id="rId24">
        <w:r w:rsidRPr="00AF654B">
          <w:rPr>
            <w:rStyle w:val="Hipervnculo"/>
            <w:rFonts w:ascii="Inter" w:hAnsi="Inter"/>
            <w:sz w:val="21"/>
            <w:lang w:val="es-ES"/>
          </w:rPr>
          <w:t>reglamento para comercios de Wompi</w:t>
        </w:r>
      </w:hyperlink>
      <w:r w:rsidRPr="00AF654B">
        <w:rPr>
          <w:rFonts w:ascii="Inter" w:hAnsi="Inter"/>
          <w:color w:val="000000"/>
          <w:sz w:val="21"/>
          <w:lang w:val="es-ES"/>
        </w:rPr>
        <w:t>.</w:t>
      </w:r>
    </w:p>
    <w:p w:rsidRPr="00AF654B" w:rsidR="0065570C" w:rsidP="00AF654B" w:rsidRDefault="0065570C" w14:paraId="6FD64333" w14:textId="09DCF06C">
      <w:pPr>
        <w:spacing w:after="140" w:line="270" w:lineRule="auto"/>
        <w:jc w:val="both"/>
        <w:rPr>
          <w:rFonts w:ascii="Inter" w:hAnsi="Inter"/>
          <w:sz w:val="21"/>
          <w:lang w:val="es-ES"/>
        </w:rPr>
      </w:pPr>
      <w:r w:rsidRPr="00AF654B">
        <w:rPr>
          <w:rFonts w:ascii="Inter" w:hAnsi="Inter"/>
          <w:color w:val="000000"/>
          <w:sz w:val="21"/>
          <w:lang w:val="es-ES"/>
        </w:rPr>
        <w:t>Los costos aún no validados y sus responsables se consolidan en la sección 4.10. Hasta cerrarlos, el resultado anual no representa utilidad neta ni caja disponible.</w:t>
      </w:r>
    </w:p>
    <w:p w:rsidRPr="008006A1" w:rsidR="0065570C" w:rsidP="00AF654B" w:rsidRDefault="0065570C" w14:paraId="27E6784B" w14:textId="4FA1A2CC">
      <w:pPr>
        <w:pStyle w:val="Ttulo2"/>
        <w:spacing w:before="240"/>
        <w:rPr>
          <w:rFonts w:ascii="Inter" w:hAnsi="Inter"/>
          <w:b/>
          <w:color w:val="1A1A1A"/>
          <w:sz w:val="23"/>
          <w:lang w:val="es-ES"/>
        </w:rPr>
      </w:pPr>
      <w:bookmarkStart w:name="_Toc239897214" w:id="33"/>
      <w:r w:rsidRPr="008006A1">
        <w:rPr>
          <w:rFonts w:ascii="Inter" w:hAnsi="Inter"/>
          <w:b/>
          <w:color w:val="1A1A1A"/>
          <w:sz w:val="23"/>
          <w:lang w:val="es-ES"/>
        </w:rPr>
        <w:t>4.9 Evaluación de viabilidad</w:t>
      </w:r>
      <w:bookmarkEnd w:id="33"/>
    </w:p>
    <w:p w:rsidRPr="00AF654B" w:rsidR="0065570C" w:rsidP="00AF654B" w:rsidRDefault="0065570C" w14:paraId="7604C801" w14:textId="79C10639">
      <w:pPr>
        <w:spacing w:after="140" w:line="270" w:lineRule="auto"/>
        <w:jc w:val="both"/>
        <w:rPr>
          <w:rFonts w:ascii="Inter" w:hAnsi="Inter"/>
          <w:sz w:val="21"/>
          <w:lang w:val="es-ES"/>
        </w:rPr>
      </w:pPr>
      <w:r w:rsidRPr="00AF654B">
        <w:rPr>
          <w:rFonts w:ascii="Inter" w:hAnsi="Inter"/>
          <w:color w:val="000000"/>
          <w:sz w:val="21"/>
          <w:lang w:val="es-ES"/>
        </w:rPr>
        <w:t>TicketRight es viable en el modelo operativo actual. El escenario base supera el punto de equilibrio desde T1 operativo. El escenario con cargo compartido también puede ser viable con dos eventos tipo al mes, aunque deja un margen mucho menor frente a cambios de aforo, precio o costos. Esta conclusión no cubre todavía la inversión inicial, los impuestos ni las contingencias abiertas de la sección 4.10.</w:t>
      </w:r>
      <w:r w:rsidR="002B05AB">
        <w:rPr>
          <w:rFonts w:ascii="Inter" w:hAnsi="Inter"/>
          <w:sz w:val="21"/>
          <w:lang w:val="es-ES"/>
        </w:rPr>
        <w:t xml:space="preserve"> </w:t>
      </w:r>
      <w:r w:rsidRPr="00AF654B">
        <w:rPr>
          <w:rFonts w:ascii="Inter" w:hAnsi="Inter"/>
          <w:color w:val="000000"/>
          <w:sz w:val="21"/>
          <w:lang w:val="es-ES"/>
        </w:rPr>
        <w:t>El margen antes de impuestos e inversión es cercano a 64% en el año y llega a 66% en T4. Es alto porque el modelo reconoce como ingreso el cargo completo, excluye el dinero del promotor y del Estado, mantiene una planta de cuatro personas mientras el volumen crece cinco veces y aún no incorpora los costos abiertos. No se afirma que este margen sea comparable al de otros operadores. El contraste con referencias públicas se gestiona como riesgo R7.</w:t>
      </w:r>
    </w:p>
    <w:p w:rsidRPr="00AF654B" w:rsidR="0065570C" w:rsidP="00AF654B" w:rsidRDefault="0065570C" w14:paraId="3CE4E5E9" w14:textId="396052F9">
      <w:pPr>
        <w:spacing w:after="140" w:line="270" w:lineRule="auto"/>
        <w:jc w:val="both"/>
        <w:rPr>
          <w:rFonts w:ascii="Inter" w:hAnsi="Inter"/>
          <w:sz w:val="21"/>
          <w:lang w:val="es-ES"/>
        </w:rPr>
      </w:pPr>
      <w:r w:rsidRPr="00AF654B">
        <w:rPr>
          <w:rFonts w:ascii="Inter" w:hAnsi="Inter"/>
          <w:color w:val="000000"/>
          <w:sz w:val="21"/>
          <w:lang w:val="es-ES"/>
        </w:rPr>
        <w:t>La principal sensibilidad del negocio es el porcentaje del cargo por servicio que conserva TicketRight. La segunda es la capacidad de adquirir eventos de manera recurrente. Por ello, la decisión de crecer debe basarse en contratos reales con promotores y resultados de los primeros eventos, no únicamente en la proyección.</w:t>
      </w:r>
    </w:p>
    <w:p w:rsidRPr="008006A1" w:rsidR="0065570C" w:rsidP="00AF654B" w:rsidRDefault="0065570C" w14:paraId="41E3A562" w14:textId="554C6BD4">
      <w:pPr>
        <w:pStyle w:val="Ttulo2"/>
        <w:spacing w:before="240"/>
        <w:rPr>
          <w:rFonts w:ascii="Inter" w:hAnsi="Inter"/>
          <w:b/>
          <w:color w:val="1A1A1A"/>
          <w:sz w:val="23"/>
          <w:lang w:val="es-ES"/>
        </w:rPr>
      </w:pPr>
      <w:bookmarkStart w:name="_Toc239897215" w:id="34"/>
      <w:r w:rsidRPr="008006A1">
        <w:rPr>
          <w:rFonts w:ascii="Inter" w:hAnsi="Inter"/>
          <w:b/>
          <w:color w:val="1A1A1A"/>
          <w:sz w:val="23"/>
          <w:lang w:val="es-ES"/>
        </w:rPr>
        <w:lastRenderedPageBreak/>
        <w:t>4.10 Riesgos abiertos del modelo financiero</w:t>
      </w:r>
      <w:bookmarkEnd w:id="34"/>
    </w:p>
    <w:p w:rsidRPr="00AF654B" w:rsidR="0065570C" w:rsidP="00AF654B" w:rsidRDefault="0065570C" w14:paraId="54F273EB" w14:textId="48939EB4">
      <w:pPr>
        <w:spacing w:after="140" w:line="270" w:lineRule="auto"/>
        <w:jc w:val="both"/>
        <w:rPr>
          <w:rFonts w:ascii="Inter" w:hAnsi="Inter"/>
          <w:sz w:val="21"/>
          <w:lang w:val="es-ES"/>
        </w:rPr>
      </w:pPr>
      <w:r w:rsidRPr="00AF654B">
        <w:rPr>
          <w:rFonts w:ascii="Inter" w:hAnsi="Inter"/>
          <w:color w:val="000000"/>
          <w:sz w:val="21"/>
          <w:lang w:val="es-ES"/>
        </w:rPr>
        <w:t>Los rangos siguientes son supuestos de gestión. No se presentan como datos observados.</w:t>
      </w:r>
    </w:p>
    <w:tbl>
      <w:tblPr>
        <w:tblStyle w:val="Tablabsica1"/>
        <w:tblW w:w="5000" w:type="pct"/>
        <w:tblLook w:val="0620" w:firstRow="1" w:lastRow="0" w:firstColumn="0" w:lastColumn="0" w:noHBand="1" w:noVBand="1"/>
      </w:tblPr>
      <w:tblGrid>
        <w:gridCol w:w="1895"/>
        <w:gridCol w:w="1869"/>
        <w:gridCol w:w="1858"/>
        <w:gridCol w:w="1868"/>
        <w:gridCol w:w="1870"/>
      </w:tblGrid>
      <w:tr w:rsidRPr="00041110" w:rsidR="0065570C" w:rsidTr="00AF654B" w14:paraId="31F3D622" w14:textId="77777777">
        <w:trPr>
          <w:cnfStyle w:val="100000000000" w:firstRow="1" w:lastRow="0" w:firstColumn="0" w:lastColumn="0" w:oddVBand="0" w:evenVBand="0" w:oddHBand="0" w:evenHBand="0" w:firstRowFirstColumn="0" w:firstRowLastColumn="0" w:lastRowFirstColumn="0" w:lastRowLastColumn="0"/>
          <w:tblHeader/>
        </w:trPr>
        <w:tc>
          <w:tcPr>
            <w:tcW w:w="1012" w:type="pct"/>
            <w:shd w:val="clear" w:color="F2F2F2" w:fill="F2F2F2"/>
          </w:tcPr>
          <w:p w:rsidRPr="00AF654B" w:rsidR="0065570C" w:rsidP="00AF654B" w:rsidRDefault="0065570C" w14:paraId="4D5F3FEF" w14:textId="1A8F5FE4">
            <w:pPr>
              <w:spacing w:after="140" w:line="270" w:lineRule="auto"/>
              <w:rPr>
                <w:rFonts w:ascii="Inter" w:hAnsi="Inter"/>
                <w:b/>
                <w:color w:val="1A1A1A"/>
                <w:sz w:val="18"/>
              </w:rPr>
            </w:pPr>
            <w:r w:rsidRPr="00AF654B">
              <w:rPr>
                <w:rFonts w:ascii="Inter" w:hAnsi="Inter"/>
                <w:b/>
                <w:color w:val="1A1A1A"/>
                <w:sz w:val="18"/>
              </w:rPr>
              <w:t>Riesgo por validar</w:t>
            </w:r>
          </w:p>
        </w:tc>
        <w:tc>
          <w:tcPr>
            <w:tcW w:w="998" w:type="pct"/>
            <w:shd w:val="clear" w:color="F2F2F2" w:fill="F2F2F2"/>
          </w:tcPr>
          <w:p w:rsidRPr="00AF654B" w:rsidR="0065570C" w:rsidP="00AF654B" w:rsidRDefault="0065570C" w14:paraId="5A2488B7" w14:textId="095E5DF0">
            <w:pPr>
              <w:spacing w:after="140" w:line="270" w:lineRule="auto"/>
              <w:rPr>
                <w:rFonts w:ascii="Inter" w:hAnsi="Inter"/>
                <w:b/>
                <w:color w:val="1A1A1A"/>
                <w:sz w:val="18"/>
              </w:rPr>
            </w:pPr>
            <w:r w:rsidRPr="00AF654B">
              <w:rPr>
                <w:rFonts w:ascii="Inter" w:hAnsi="Inter"/>
                <w:b/>
                <w:color w:val="1A1A1A"/>
                <w:sz w:val="18"/>
              </w:rPr>
              <w:t>Responsable</w:t>
            </w:r>
          </w:p>
        </w:tc>
        <w:tc>
          <w:tcPr>
            <w:tcW w:w="992" w:type="pct"/>
            <w:shd w:val="clear" w:color="F2F2F2" w:fill="F2F2F2"/>
          </w:tcPr>
          <w:p w:rsidRPr="00AF654B" w:rsidR="0065570C" w:rsidP="00AF654B" w:rsidRDefault="0065570C" w14:paraId="469DCCF7" w14:textId="044664D5">
            <w:pPr>
              <w:spacing w:after="140" w:line="270" w:lineRule="auto"/>
              <w:rPr>
                <w:rFonts w:ascii="Inter" w:hAnsi="Inter"/>
                <w:b/>
                <w:color w:val="1A1A1A"/>
                <w:sz w:val="18"/>
              </w:rPr>
            </w:pPr>
            <w:r w:rsidRPr="00AF654B">
              <w:rPr>
                <w:rFonts w:ascii="Inter" w:hAnsi="Inter"/>
                <w:b/>
                <w:color w:val="1A1A1A"/>
                <w:sz w:val="18"/>
              </w:rPr>
              <w:t>Fecha de cierre</w:t>
            </w:r>
          </w:p>
        </w:tc>
        <w:tc>
          <w:tcPr>
            <w:tcW w:w="998" w:type="pct"/>
            <w:shd w:val="clear" w:color="F2F2F2" w:fill="F2F2F2"/>
          </w:tcPr>
          <w:p w:rsidRPr="00AF654B" w:rsidR="0065570C" w:rsidP="00AF654B" w:rsidRDefault="0065570C" w14:paraId="2ECCFC91" w14:textId="1B96EC0A">
            <w:pPr>
              <w:spacing w:after="140" w:line="270" w:lineRule="auto"/>
              <w:rPr>
                <w:rFonts w:ascii="Inter" w:hAnsi="Inter"/>
                <w:b/>
                <w:color w:val="1A1A1A"/>
                <w:sz w:val="18"/>
              </w:rPr>
            </w:pPr>
            <w:r w:rsidRPr="00AF654B">
              <w:rPr>
                <w:rFonts w:ascii="Inter" w:hAnsi="Inter"/>
                <w:b/>
                <w:color w:val="1A1A1A"/>
                <w:sz w:val="18"/>
              </w:rPr>
              <w:t>Rango estimado y estado</w:t>
            </w:r>
          </w:p>
        </w:tc>
        <w:tc>
          <w:tcPr>
            <w:tcW w:w="999" w:type="pct"/>
            <w:shd w:val="clear" w:color="F2F2F2" w:fill="F2F2F2"/>
          </w:tcPr>
          <w:p w:rsidRPr="00AF654B" w:rsidR="0065570C" w:rsidP="00AF654B" w:rsidRDefault="0065570C" w14:paraId="0902228B" w14:textId="07E9F901">
            <w:pPr>
              <w:spacing w:after="140" w:line="270" w:lineRule="auto"/>
              <w:rPr>
                <w:rFonts w:ascii="Inter" w:hAnsi="Inter"/>
                <w:b/>
                <w:color w:val="1A1A1A"/>
                <w:sz w:val="18"/>
                <w:lang w:val="es-ES"/>
              </w:rPr>
            </w:pPr>
            <w:r w:rsidRPr="00AF654B">
              <w:rPr>
                <w:rFonts w:ascii="Inter" w:hAnsi="Inter"/>
                <w:b/>
                <w:color w:val="1A1A1A"/>
                <w:sz w:val="18"/>
                <w:lang w:val="es-ES"/>
              </w:rPr>
              <w:t>Impacto sobre el equilibrio o la viabilidad</w:t>
            </w:r>
          </w:p>
        </w:tc>
      </w:tr>
      <w:tr w:rsidRPr="00041110" w:rsidR="0065570C" w:rsidTr="00AF654B" w14:paraId="168B99A9" w14:textId="77777777">
        <w:tc>
          <w:tcPr>
            <w:tcW w:w="1012" w:type="pct"/>
          </w:tcPr>
          <w:p w:rsidRPr="00AF654B" w:rsidR="0065570C" w:rsidP="00AF654B" w:rsidRDefault="0065570C" w14:paraId="726AB38F" w14:textId="360245C6">
            <w:pPr>
              <w:spacing w:after="140" w:line="270" w:lineRule="auto"/>
              <w:rPr>
                <w:rFonts w:ascii="Inter" w:hAnsi="Inter"/>
                <w:color w:val="1A1A1A"/>
                <w:sz w:val="18"/>
                <w:lang w:val="es-ES"/>
              </w:rPr>
            </w:pPr>
            <w:r w:rsidRPr="00AF654B">
              <w:rPr>
                <w:rFonts w:ascii="Inter" w:hAnsi="Inter"/>
                <w:color w:val="1A1A1A"/>
                <w:sz w:val="18"/>
                <w:lang w:val="es-ES"/>
              </w:rPr>
              <w:t>R1. IVA del cargo, reventa y pasarela</w:t>
            </w:r>
          </w:p>
        </w:tc>
        <w:tc>
          <w:tcPr>
            <w:tcW w:w="998" w:type="pct"/>
          </w:tcPr>
          <w:p w:rsidRPr="00AF654B" w:rsidR="0065570C" w:rsidP="00AF654B" w:rsidRDefault="0065570C" w14:paraId="027773A8" w14:textId="103B8F6E">
            <w:pPr>
              <w:spacing w:after="140" w:line="270" w:lineRule="auto"/>
              <w:rPr>
                <w:rFonts w:ascii="Inter" w:hAnsi="Inter"/>
                <w:color w:val="1A1A1A"/>
                <w:sz w:val="18"/>
              </w:rPr>
            </w:pPr>
            <w:r w:rsidRPr="00AF654B">
              <w:rPr>
                <w:rFonts w:ascii="Inter" w:hAnsi="Inter"/>
                <w:color w:val="1A1A1A"/>
                <w:sz w:val="18"/>
              </w:rPr>
              <w:t>Contador tributarista</w:t>
            </w:r>
          </w:p>
        </w:tc>
        <w:tc>
          <w:tcPr>
            <w:tcW w:w="992" w:type="pct"/>
          </w:tcPr>
          <w:p w:rsidRPr="00AF654B" w:rsidR="0065570C" w:rsidP="00AF654B" w:rsidRDefault="0065570C" w14:paraId="3B9CAD80" w14:textId="57FA21E9">
            <w:pPr>
              <w:spacing w:after="140" w:line="270" w:lineRule="auto"/>
              <w:rPr>
                <w:rFonts w:ascii="Inter" w:hAnsi="Inter"/>
                <w:color w:val="1A1A1A"/>
                <w:sz w:val="18"/>
                <w:lang w:val="es-ES"/>
              </w:rPr>
            </w:pPr>
            <w:r w:rsidRPr="00AF654B">
              <w:rPr>
                <w:rFonts w:ascii="Inter" w:hAnsi="Inter"/>
                <w:color w:val="1A1A1A"/>
                <w:sz w:val="18"/>
                <w:lang w:val="es-ES"/>
              </w:rPr>
              <w:t>Antes de fijar precios en T0.2</w:t>
            </w:r>
          </w:p>
        </w:tc>
        <w:tc>
          <w:tcPr>
            <w:tcW w:w="998" w:type="pct"/>
          </w:tcPr>
          <w:p w:rsidRPr="00AF654B" w:rsidR="0065570C" w:rsidP="00AF654B" w:rsidRDefault="0065570C" w14:paraId="04B8ED8F" w14:textId="31F3D544">
            <w:pPr>
              <w:spacing w:after="140" w:line="270" w:lineRule="auto"/>
              <w:rPr>
                <w:rFonts w:ascii="Inter" w:hAnsi="Inter"/>
                <w:color w:val="1A1A1A"/>
                <w:sz w:val="18"/>
                <w:lang w:val="es-ES"/>
              </w:rPr>
            </w:pPr>
            <w:r w:rsidRPr="00AF654B">
              <w:rPr>
                <w:rFonts w:ascii="Inter" w:hAnsi="Inter"/>
                <w:color w:val="1A1A1A"/>
                <w:sz w:val="18"/>
                <w:lang w:val="es-ES"/>
              </w:rPr>
              <w:t>[S] 0% o 19%; equilibrio entre 2.990 y 4.268 boletas</w:t>
            </w:r>
          </w:p>
        </w:tc>
        <w:tc>
          <w:tcPr>
            <w:tcW w:w="999" w:type="pct"/>
          </w:tcPr>
          <w:p w:rsidRPr="00AF654B" w:rsidR="0065570C" w:rsidP="00AF654B" w:rsidRDefault="0065570C" w14:paraId="457E3A33" w14:textId="72496193">
            <w:pPr>
              <w:spacing w:after="140" w:line="270" w:lineRule="auto"/>
              <w:rPr>
                <w:rFonts w:ascii="Inter" w:hAnsi="Inter"/>
                <w:color w:val="1A1A1A"/>
                <w:sz w:val="18"/>
                <w:lang w:val="es-ES"/>
              </w:rPr>
            </w:pPr>
            <w:r w:rsidRPr="00AF654B">
              <w:rPr>
                <w:rFonts w:ascii="Inter" w:hAnsi="Inter"/>
                <w:color w:val="1A1A1A"/>
                <w:sz w:val="18"/>
                <w:lang w:val="es-ES"/>
              </w:rPr>
              <w:t>Puede aumentar hasta 43% las boletas necesarias y cambia la facturación.</w:t>
            </w:r>
          </w:p>
        </w:tc>
      </w:tr>
      <w:tr w:rsidRPr="00041110" w:rsidR="0065570C" w:rsidTr="00AF654B" w14:paraId="4BA394BA" w14:textId="77777777">
        <w:tc>
          <w:tcPr>
            <w:tcW w:w="1012" w:type="pct"/>
          </w:tcPr>
          <w:p w:rsidRPr="00AF654B" w:rsidR="0065570C" w:rsidP="00AF654B" w:rsidRDefault="0065570C" w14:paraId="0492A7CA" w14:textId="0431365F">
            <w:pPr>
              <w:spacing w:after="140" w:line="270" w:lineRule="auto"/>
              <w:rPr>
                <w:rFonts w:ascii="Inter" w:hAnsi="Inter"/>
                <w:color w:val="1A1A1A"/>
                <w:sz w:val="18"/>
                <w:lang w:val="es-ES"/>
              </w:rPr>
            </w:pPr>
            <w:r w:rsidRPr="00AF654B">
              <w:rPr>
                <w:rFonts w:ascii="Inter" w:hAnsi="Inter"/>
                <w:color w:val="1A1A1A"/>
                <w:sz w:val="18"/>
                <w:lang w:val="es-ES"/>
              </w:rPr>
              <w:t>R2. Plazos de dispersión y reserva de liquidez</w:t>
            </w:r>
          </w:p>
        </w:tc>
        <w:tc>
          <w:tcPr>
            <w:tcW w:w="998" w:type="pct"/>
          </w:tcPr>
          <w:p w:rsidRPr="00AF654B" w:rsidR="0065570C" w:rsidP="00AF654B" w:rsidRDefault="0065570C" w14:paraId="093B9720" w14:textId="6EFF98A0">
            <w:pPr>
              <w:spacing w:after="140" w:line="270" w:lineRule="auto"/>
              <w:rPr>
                <w:rFonts w:ascii="Inter" w:hAnsi="Inter"/>
                <w:color w:val="1A1A1A"/>
                <w:sz w:val="18"/>
                <w:lang w:val="es-ES"/>
              </w:rPr>
            </w:pPr>
            <w:r w:rsidRPr="00AF654B">
              <w:rPr>
                <w:rFonts w:ascii="Inter" w:hAnsi="Inter"/>
                <w:color w:val="1A1A1A"/>
                <w:sz w:val="18"/>
                <w:lang w:val="es-ES"/>
              </w:rPr>
              <w:t>Alejo, pasarela y promotor piloto</w:t>
            </w:r>
          </w:p>
        </w:tc>
        <w:tc>
          <w:tcPr>
            <w:tcW w:w="992" w:type="pct"/>
          </w:tcPr>
          <w:p w:rsidRPr="00AF654B" w:rsidR="0065570C" w:rsidP="00AF654B" w:rsidRDefault="0065570C" w14:paraId="4E215694" w14:textId="5E8F2237">
            <w:pPr>
              <w:spacing w:after="140" w:line="270" w:lineRule="auto"/>
              <w:rPr>
                <w:rFonts w:ascii="Inter" w:hAnsi="Inter"/>
                <w:color w:val="1A1A1A"/>
                <w:sz w:val="18"/>
              </w:rPr>
            </w:pPr>
            <w:r w:rsidRPr="00AF654B">
              <w:rPr>
                <w:rFonts w:ascii="Inter" w:hAnsi="Inter"/>
                <w:color w:val="1A1A1A"/>
                <w:sz w:val="18"/>
              </w:rPr>
              <w:t>Antes de finalizar T0.3</w:t>
            </w:r>
          </w:p>
        </w:tc>
        <w:tc>
          <w:tcPr>
            <w:tcW w:w="998" w:type="pct"/>
          </w:tcPr>
          <w:p w:rsidRPr="00AF654B" w:rsidR="0065570C" w:rsidP="00AF654B" w:rsidRDefault="0065570C" w14:paraId="70034F31" w14:textId="34208DFE">
            <w:pPr>
              <w:spacing w:after="140" w:line="270" w:lineRule="auto"/>
              <w:rPr>
                <w:rFonts w:ascii="Inter" w:hAnsi="Inter"/>
                <w:color w:val="1A1A1A"/>
                <w:sz w:val="18"/>
                <w:lang w:val="es-ES"/>
              </w:rPr>
            </w:pPr>
            <w:r w:rsidRPr="00AF654B">
              <w:rPr>
                <w:rFonts w:ascii="Inter" w:hAnsi="Inter"/>
                <w:color w:val="1A1A1A"/>
                <w:sz w:val="18"/>
                <w:lang w:val="es-ES"/>
              </w:rPr>
              <w:t>[S] Reserva de 5% a 10% de $1.672 millones: $83,6 a $167,2 millones</w:t>
            </w:r>
          </w:p>
        </w:tc>
        <w:tc>
          <w:tcPr>
            <w:tcW w:w="999" w:type="pct"/>
          </w:tcPr>
          <w:p w:rsidRPr="00AF654B" w:rsidR="0065570C" w:rsidP="00AF654B" w:rsidRDefault="0065570C" w14:paraId="4A020C6D" w14:textId="5FF42655">
            <w:pPr>
              <w:spacing w:after="140" w:line="270" w:lineRule="auto"/>
              <w:rPr>
                <w:rFonts w:ascii="Inter" w:hAnsi="Inter"/>
                <w:color w:val="1A1A1A"/>
                <w:sz w:val="18"/>
                <w:lang w:val="es-ES"/>
              </w:rPr>
            </w:pPr>
            <w:r w:rsidRPr="00AF654B">
              <w:rPr>
                <w:rFonts w:ascii="Inter" w:hAnsi="Inter"/>
                <w:color w:val="1A1A1A"/>
                <w:sz w:val="18"/>
                <w:lang w:val="es-ES"/>
              </w:rPr>
              <w:t>No cambia el equilibrio operativo, pero aumenta la necesidad de capital y condiciona devoluciones.</w:t>
            </w:r>
          </w:p>
        </w:tc>
      </w:tr>
      <w:tr w:rsidRPr="00041110" w:rsidR="0065570C" w:rsidTr="00AF654B" w14:paraId="3F53B956" w14:textId="77777777">
        <w:tc>
          <w:tcPr>
            <w:tcW w:w="1012" w:type="pct"/>
          </w:tcPr>
          <w:p w:rsidRPr="00AF654B" w:rsidR="0065570C" w:rsidP="00AF654B" w:rsidRDefault="0065570C" w14:paraId="5D8D8952" w14:textId="346F7BA6">
            <w:pPr>
              <w:spacing w:after="140" w:line="270" w:lineRule="auto"/>
              <w:rPr>
                <w:rFonts w:ascii="Inter" w:hAnsi="Inter"/>
                <w:color w:val="1A1A1A"/>
                <w:sz w:val="18"/>
                <w:lang w:val="es-ES"/>
              </w:rPr>
            </w:pPr>
            <w:r w:rsidRPr="00AF654B">
              <w:rPr>
                <w:rFonts w:ascii="Inter" w:hAnsi="Inter"/>
                <w:color w:val="1A1A1A"/>
                <w:sz w:val="18"/>
                <w:lang w:val="es-ES"/>
              </w:rPr>
              <w:t>R3. Nómina y SMMLV definitivo</w:t>
            </w:r>
          </w:p>
        </w:tc>
        <w:tc>
          <w:tcPr>
            <w:tcW w:w="998" w:type="pct"/>
          </w:tcPr>
          <w:p w:rsidRPr="00AF654B" w:rsidR="0065570C" w:rsidP="00AF654B" w:rsidRDefault="0065570C" w14:paraId="19DA0242" w14:textId="33E750F1">
            <w:pPr>
              <w:spacing w:after="140" w:line="270" w:lineRule="auto"/>
              <w:rPr>
                <w:rFonts w:ascii="Inter" w:hAnsi="Inter"/>
                <w:color w:val="1A1A1A"/>
                <w:sz w:val="18"/>
                <w:lang w:val="es-ES"/>
              </w:rPr>
            </w:pPr>
            <w:r w:rsidRPr="00AF654B">
              <w:rPr>
                <w:rFonts w:ascii="Inter" w:hAnsi="Inter"/>
                <w:color w:val="1A1A1A"/>
                <w:sz w:val="18"/>
                <w:lang w:val="es-ES"/>
              </w:rPr>
              <w:t>Quinnie y asesor de nómina</w:t>
            </w:r>
          </w:p>
        </w:tc>
        <w:tc>
          <w:tcPr>
            <w:tcW w:w="992" w:type="pct"/>
          </w:tcPr>
          <w:p w:rsidRPr="00AF654B" w:rsidR="0065570C" w:rsidP="00AF654B" w:rsidRDefault="0065570C" w14:paraId="5B954DEE" w14:textId="4C190BE3">
            <w:pPr>
              <w:spacing w:after="140" w:line="270" w:lineRule="auto"/>
              <w:rPr>
                <w:rFonts w:ascii="Inter" w:hAnsi="Inter"/>
                <w:color w:val="1A1A1A"/>
                <w:sz w:val="18"/>
                <w:lang w:val="es-ES"/>
              </w:rPr>
            </w:pPr>
            <w:r w:rsidRPr="00AF654B">
              <w:rPr>
                <w:rFonts w:ascii="Inter" w:hAnsi="Inter"/>
                <w:color w:val="1A1A1A"/>
                <w:sz w:val="18"/>
                <w:lang w:val="es-ES"/>
              </w:rPr>
              <w:t>Antes de contratar en T0.3</w:t>
            </w:r>
          </w:p>
        </w:tc>
        <w:tc>
          <w:tcPr>
            <w:tcW w:w="998" w:type="pct"/>
          </w:tcPr>
          <w:p w:rsidRPr="00AF654B" w:rsidR="0065570C" w:rsidP="00AF654B" w:rsidRDefault="0065570C" w14:paraId="09DB86E5" w14:textId="77E9D13D">
            <w:pPr>
              <w:spacing w:after="140" w:line="270" w:lineRule="auto"/>
              <w:rPr>
                <w:rFonts w:ascii="Inter" w:hAnsi="Inter"/>
                <w:color w:val="1A1A1A"/>
                <w:sz w:val="18"/>
                <w:lang w:val="es-ES"/>
              </w:rPr>
            </w:pPr>
            <w:r w:rsidRPr="00AF654B">
              <w:rPr>
                <w:rFonts w:ascii="Inter" w:hAnsi="Inter"/>
                <w:color w:val="1A1A1A"/>
                <w:sz w:val="18"/>
                <w:lang w:val="es-ES"/>
              </w:rPr>
              <w:t>[S] Escenario de ±5%: personal entre $40,5 y $44,7 millones al mes</w:t>
            </w:r>
          </w:p>
        </w:tc>
        <w:tc>
          <w:tcPr>
            <w:tcW w:w="999" w:type="pct"/>
          </w:tcPr>
          <w:p w:rsidRPr="00AF654B" w:rsidR="0065570C" w:rsidP="00AF654B" w:rsidRDefault="0065570C" w14:paraId="45D2B417" w14:textId="600CFFD4">
            <w:pPr>
              <w:spacing w:after="140" w:line="270" w:lineRule="auto"/>
              <w:rPr>
                <w:rFonts w:ascii="Inter" w:hAnsi="Inter"/>
                <w:color w:val="1A1A1A"/>
                <w:sz w:val="18"/>
                <w:lang w:val="es-ES"/>
              </w:rPr>
            </w:pPr>
            <w:r w:rsidRPr="00AF654B">
              <w:rPr>
                <w:rFonts w:ascii="Inter" w:hAnsi="Inter"/>
                <w:color w:val="1A1A1A"/>
                <w:sz w:val="18"/>
                <w:lang w:val="es-ES"/>
              </w:rPr>
              <w:t>Lleva el equilibrio aproximado a un rango de 2.868 a 3.113 boletas.</w:t>
            </w:r>
          </w:p>
        </w:tc>
      </w:tr>
      <w:tr w:rsidRPr="00041110" w:rsidR="0065570C" w:rsidTr="00AF654B" w14:paraId="64056FF8" w14:textId="77777777">
        <w:tc>
          <w:tcPr>
            <w:tcW w:w="1012" w:type="pct"/>
          </w:tcPr>
          <w:p w:rsidRPr="00AF654B" w:rsidR="0065570C" w:rsidP="00AF654B" w:rsidRDefault="0065570C" w14:paraId="09F9F010" w14:textId="6DBF4CCB">
            <w:pPr>
              <w:spacing w:after="140" w:line="270" w:lineRule="auto"/>
              <w:rPr>
                <w:rFonts w:ascii="Inter" w:hAnsi="Inter"/>
                <w:color w:val="1A1A1A"/>
                <w:sz w:val="18"/>
                <w:lang w:val="es-ES"/>
              </w:rPr>
            </w:pPr>
            <w:r w:rsidRPr="00AF654B">
              <w:rPr>
                <w:rFonts w:ascii="Inter" w:hAnsi="Inter"/>
                <w:color w:val="1A1A1A"/>
                <w:sz w:val="18"/>
                <w:lang w:val="es-ES"/>
              </w:rPr>
              <w:t>R4. Duración y habilitación de T0</w:t>
            </w:r>
          </w:p>
        </w:tc>
        <w:tc>
          <w:tcPr>
            <w:tcW w:w="998" w:type="pct"/>
          </w:tcPr>
          <w:p w:rsidRPr="00AF654B" w:rsidR="0065570C" w:rsidP="00AF654B" w:rsidRDefault="0065570C" w14:paraId="547B44CB" w14:textId="5EF1ED59">
            <w:pPr>
              <w:spacing w:after="140" w:line="270" w:lineRule="auto"/>
              <w:rPr>
                <w:rFonts w:ascii="Inter" w:hAnsi="Inter"/>
                <w:color w:val="1A1A1A"/>
                <w:sz w:val="18"/>
              </w:rPr>
            </w:pPr>
            <w:r w:rsidRPr="00AF654B">
              <w:rPr>
                <w:rFonts w:ascii="Inter" w:hAnsi="Inter"/>
                <w:color w:val="1A1A1A"/>
                <w:sz w:val="18"/>
              </w:rPr>
              <w:t>Alejo y Quinnie</w:t>
            </w:r>
          </w:p>
        </w:tc>
        <w:tc>
          <w:tcPr>
            <w:tcW w:w="992" w:type="pct"/>
          </w:tcPr>
          <w:p w:rsidRPr="00AF654B" w:rsidR="0065570C" w:rsidP="00AF654B" w:rsidRDefault="0065570C" w14:paraId="180AF551" w14:textId="022B54DD">
            <w:pPr>
              <w:spacing w:after="140" w:line="270" w:lineRule="auto"/>
              <w:rPr>
                <w:rFonts w:ascii="Inter" w:hAnsi="Inter"/>
                <w:color w:val="1A1A1A"/>
                <w:sz w:val="18"/>
              </w:rPr>
            </w:pPr>
            <w:r w:rsidRPr="00AF654B">
              <w:rPr>
                <w:rFonts w:ascii="Inter" w:hAnsi="Inter"/>
                <w:color w:val="1A1A1A"/>
                <w:sz w:val="18"/>
              </w:rPr>
              <w:t>Antes de finalizar T0.1</w:t>
            </w:r>
          </w:p>
        </w:tc>
        <w:tc>
          <w:tcPr>
            <w:tcW w:w="998" w:type="pct"/>
          </w:tcPr>
          <w:p w:rsidRPr="00AF654B" w:rsidR="0065570C" w:rsidP="00AF654B" w:rsidRDefault="0065570C" w14:paraId="7771E888" w14:textId="53635A7B">
            <w:pPr>
              <w:spacing w:after="140" w:line="270" w:lineRule="auto"/>
              <w:rPr>
                <w:rFonts w:ascii="Inter" w:hAnsi="Inter"/>
                <w:color w:val="1A1A1A"/>
                <w:sz w:val="18"/>
                <w:lang w:val="es-ES"/>
              </w:rPr>
            </w:pPr>
            <w:r w:rsidRPr="00AF654B">
              <w:rPr>
                <w:rFonts w:ascii="Inter" w:hAnsi="Inter"/>
                <w:color w:val="1A1A1A"/>
                <w:sz w:val="18"/>
                <w:lang w:val="es-ES"/>
              </w:rPr>
              <w:t>[S] 4 a 6 meses; capital total de $317,1 a $530,4 millones</w:t>
            </w:r>
          </w:p>
        </w:tc>
        <w:tc>
          <w:tcPr>
            <w:tcW w:w="999" w:type="pct"/>
          </w:tcPr>
          <w:p w:rsidRPr="00AF654B" w:rsidR="0065570C" w:rsidP="00AF654B" w:rsidRDefault="0065570C" w14:paraId="67F2ADE1" w14:textId="2593035E">
            <w:pPr>
              <w:spacing w:after="140" w:line="270" w:lineRule="auto"/>
              <w:rPr>
                <w:rFonts w:ascii="Inter" w:hAnsi="Inter"/>
                <w:color w:val="1A1A1A"/>
                <w:sz w:val="18"/>
                <w:lang w:val="es-ES"/>
              </w:rPr>
            </w:pPr>
            <w:r w:rsidRPr="00AF654B">
              <w:rPr>
                <w:rFonts w:ascii="Inter" w:hAnsi="Inter"/>
                <w:color w:val="1A1A1A"/>
                <w:sz w:val="18"/>
                <w:lang w:val="es-ES"/>
              </w:rPr>
              <w:t>Cada mes adicional agrega $51.882.000 antes del primer ingreso.</w:t>
            </w:r>
          </w:p>
        </w:tc>
      </w:tr>
      <w:tr w:rsidRPr="00041110" w:rsidR="0065570C" w:rsidTr="00AF654B" w14:paraId="43ACBBD2" w14:textId="77777777">
        <w:tc>
          <w:tcPr>
            <w:tcW w:w="1012" w:type="pct"/>
          </w:tcPr>
          <w:p w:rsidRPr="00AF654B" w:rsidR="0065570C" w:rsidP="00AF654B" w:rsidRDefault="0065570C" w14:paraId="3FA57820" w14:textId="13F50019">
            <w:pPr>
              <w:spacing w:after="140" w:line="270" w:lineRule="auto"/>
              <w:rPr>
                <w:rFonts w:ascii="Inter" w:hAnsi="Inter"/>
                <w:color w:val="1A1A1A"/>
                <w:sz w:val="18"/>
                <w:lang w:val="es-ES"/>
              </w:rPr>
            </w:pPr>
            <w:r w:rsidRPr="00AF654B">
              <w:rPr>
                <w:rFonts w:ascii="Inter" w:hAnsi="Inter"/>
                <w:color w:val="1A1A1A"/>
                <w:sz w:val="18"/>
                <w:lang w:val="es-ES"/>
              </w:rPr>
              <w:t>R5. Contracargos, fraude, reembolsos y dispersión</w:t>
            </w:r>
          </w:p>
        </w:tc>
        <w:tc>
          <w:tcPr>
            <w:tcW w:w="998" w:type="pct"/>
          </w:tcPr>
          <w:p w:rsidRPr="00AF654B" w:rsidR="0065570C" w:rsidP="00AF654B" w:rsidRDefault="0065570C" w14:paraId="49FE4734" w14:textId="3911757B">
            <w:pPr>
              <w:spacing w:after="140" w:line="270" w:lineRule="auto"/>
              <w:rPr>
                <w:rFonts w:ascii="Inter" w:hAnsi="Inter"/>
                <w:color w:val="1A1A1A"/>
                <w:sz w:val="18"/>
                <w:lang w:val="es-ES"/>
              </w:rPr>
            </w:pPr>
            <w:r w:rsidRPr="00AF654B">
              <w:rPr>
                <w:rFonts w:ascii="Inter" w:hAnsi="Inter"/>
                <w:color w:val="1A1A1A"/>
                <w:sz w:val="18"/>
                <w:lang w:val="es-ES"/>
              </w:rPr>
              <w:t>Quinnie y proveedor de pagos</w:t>
            </w:r>
          </w:p>
        </w:tc>
        <w:tc>
          <w:tcPr>
            <w:tcW w:w="992" w:type="pct"/>
          </w:tcPr>
          <w:p w:rsidRPr="00AF654B" w:rsidR="0065570C" w:rsidP="00AF654B" w:rsidRDefault="0065570C" w14:paraId="3AFE7F17" w14:textId="6DD4C493">
            <w:pPr>
              <w:spacing w:after="140" w:line="270" w:lineRule="auto"/>
              <w:rPr>
                <w:rFonts w:ascii="Inter" w:hAnsi="Inter"/>
                <w:color w:val="1A1A1A"/>
                <w:sz w:val="18"/>
                <w:lang w:val="es-ES"/>
              </w:rPr>
            </w:pPr>
            <w:r w:rsidRPr="00AF654B">
              <w:rPr>
                <w:rFonts w:ascii="Inter" w:hAnsi="Inter"/>
                <w:color w:val="1A1A1A"/>
                <w:sz w:val="18"/>
                <w:lang w:val="es-ES"/>
              </w:rPr>
              <w:t>Antes de contratar la pasarela en T0.3</w:t>
            </w:r>
          </w:p>
        </w:tc>
        <w:tc>
          <w:tcPr>
            <w:tcW w:w="998" w:type="pct"/>
          </w:tcPr>
          <w:p w:rsidRPr="00AF654B" w:rsidR="0065570C" w:rsidP="00AF654B" w:rsidRDefault="0065570C" w14:paraId="505E7018" w14:textId="168633E4">
            <w:pPr>
              <w:spacing w:after="140" w:line="270" w:lineRule="auto"/>
              <w:rPr>
                <w:rFonts w:ascii="Inter" w:hAnsi="Inter"/>
                <w:color w:val="1A1A1A"/>
                <w:sz w:val="18"/>
                <w:lang w:val="es-ES"/>
              </w:rPr>
            </w:pPr>
            <w:r w:rsidRPr="00AF654B">
              <w:rPr>
                <w:rFonts w:ascii="Inter" w:hAnsi="Inter"/>
                <w:color w:val="1A1A1A"/>
                <w:sz w:val="18"/>
                <w:lang w:val="es-ES"/>
              </w:rPr>
              <w:t>[S] Contracargos de 0,1% a 0,5%; $7.166 a $8.528 no recuperables por devolución</w:t>
            </w:r>
          </w:p>
        </w:tc>
        <w:tc>
          <w:tcPr>
            <w:tcW w:w="999" w:type="pct"/>
          </w:tcPr>
          <w:p w:rsidRPr="00AF654B" w:rsidR="0065570C" w:rsidP="00AF654B" w:rsidRDefault="0065570C" w14:paraId="51FF2149" w14:textId="3581684D">
            <w:pPr>
              <w:spacing w:after="140" w:line="270" w:lineRule="auto"/>
              <w:rPr>
                <w:rFonts w:ascii="Inter" w:hAnsi="Inter"/>
                <w:color w:val="1A1A1A"/>
                <w:sz w:val="18"/>
                <w:lang w:val="es-ES"/>
              </w:rPr>
            </w:pPr>
            <w:r w:rsidRPr="00AF654B">
              <w:rPr>
                <w:rFonts w:ascii="Inter" w:hAnsi="Inter"/>
                <w:color w:val="1A1A1A"/>
                <w:sz w:val="18"/>
                <w:lang w:val="es-ES"/>
              </w:rPr>
              <w:t>Solo los contracargos reducen la contribución promedio entre $244 y $1.220 por boleta y llevan el equilibrio a 3.033 a 3.216 boletas.</w:t>
            </w:r>
          </w:p>
        </w:tc>
      </w:tr>
      <w:tr w:rsidRPr="00041110" w:rsidR="0065570C" w:rsidTr="00AF654B" w14:paraId="01FDA873" w14:textId="77777777">
        <w:tc>
          <w:tcPr>
            <w:tcW w:w="1012" w:type="pct"/>
          </w:tcPr>
          <w:p w:rsidRPr="00AF654B" w:rsidR="0065570C" w:rsidP="00AF654B" w:rsidRDefault="0065570C" w14:paraId="54AE3A02" w14:textId="408B2DD6">
            <w:pPr>
              <w:spacing w:after="140" w:line="270" w:lineRule="auto"/>
              <w:rPr>
                <w:rFonts w:ascii="Inter" w:hAnsi="Inter"/>
                <w:color w:val="1A1A1A"/>
                <w:sz w:val="18"/>
                <w:lang w:val="es-ES"/>
              </w:rPr>
            </w:pPr>
            <w:r w:rsidRPr="00AF654B">
              <w:rPr>
                <w:rFonts w:ascii="Inter" w:hAnsi="Inter"/>
                <w:color w:val="1A1A1A"/>
                <w:sz w:val="18"/>
                <w:lang w:val="es-ES"/>
              </w:rPr>
              <w:t>R6. Cancelación de un evento</w:t>
            </w:r>
          </w:p>
        </w:tc>
        <w:tc>
          <w:tcPr>
            <w:tcW w:w="998" w:type="pct"/>
          </w:tcPr>
          <w:p w:rsidRPr="00AF654B" w:rsidR="0065570C" w:rsidP="00AF654B" w:rsidRDefault="0065570C" w14:paraId="3AF44CF2" w14:textId="366A38BE">
            <w:pPr>
              <w:spacing w:after="140" w:line="270" w:lineRule="auto"/>
              <w:rPr>
                <w:rFonts w:ascii="Inter" w:hAnsi="Inter"/>
                <w:color w:val="1A1A1A"/>
                <w:sz w:val="18"/>
              </w:rPr>
            </w:pPr>
            <w:r w:rsidRPr="00AF654B">
              <w:rPr>
                <w:rFonts w:ascii="Inter" w:hAnsi="Inter"/>
                <w:color w:val="1A1A1A"/>
                <w:sz w:val="18"/>
              </w:rPr>
              <w:t>Alejo y promotor piloto</w:t>
            </w:r>
          </w:p>
        </w:tc>
        <w:tc>
          <w:tcPr>
            <w:tcW w:w="992" w:type="pct"/>
          </w:tcPr>
          <w:p w:rsidRPr="00AF654B" w:rsidR="0065570C" w:rsidP="00AF654B" w:rsidRDefault="0065570C" w14:paraId="4938C12C" w14:textId="240FAE3C">
            <w:pPr>
              <w:spacing w:after="140" w:line="270" w:lineRule="auto"/>
              <w:rPr>
                <w:rFonts w:ascii="Inter" w:hAnsi="Inter"/>
                <w:color w:val="1A1A1A"/>
                <w:sz w:val="18"/>
                <w:lang w:val="es-ES"/>
              </w:rPr>
            </w:pPr>
            <w:r w:rsidRPr="00AF654B">
              <w:rPr>
                <w:rFonts w:ascii="Inter" w:hAnsi="Inter"/>
                <w:color w:val="1A1A1A"/>
                <w:sz w:val="18"/>
                <w:lang w:val="es-ES"/>
              </w:rPr>
              <w:t>Antes del primer contrato en T0.4</w:t>
            </w:r>
          </w:p>
        </w:tc>
        <w:tc>
          <w:tcPr>
            <w:tcW w:w="998" w:type="pct"/>
          </w:tcPr>
          <w:p w:rsidRPr="00AF654B" w:rsidR="0065570C" w:rsidP="00AF654B" w:rsidRDefault="0065570C" w14:paraId="215785FC" w14:textId="089C0C24">
            <w:pPr>
              <w:spacing w:after="140" w:line="270" w:lineRule="auto"/>
              <w:rPr>
                <w:rFonts w:ascii="Inter" w:hAnsi="Inter"/>
                <w:color w:val="1A1A1A"/>
                <w:sz w:val="18"/>
                <w:lang w:val="es-ES"/>
              </w:rPr>
            </w:pPr>
            <w:r w:rsidRPr="00AF654B">
              <w:rPr>
                <w:rFonts w:ascii="Inter" w:hAnsi="Inter"/>
                <w:color w:val="1A1A1A"/>
                <w:sz w:val="18"/>
                <w:lang w:val="es-ES"/>
              </w:rPr>
              <w:t>[S] Exposición entre $0 y $1.854,4 millones por evento</w:t>
            </w:r>
          </w:p>
        </w:tc>
        <w:tc>
          <w:tcPr>
            <w:tcW w:w="999" w:type="pct"/>
          </w:tcPr>
          <w:p w:rsidRPr="00AF654B" w:rsidR="0065570C" w:rsidP="00AF654B" w:rsidRDefault="0065570C" w14:paraId="35BBD596" w14:textId="658A7A79">
            <w:pPr>
              <w:spacing w:after="140" w:line="270" w:lineRule="auto"/>
              <w:rPr>
                <w:rFonts w:ascii="Inter" w:hAnsi="Inter"/>
                <w:color w:val="1A1A1A"/>
                <w:sz w:val="18"/>
                <w:lang w:val="es-ES"/>
              </w:rPr>
            </w:pPr>
            <w:r w:rsidRPr="00AF654B">
              <w:rPr>
                <w:rFonts w:ascii="Inter" w:hAnsi="Inter"/>
                <w:color w:val="1A1A1A"/>
                <w:sz w:val="18"/>
                <w:lang w:val="es-ES"/>
              </w:rPr>
              <w:t>No altera el equilibrio unitario, pero puede agotar la caja si los recursos ya fueron girados.</w:t>
            </w:r>
          </w:p>
        </w:tc>
      </w:tr>
      <w:tr w:rsidRPr="00AF654B" w:rsidR="0065570C" w:rsidTr="00AF654B" w14:paraId="34AAE13B" w14:textId="77777777">
        <w:tc>
          <w:tcPr>
            <w:tcW w:w="1012" w:type="pct"/>
          </w:tcPr>
          <w:p w:rsidRPr="00AF654B" w:rsidR="0065570C" w:rsidP="00AF654B" w:rsidRDefault="0065570C" w14:paraId="7B33E5CB" w14:textId="0C89530B">
            <w:pPr>
              <w:spacing w:after="140" w:line="270" w:lineRule="auto"/>
              <w:rPr>
                <w:rFonts w:ascii="Inter" w:hAnsi="Inter"/>
                <w:color w:val="1A1A1A"/>
                <w:sz w:val="18"/>
                <w:lang w:val="es-ES"/>
              </w:rPr>
            </w:pPr>
            <w:r w:rsidRPr="00AF654B">
              <w:rPr>
                <w:rFonts w:ascii="Inter" w:hAnsi="Inter"/>
                <w:color w:val="1A1A1A"/>
                <w:sz w:val="18"/>
                <w:lang w:val="es-ES"/>
              </w:rPr>
              <w:t>R7. Impuesto de renta y margen comparable</w:t>
            </w:r>
          </w:p>
        </w:tc>
        <w:tc>
          <w:tcPr>
            <w:tcW w:w="998" w:type="pct"/>
          </w:tcPr>
          <w:p w:rsidRPr="00AF654B" w:rsidR="0065570C" w:rsidP="00AF654B" w:rsidRDefault="0065570C" w14:paraId="1103886C" w14:textId="0B4393BB">
            <w:pPr>
              <w:spacing w:after="140" w:line="270" w:lineRule="auto"/>
              <w:rPr>
                <w:rFonts w:ascii="Inter" w:hAnsi="Inter"/>
                <w:color w:val="1A1A1A"/>
                <w:sz w:val="18"/>
              </w:rPr>
            </w:pPr>
            <w:r w:rsidRPr="00AF654B">
              <w:rPr>
                <w:rFonts w:ascii="Inter" w:hAnsi="Inter"/>
                <w:color w:val="1A1A1A"/>
                <w:sz w:val="18"/>
              </w:rPr>
              <w:t>Contador y Lina</w:t>
            </w:r>
          </w:p>
        </w:tc>
        <w:tc>
          <w:tcPr>
            <w:tcW w:w="992" w:type="pct"/>
          </w:tcPr>
          <w:p w:rsidRPr="00AF654B" w:rsidR="0065570C" w:rsidP="00AF654B" w:rsidRDefault="0065570C" w14:paraId="4F956263" w14:textId="3A873265">
            <w:pPr>
              <w:spacing w:after="140" w:line="270" w:lineRule="auto"/>
              <w:rPr>
                <w:rFonts w:ascii="Inter" w:hAnsi="Inter"/>
                <w:color w:val="1A1A1A"/>
                <w:sz w:val="18"/>
                <w:lang w:val="es-ES"/>
              </w:rPr>
            </w:pPr>
            <w:r w:rsidRPr="00AF654B">
              <w:rPr>
                <w:rFonts w:ascii="Inter" w:hAnsi="Inter"/>
                <w:color w:val="1A1A1A"/>
                <w:sz w:val="18"/>
                <w:lang w:val="es-ES"/>
              </w:rPr>
              <w:t>Antes de la decisión de inversión en T0.5</w:t>
            </w:r>
          </w:p>
        </w:tc>
        <w:tc>
          <w:tcPr>
            <w:tcW w:w="998" w:type="pct"/>
          </w:tcPr>
          <w:p w:rsidRPr="00AF654B" w:rsidR="0065570C" w:rsidP="00AF654B" w:rsidRDefault="0065570C" w14:paraId="30EC50EC" w14:textId="6FA50EC7">
            <w:pPr>
              <w:spacing w:after="140" w:line="270" w:lineRule="auto"/>
              <w:rPr>
                <w:rFonts w:ascii="Inter" w:hAnsi="Inter"/>
                <w:color w:val="1A1A1A"/>
                <w:sz w:val="18"/>
                <w:lang w:val="es-ES"/>
              </w:rPr>
            </w:pPr>
            <w:r w:rsidRPr="00AF654B">
              <w:rPr>
                <w:rFonts w:ascii="Inter" w:hAnsi="Inter"/>
                <w:color w:val="1A1A1A"/>
                <w:sz w:val="18"/>
                <w:lang w:val="es-ES"/>
              </w:rPr>
              <w:t xml:space="preserve">[V] Tarifa general de 35%; [S] base igual al resultado operativo; margen </w:t>
            </w:r>
            <w:r w:rsidRPr="00AF654B">
              <w:rPr>
                <w:rFonts w:ascii="Inter" w:hAnsi="Inter"/>
                <w:color w:val="1A1A1A"/>
                <w:sz w:val="18"/>
                <w:lang w:val="es-ES"/>
              </w:rPr>
              <w:lastRenderedPageBreak/>
              <w:t>comparable por verificar</w:t>
            </w:r>
          </w:p>
        </w:tc>
        <w:tc>
          <w:tcPr>
            <w:tcW w:w="999" w:type="pct"/>
          </w:tcPr>
          <w:p w:rsidRPr="00AF654B" w:rsidR="0065570C" w:rsidP="00AF654B" w:rsidRDefault="0065570C" w14:paraId="74E94938" w14:textId="2A34CA13">
            <w:pPr>
              <w:spacing w:after="140" w:line="270" w:lineRule="auto"/>
              <w:rPr>
                <w:rFonts w:ascii="Inter" w:hAnsi="Inter"/>
                <w:color w:val="1A1A1A"/>
                <w:sz w:val="18"/>
              </w:rPr>
            </w:pPr>
            <w:r w:rsidRPr="00AF654B">
              <w:rPr>
                <w:rFonts w:ascii="Inter" w:hAnsi="Inter"/>
                <w:color w:val="1A1A1A"/>
                <w:sz w:val="18"/>
                <w:lang w:val="es-ES"/>
              </w:rPr>
              <w:lastRenderedPageBreak/>
              <w:t xml:space="preserve">No cambia el equilibrio operativo. Bajo una aproximación simple, reduce el </w:t>
            </w:r>
            <w:r w:rsidRPr="00AF654B">
              <w:rPr>
                <w:rFonts w:ascii="Inter" w:hAnsi="Inter"/>
                <w:color w:val="1A1A1A"/>
                <w:sz w:val="18"/>
                <w:lang w:val="es-ES"/>
              </w:rPr>
              <w:lastRenderedPageBreak/>
              <w:t xml:space="preserve">resultado anual de $8.473 a $5.508 millones antes de inversión. </w:t>
            </w:r>
            <w:r w:rsidRPr="00AF654B">
              <w:rPr>
                <w:rFonts w:ascii="Inter" w:hAnsi="Inter"/>
                <w:color w:val="1A1A1A"/>
                <w:sz w:val="18"/>
              </w:rPr>
              <w:t>Fuente: DIAN.</w:t>
            </w:r>
          </w:p>
        </w:tc>
      </w:tr>
    </w:tbl>
    <w:p w:rsidRPr="008006A1" w:rsidR="0065570C" w:rsidP="00AF654B" w:rsidRDefault="0065570C" w14:paraId="171CCBDA" w14:textId="46C535A6">
      <w:pPr>
        <w:pStyle w:val="Ttulo1"/>
        <w:spacing w:before="320" w:after="120"/>
        <w:rPr>
          <w:rFonts w:ascii="Inter" w:hAnsi="Inter"/>
          <w:b/>
          <w:color w:val="1A1A1A"/>
          <w:sz w:val="28"/>
        </w:rPr>
      </w:pPr>
      <w:bookmarkStart w:name="_Toc239897216" w:id="35"/>
      <w:r w:rsidRPr="008006A1">
        <w:rPr>
          <w:rFonts w:ascii="Inter" w:hAnsi="Inter"/>
          <w:b/>
          <w:color w:val="1A1A1A"/>
          <w:sz w:val="28"/>
        </w:rPr>
        <w:lastRenderedPageBreak/>
        <w:t>5. Objetivos y resultados clave</w:t>
      </w:r>
      <w:bookmarkEnd w:id="35"/>
    </w:p>
    <w:p w:rsidRPr="00AF654B" w:rsidR="0065570C" w:rsidP="00AF654B" w:rsidRDefault="0065570C" w14:paraId="44D931EF" w14:textId="09B7EDDB">
      <w:pPr>
        <w:spacing w:after="140" w:line="270" w:lineRule="auto"/>
        <w:jc w:val="both"/>
        <w:rPr>
          <w:rFonts w:ascii="Inter" w:hAnsi="Inter"/>
          <w:sz w:val="21"/>
          <w:lang w:val="es-ES"/>
        </w:rPr>
      </w:pPr>
      <w:r w:rsidRPr="00AF654B">
        <w:rPr>
          <w:rFonts w:ascii="Inter" w:hAnsi="Inter"/>
          <w:color w:val="000000"/>
          <w:sz w:val="21"/>
          <w:lang w:val="es-ES"/>
        </w:rPr>
        <w:t xml:space="preserve">Los OKR se definen para el primer año de operación. Cada objetivo expresa una prioridad empresarial y cada resultado clave establece una medida, una meta y un plazo. Cuando no existe historia operativa, el primer trimestre establece la línea base para los indicadores de experiencia. La formulación aplica la distinción del curso entre un objetivo cualitativo y un </w:t>
      </w:r>
      <w:r w:rsidRPr="0080416D">
        <w:rPr>
          <w:rFonts w:ascii="Inter" w:hAnsi="Inter"/>
          <w:color w:val="000000"/>
          <w:sz w:val="21"/>
          <w:lang w:val="es-ES"/>
        </w:rPr>
        <w:t>resultado clave cuantificable</w:t>
      </w:r>
      <w:r w:rsidRPr="00AF654B">
        <w:rPr>
          <w:rFonts w:ascii="Inter" w:hAnsi="Inter"/>
          <w:color w:val="000000"/>
          <w:sz w:val="21"/>
          <w:lang w:val="es-ES"/>
        </w:rPr>
        <w:t>.</w:t>
      </w:r>
    </w:p>
    <w:p w:rsidRPr="008006A1" w:rsidR="0065570C" w:rsidP="00AF654B" w:rsidRDefault="0065570C" w14:paraId="51C7007D" w14:textId="5A6AA6A2">
      <w:pPr>
        <w:pStyle w:val="Ttulo2"/>
        <w:spacing w:before="240"/>
        <w:rPr>
          <w:rFonts w:ascii="Inter" w:hAnsi="Inter"/>
          <w:b/>
          <w:color w:val="1A1A1A"/>
          <w:sz w:val="23"/>
          <w:lang w:val="es-ES"/>
        </w:rPr>
      </w:pPr>
      <w:bookmarkStart w:name="_Toc239897217" w:id="36"/>
      <w:r w:rsidRPr="008006A1">
        <w:rPr>
          <w:rFonts w:ascii="Inter" w:hAnsi="Inter"/>
          <w:b/>
          <w:color w:val="1A1A1A"/>
          <w:sz w:val="23"/>
          <w:lang w:val="es-ES"/>
        </w:rPr>
        <w:t>OKR 1. Confianza del promotor</w:t>
      </w:r>
      <w:bookmarkEnd w:id="36"/>
    </w:p>
    <w:p w:rsidRPr="008006A1" w:rsidR="0065570C" w:rsidP="0065570C" w:rsidRDefault="0065570C" w14:paraId="0E43F2C3" w14:textId="1D28158F">
      <w:pPr>
        <w:pStyle w:val="Citadestacada"/>
        <w:rPr>
          <w:rFonts w:ascii="Inter" w:hAnsi="Inter"/>
          <w:i w:val="0"/>
          <w:color w:val="404040"/>
          <w:sz w:val="21"/>
          <w:lang w:val="es-ES"/>
        </w:rPr>
      </w:pPr>
      <w:r w:rsidRPr="008006A1">
        <w:rPr>
          <w:rFonts w:ascii="Inter" w:hAnsi="Inter"/>
          <w:i w:val="0"/>
          <w:color w:val="404040"/>
          <w:sz w:val="21"/>
          <w:lang w:val="es-ES"/>
        </w:rPr>
        <w:t>Objetivo: Convertir la confianza en la razón por la que los promotores eligen y mantienen a TicketRight.</w:t>
      </w:r>
    </w:p>
    <w:p w:rsidRPr="00AF654B" w:rsidR="0065570C" w:rsidP="00AF654B" w:rsidRDefault="0065570C" w14:paraId="2E8DBF55" w14:textId="35B88339">
      <w:pPr>
        <w:pStyle w:val="Prrafodelista"/>
        <w:numPr>
          <w:ilvl w:val="0"/>
          <w:numId w:val="28"/>
        </w:numPr>
        <w:spacing w:after="140" w:line="270" w:lineRule="auto"/>
        <w:jc w:val="both"/>
        <w:rPr>
          <w:rFonts w:ascii="Inter" w:hAnsi="Inter"/>
          <w:sz w:val="21"/>
        </w:rPr>
      </w:pPr>
      <w:r w:rsidRPr="00AF654B">
        <w:rPr>
          <w:rFonts w:ascii="Inter" w:hAnsi="Inter"/>
          <w:b/>
          <w:color w:val="000000"/>
          <w:sz w:val="21"/>
          <w:lang w:val="es-ES"/>
        </w:rPr>
        <w:t>KR1.1:</w:t>
      </w:r>
      <w:r w:rsidRPr="00AF654B">
        <w:rPr>
          <w:rFonts w:ascii="Inter" w:hAnsi="Inter"/>
          <w:color w:val="000000"/>
          <w:sz w:val="21"/>
          <w:lang w:val="es-ES"/>
        </w:rPr>
        <w:t xml:space="preserve"> Obtener la resolución de autorización como operador de boletería en línea antes de finalizar T0.6. Es un resultado binario: sin resolución no puede iniciar T1. </w:t>
      </w:r>
      <w:r w:rsidRPr="00AF654B">
        <w:rPr>
          <w:rFonts w:ascii="Inter" w:hAnsi="Inter"/>
          <w:color w:val="000000"/>
          <w:sz w:val="21"/>
        </w:rPr>
        <w:t>[S]</w:t>
      </w:r>
    </w:p>
    <w:p w:rsidRPr="00AF654B" w:rsidR="0065570C" w:rsidP="00AF654B" w:rsidRDefault="0065570C" w14:paraId="3FF396F3" w14:textId="1C051E24">
      <w:pPr>
        <w:pStyle w:val="Prrafodelista"/>
        <w:numPr>
          <w:ilvl w:val="0"/>
          <w:numId w:val="28"/>
        </w:numPr>
        <w:spacing w:after="140" w:line="270" w:lineRule="auto"/>
        <w:jc w:val="both"/>
        <w:rPr>
          <w:rFonts w:ascii="Inter" w:hAnsi="Inter"/>
          <w:sz w:val="21"/>
        </w:rPr>
      </w:pPr>
      <w:r w:rsidRPr="00AF654B">
        <w:rPr>
          <w:rFonts w:ascii="Inter" w:hAnsi="Inter"/>
          <w:b/>
          <w:color w:val="000000"/>
          <w:sz w:val="21"/>
          <w:lang w:val="es-ES"/>
        </w:rPr>
        <w:t>KR1.2:</w:t>
      </w:r>
      <w:r w:rsidRPr="00AF654B">
        <w:rPr>
          <w:rFonts w:ascii="Inter" w:hAnsi="Inter"/>
          <w:color w:val="000000"/>
          <w:sz w:val="21"/>
          <w:lang w:val="es-ES"/>
        </w:rPr>
        <w:t xml:space="preserve"> Pasar de 0 a 2 promotores que contraten y operen al menos un evento pago antes de finalizar T1. </w:t>
      </w:r>
      <w:r w:rsidRPr="00AF654B">
        <w:rPr>
          <w:rFonts w:ascii="Inter" w:hAnsi="Inter"/>
          <w:color w:val="000000"/>
          <w:sz w:val="21"/>
        </w:rPr>
        <w:t>[S]</w:t>
      </w:r>
    </w:p>
    <w:p w:rsidRPr="00AF654B" w:rsidR="0065570C" w:rsidP="00AF654B" w:rsidRDefault="0065570C" w14:paraId="4D82D050" w14:textId="2791A593">
      <w:pPr>
        <w:pStyle w:val="Prrafodelista"/>
        <w:numPr>
          <w:ilvl w:val="0"/>
          <w:numId w:val="28"/>
        </w:numPr>
        <w:spacing w:after="140" w:line="270" w:lineRule="auto"/>
        <w:jc w:val="both"/>
        <w:rPr>
          <w:rFonts w:ascii="Inter" w:hAnsi="Inter"/>
          <w:sz w:val="21"/>
        </w:rPr>
      </w:pPr>
      <w:r w:rsidRPr="00AF654B">
        <w:rPr>
          <w:rFonts w:ascii="Inter" w:hAnsi="Inter"/>
          <w:b/>
          <w:color w:val="000000"/>
          <w:sz w:val="21"/>
          <w:lang w:val="es-ES"/>
        </w:rPr>
        <w:t>KR1.3:</w:t>
      </w:r>
      <w:r w:rsidRPr="00AF654B">
        <w:rPr>
          <w:rFonts w:ascii="Inter" w:hAnsi="Inter"/>
          <w:color w:val="000000"/>
          <w:sz w:val="21"/>
          <w:lang w:val="es-ES"/>
        </w:rPr>
        <w:t xml:space="preserve"> Pasar de 0 a 10 promotores activos antes de finalizar T4. Un promotor activo es aquel que operó al menos un evento pago durante los últimos 90 días. </w:t>
      </w:r>
      <w:r w:rsidRPr="00AF654B">
        <w:rPr>
          <w:rFonts w:ascii="Inter" w:hAnsi="Inter"/>
          <w:color w:val="000000"/>
          <w:sz w:val="21"/>
        </w:rPr>
        <w:t>[S]</w:t>
      </w:r>
    </w:p>
    <w:p w:rsidRPr="00AF654B" w:rsidR="0065570C" w:rsidP="00AF654B" w:rsidRDefault="0065570C" w14:paraId="556ABC2E" w14:textId="3D60E0BC">
      <w:pPr>
        <w:pStyle w:val="Prrafodelista"/>
        <w:numPr>
          <w:ilvl w:val="0"/>
          <w:numId w:val="28"/>
        </w:numPr>
        <w:spacing w:after="140" w:line="270" w:lineRule="auto"/>
        <w:jc w:val="both"/>
        <w:rPr>
          <w:rFonts w:ascii="Inter" w:hAnsi="Inter"/>
          <w:sz w:val="21"/>
        </w:rPr>
      </w:pPr>
      <w:r w:rsidRPr="00AF654B">
        <w:rPr>
          <w:rFonts w:ascii="Inter" w:hAnsi="Inter"/>
          <w:b/>
          <w:color w:val="000000"/>
          <w:sz w:val="21"/>
          <w:lang w:val="es-ES"/>
        </w:rPr>
        <w:t>KR1.4:</w:t>
      </w:r>
      <w:r w:rsidRPr="00AF654B">
        <w:rPr>
          <w:rFonts w:ascii="Inter" w:hAnsi="Inter"/>
          <w:color w:val="000000"/>
          <w:sz w:val="21"/>
          <w:lang w:val="es-ES"/>
        </w:rPr>
        <w:t xml:space="preserve"> Conseguir que al menos 80% de los promotores programe un segundo evento con TicketRight dentro de los 180 días siguientes a su primera operación, medido desde T3. La línea base se establece con la cohorte de T1. </w:t>
      </w:r>
      <w:r w:rsidRPr="00AF654B">
        <w:rPr>
          <w:rFonts w:ascii="Inter" w:hAnsi="Inter"/>
          <w:color w:val="000000"/>
          <w:sz w:val="21"/>
        </w:rPr>
        <w:t>[S]</w:t>
      </w:r>
    </w:p>
    <w:p w:rsidRPr="008006A1" w:rsidR="0065570C" w:rsidP="00AF654B" w:rsidRDefault="0065570C" w14:paraId="681640D3" w14:textId="38C1D244">
      <w:pPr>
        <w:pStyle w:val="Ttulo2"/>
        <w:spacing w:before="240"/>
        <w:rPr>
          <w:rFonts w:ascii="Inter" w:hAnsi="Inter"/>
          <w:b/>
          <w:color w:val="1A1A1A"/>
          <w:sz w:val="23"/>
        </w:rPr>
      </w:pPr>
      <w:bookmarkStart w:name="_Toc239897218" w:id="37"/>
      <w:r w:rsidRPr="008006A1">
        <w:rPr>
          <w:rFonts w:ascii="Inter" w:hAnsi="Inter"/>
          <w:b/>
          <w:color w:val="1A1A1A"/>
          <w:sz w:val="23"/>
        </w:rPr>
        <w:t>OKR 2. Confianza del fan</w:t>
      </w:r>
      <w:bookmarkEnd w:id="37"/>
    </w:p>
    <w:p w:rsidRPr="008006A1" w:rsidR="0065570C" w:rsidP="0065570C" w:rsidRDefault="0065570C" w14:paraId="35C3B831" w14:textId="6E9AE65E">
      <w:pPr>
        <w:pStyle w:val="Citadestacada"/>
        <w:rPr>
          <w:rFonts w:ascii="Inter" w:hAnsi="Inter"/>
          <w:i w:val="0"/>
          <w:color w:val="404040"/>
          <w:sz w:val="21"/>
          <w:lang w:val="es-ES"/>
        </w:rPr>
      </w:pPr>
      <w:r w:rsidRPr="008006A1">
        <w:rPr>
          <w:rFonts w:ascii="Inter" w:hAnsi="Inter"/>
          <w:i w:val="0"/>
          <w:color w:val="404040"/>
          <w:sz w:val="21"/>
          <w:lang w:val="es-ES"/>
        </w:rPr>
        <w:t>Objetivo: Hacer de cada compra de alta demanda una experiencia en la que el fan pueda confiar y que quiera recomendar.</w:t>
      </w:r>
    </w:p>
    <w:p w:rsidRPr="00AF654B" w:rsidR="0065570C" w:rsidP="00AF654B" w:rsidRDefault="0065570C" w14:paraId="4548F1F6" w14:textId="71E60E18">
      <w:pPr>
        <w:pStyle w:val="Prrafodelista"/>
        <w:numPr>
          <w:ilvl w:val="0"/>
          <w:numId w:val="29"/>
        </w:numPr>
        <w:spacing w:after="140" w:line="270" w:lineRule="auto"/>
        <w:jc w:val="both"/>
        <w:rPr>
          <w:rFonts w:ascii="Inter" w:hAnsi="Inter"/>
          <w:sz w:val="21"/>
        </w:rPr>
      </w:pPr>
      <w:r w:rsidRPr="00AF654B">
        <w:rPr>
          <w:rFonts w:ascii="Inter" w:hAnsi="Inter"/>
          <w:b/>
          <w:color w:val="000000"/>
          <w:sz w:val="21"/>
          <w:lang w:val="es-ES"/>
        </w:rPr>
        <w:t>KR2.1:</w:t>
      </w:r>
      <w:r w:rsidRPr="00AF654B">
        <w:rPr>
          <w:rFonts w:ascii="Inter" w:hAnsi="Inter"/>
          <w:color w:val="000000"/>
          <w:sz w:val="21"/>
          <w:lang w:val="es-ES"/>
        </w:rPr>
        <w:t xml:space="preserve"> Mantener los reclamos procedentes por errores entre dinero y boleta en máximo 0,1% de las ventas completadas desde T2. </w:t>
      </w:r>
      <w:r w:rsidRPr="00AF654B">
        <w:rPr>
          <w:rFonts w:ascii="Inter" w:hAnsi="Inter"/>
          <w:color w:val="000000"/>
          <w:sz w:val="21"/>
        </w:rPr>
        <w:t>La línea base se establece en T1. [S]</w:t>
      </w:r>
    </w:p>
    <w:p w:rsidRPr="00AF654B" w:rsidR="0065570C" w:rsidP="00AF654B" w:rsidRDefault="0065570C" w14:paraId="1EBE657C" w14:textId="05776194">
      <w:pPr>
        <w:pStyle w:val="Prrafodelista"/>
        <w:numPr>
          <w:ilvl w:val="0"/>
          <w:numId w:val="29"/>
        </w:numPr>
        <w:spacing w:after="140" w:line="270" w:lineRule="auto"/>
        <w:jc w:val="both"/>
        <w:rPr>
          <w:rFonts w:ascii="Inter" w:hAnsi="Inter"/>
          <w:sz w:val="21"/>
        </w:rPr>
      </w:pPr>
      <w:r w:rsidRPr="00AF654B">
        <w:rPr>
          <w:rFonts w:ascii="Inter" w:hAnsi="Inter"/>
          <w:b/>
          <w:color w:val="000000"/>
          <w:sz w:val="21"/>
          <w:lang w:val="es-ES"/>
        </w:rPr>
        <w:t>KR2.2:</w:t>
      </w:r>
      <w:r w:rsidRPr="00AF654B">
        <w:rPr>
          <w:rFonts w:ascii="Inter" w:hAnsi="Inter"/>
          <w:color w:val="000000"/>
          <w:sz w:val="21"/>
          <w:lang w:val="es-ES"/>
        </w:rPr>
        <w:t xml:space="preserve"> Lograr que al menos 98% de quienes inician el pago completen la compra sin error durante la ventana de mayor demanda desde T2. </w:t>
      </w:r>
      <w:r w:rsidRPr="00AF654B">
        <w:rPr>
          <w:rFonts w:ascii="Inter" w:hAnsi="Inter"/>
          <w:color w:val="000000"/>
          <w:sz w:val="21"/>
        </w:rPr>
        <w:t>La línea base se establece en T1. [S]</w:t>
      </w:r>
    </w:p>
    <w:p w:rsidRPr="00AF654B" w:rsidR="0065570C" w:rsidP="00AF654B" w:rsidRDefault="0065570C" w14:paraId="6DE52032" w14:textId="0E2EA395">
      <w:pPr>
        <w:pStyle w:val="Prrafodelista"/>
        <w:numPr>
          <w:ilvl w:val="0"/>
          <w:numId w:val="29"/>
        </w:numPr>
        <w:spacing w:after="140" w:line="270" w:lineRule="auto"/>
        <w:jc w:val="both"/>
        <w:rPr>
          <w:rFonts w:ascii="Inter" w:hAnsi="Inter"/>
          <w:sz w:val="21"/>
        </w:rPr>
      </w:pPr>
      <w:r w:rsidRPr="00AF654B">
        <w:rPr>
          <w:rFonts w:ascii="Inter" w:hAnsi="Inter"/>
          <w:b/>
          <w:color w:val="000000"/>
          <w:sz w:val="21"/>
          <w:lang w:val="es-ES"/>
        </w:rPr>
        <w:lastRenderedPageBreak/>
        <w:t>KR2.3:</w:t>
      </w:r>
      <w:r w:rsidRPr="00AF654B">
        <w:rPr>
          <w:rFonts w:ascii="Inter" w:hAnsi="Inter"/>
          <w:color w:val="000000"/>
          <w:sz w:val="21"/>
          <w:lang w:val="es-ES"/>
        </w:rPr>
        <w:t xml:space="preserve"> Alcanzar una satisfacción poscompra de al menos 4,2 sobre 5 desde T2. </w:t>
      </w:r>
      <w:r w:rsidRPr="00AF654B">
        <w:rPr>
          <w:rFonts w:ascii="Inter" w:hAnsi="Inter"/>
          <w:color w:val="000000"/>
          <w:sz w:val="21"/>
        </w:rPr>
        <w:t>La línea base se establece en T1. [S]</w:t>
      </w:r>
    </w:p>
    <w:p w:rsidRPr="00AF654B" w:rsidR="0065570C" w:rsidP="00AF654B" w:rsidRDefault="0065570C" w14:paraId="58AB88AB" w14:textId="47A6EBB3">
      <w:pPr>
        <w:spacing w:after="140" w:line="270" w:lineRule="auto"/>
        <w:jc w:val="both"/>
        <w:rPr>
          <w:rFonts w:ascii="Inter" w:hAnsi="Inter"/>
          <w:sz w:val="21"/>
          <w:lang w:val="es-ES"/>
        </w:rPr>
      </w:pPr>
      <w:r w:rsidRPr="00AF654B">
        <w:rPr>
          <w:rFonts w:ascii="Inter" w:hAnsi="Inter"/>
          <w:color w:val="000000"/>
          <w:sz w:val="21"/>
          <w:lang w:val="es-ES"/>
        </w:rPr>
        <w:t>Para este objetivo, un reclamo procedente es aquel que, después de revisar la trazabilidad de la operación, confirma una diferencia atribuible a TicketRight entre el dinero cobrado y la boleta emitida, anulada o devuelta.</w:t>
      </w:r>
    </w:p>
    <w:p w:rsidRPr="008006A1" w:rsidR="0065570C" w:rsidP="00AF654B" w:rsidRDefault="0065570C" w14:paraId="30FA5ACF" w14:textId="0F7A8FC5">
      <w:pPr>
        <w:pStyle w:val="Ttulo2"/>
        <w:spacing w:before="240"/>
        <w:rPr>
          <w:rFonts w:ascii="Inter" w:hAnsi="Inter"/>
          <w:b/>
          <w:color w:val="1A1A1A"/>
          <w:sz w:val="23"/>
          <w:lang w:val="es-ES"/>
        </w:rPr>
      </w:pPr>
      <w:bookmarkStart w:name="_Toc239897219" w:id="38"/>
      <w:r w:rsidRPr="008006A1">
        <w:rPr>
          <w:rFonts w:ascii="Inter" w:hAnsi="Inter"/>
          <w:b/>
          <w:color w:val="1A1A1A"/>
          <w:sz w:val="23"/>
          <w:lang w:val="es-ES"/>
        </w:rPr>
        <w:t>OKR 3. Rentabilidad por evento</w:t>
      </w:r>
      <w:bookmarkEnd w:id="38"/>
    </w:p>
    <w:p w:rsidRPr="008006A1" w:rsidR="0065570C" w:rsidP="0065570C" w:rsidRDefault="0065570C" w14:paraId="0FEDC796" w14:textId="39517097">
      <w:pPr>
        <w:pStyle w:val="Citadestacada"/>
        <w:rPr>
          <w:rFonts w:ascii="Inter" w:hAnsi="Inter"/>
          <w:i w:val="0"/>
          <w:color w:val="404040"/>
          <w:sz w:val="21"/>
          <w:lang w:val="es-ES"/>
        </w:rPr>
      </w:pPr>
      <w:r w:rsidRPr="008006A1">
        <w:rPr>
          <w:rFonts w:ascii="Inter" w:hAnsi="Inter"/>
          <w:i w:val="0"/>
          <w:color w:val="404040"/>
          <w:sz w:val="21"/>
          <w:lang w:val="es-ES"/>
        </w:rPr>
        <w:t>Objetivo: Hacer de cada evento vendido una operación rentable que financie el crecimiento de TicketRight.</w:t>
      </w:r>
    </w:p>
    <w:p w:rsidRPr="00AF654B" w:rsidR="0065570C" w:rsidP="00AF654B" w:rsidRDefault="0065570C" w14:paraId="6A748F98" w14:textId="5E6A827A">
      <w:pPr>
        <w:pStyle w:val="Prrafodelista"/>
        <w:numPr>
          <w:ilvl w:val="0"/>
          <w:numId w:val="30"/>
        </w:numPr>
        <w:spacing w:after="140" w:line="270" w:lineRule="auto"/>
        <w:jc w:val="both"/>
        <w:rPr>
          <w:rFonts w:ascii="Inter" w:hAnsi="Inter"/>
          <w:sz w:val="21"/>
        </w:rPr>
      </w:pPr>
      <w:r w:rsidRPr="00AF654B">
        <w:rPr>
          <w:rFonts w:ascii="Inter" w:hAnsi="Inter"/>
          <w:b/>
          <w:color w:val="000000"/>
          <w:sz w:val="21"/>
          <w:lang w:val="es-ES"/>
        </w:rPr>
        <w:t>KR3.1:</w:t>
      </w:r>
      <w:r w:rsidRPr="00AF654B">
        <w:rPr>
          <w:rFonts w:ascii="Inter" w:hAnsi="Inter"/>
          <w:color w:val="000000"/>
          <w:sz w:val="21"/>
          <w:lang w:val="es-ES"/>
        </w:rPr>
        <w:t xml:space="preserve"> Alcanzar el punto de equilibrio mensual antes de finalizar T1. </w:t>
      </w:r>
      <w:r w:rsidRPr="00AF654B">
        <w:rPr>
          <w:rFonts w:ascii="Inter" w:hAnsi="Inter"/>
          <w:color w:val="000000"/>
          <w:sz w:val="21"/>
        </w:rPr>
        <w:t>[S]</w:t>
      </w:r>
    </w:p>
    <w:p w:rsidRPr="00AF654B" w:rsidR="0065570C" w:rsidP="00AF654B" w:rsidRDefault="0065570C" w14:paraId="56224167" w14:textId="34D79D91">
      <w:pPr>
        <w:pStyle w:val="Prrafodelista"/>
        <w:numPr>
          <w:ilvl w:val="0"/>
          <w:numId w:val="30"/>
        </w:numPr>
        <w:spacing w:after="140" w:line="270" w:lineRule="auto"/>
        <w:jc w:val="both"/>
        <w:rPr>
          <w:rFonts w:ascii="Inter" w:hAnsi="Inter"/>
          <w:sz w:val="21"/>
        </w:rPr>
      </w:pPr>
      <w:r w:rsidRPr="00AF654B">
        <w:rPr>
          <w:rFonts w:ascii="Inter" w:hAnsi="Inter"/>
          <w:b/>
          <w:color w:val="000000"/>
          <w:sz w:val="21"/>
          <w:lang w:val="es-ES"/>
        </w:rPr>
        <w:t>KR3.2:</w:t>
      </w:r>
      <w:r w:rsidRPr="00AF654B">
        <w:rPr>
          <w:rFonts w:ascii="Inter" w:hAnsi="Inter"/>
          <w:color w:val="000000"/>
          <w:sz w:val="21"/>
          <w:lang w:val="es-ES"/>
        </w:rPr>
        <w:t xml:space="preserve"> Mantener un resultado antes de impuestos e inversión igual o superior a cero durante tres meses consecutivos antes de finalizar T2. </w:t>
      </w:r>
      <w:r w:rsidRPr="00AF654B">
        <w:rPr>
          <w:rFonts w:ascii="Inter" w:hAnsi="Inter"/>
          <w:color w:val="000000"/>
          <w:sz w:val="21"/>
        </w:rPr>
        <w:t>[S]</w:t>
      </w:r>
    </w:p>
    <w:p w:rsidRPr="00AF654B" w:rsidR="0065570C" w:rsidP="00AF654B" w:rsidRDefault="0065570C" w14:paraId="67C78387" w14:textId="2E531FF5">
      <w:pPr>
        <w:pStyle w:val="Prrafodelista"/>
        <w:numPr>
          <w:ilvl w:val="0"/>
          <w:numId w:val="30"/>
        </w:numPr>
        <w:spacing w:after="140" w:line="270" w:lineRule="auto"/>
        <w:jc w:val="both"/>
        <w:rPr>
          <w:rFonts w:ascii="Inter" w:hAnsi="Inter"/>
          <w:sz w:val="21"/>
        </w:rPr>
      </w:pPr>
      <w:r w:rsidRPr="00AF654B">
        <w:rPr>
          <w:rFonts w:ascii="Inter" w:hAnsi="Inter"/>
          <w:b/>
          <w:color w:val="000000"/>
          <w:sz w:val="21"/>
          <w:lang w:val="es-ES"/>
        </w:rPr>
        <w:t>KR3.3:</w:t>
      </w:r>
      <w:r w:rsidRPr="00AF654B">
        <w:rPr>
          <w:rFonts w:ascii="Inter" w:hAnsi="Inter"/>
          <w:color w:val="000000"/>
          <w:sz w:val="21"/>
          <w:lang w:val="es-ES"/>
        </w:rPr>
        <w:t xml:space="preserve"> Conservar al menos $10.000 por cada boleta después de pagar sus costos variables, medido trimestralmente desde T2. El modelo estima $17.350 en el escenario base y $12.156 en la cota tributaria conservadora de S7. </w:t>
      </w:r>
      <w:r w:rsidRPr="00AF654B">
        <w:rPr>
          <w:rFonts w:ascii="Inter" w:hAnsi="Inter"/>
          <w:color w:val="000000"/>
          <w:sz w:val="21"/>
        </w:rPr>
        <w:t>[S]</w:t>
      </w:r>
    </w:p>
    <w:p w:rsidRPr="00AF654B" w:rsidR="0065570C" w:rsidP="00AF654B" w:rsidRDefault="0065570C" w14:paraId="334AD2F2" w14:textId="7AB549B4">
      <w:pPr>
        <w:pStyle w:val="Prrafodelista"/>
        <w:numPr>
          <w:ilvl w:val="0"/>
          <w:numId w:val="30"/>
        </w:numPr>
        <w:spacing w:after="140" w:line="270" w:lineRule="auto"/>
        <w:jc w:val="both"/>
        <w:rPr>
          <w:rFonts w:ascii="Inter" w:hAnsi="Inter"/>
          <w:sz w:val="21"/>
        </w:rPr>
      </w:pPr>
      <w:r w:rsidRPr="00AF654B">
        <w:rPr>
          <w:rFonts w:ascii="Inter" w:hAnsi="Inter"/>
          <w:b/>
          <w:color w:val="000000"/>
          <w:sz w:val="21"/>
          <w:lang w:val="es-ES"/>
        </w:rPr>
        <w:t>KR3.4:</w:t>
      </w:r>
      <w:r w:rsidRPr="00AF654B">
        <w:rPr>
          <w:rFonts w:ascii="Inter" w:hAnsi="Inter"/>
          <w:color w:val="000000"/>
          <w:sz w:val="21"/>
          <w:lang w:val="es-ES"/>
        </w:rPr>
        <w:t xml:space="preserve"> Alcanzar un promedio de 1,5 eventos pagos por promotor activo durante T4. Este indicador mide profundidad de la relación y no repite el número de promotores de KR1.3. </w:t>
      </w:r>
      <w:r w:rsidRPr="00AF654B">
        <w:rPr>
          <w:rFonts w:ascii="Inter" w:hAnsi="Inter"/>
          <w:color w:val="000000"/>
          <w:sz w:val="21"/>
        </w:rPr>
        <w:t>[S]</w:t>
      </w:r>
    </w:p>
    <w:p w:rsidRPr="00AF654B" w:rsidR="0065570C" w:rsidP="00AF654B" w:rsidRDefault="0065570C" w14:paraId="0E86D736" w14:textId="0AD29B23">
      <w:pPr>
        <w:pStyle w:val="Prrafodelista"/>
        <w:numPr>
          <w:ilvl w:val="0"/>
          <w:numId w:val="30"/>
        </w:numPr>
        <w:spacing w:after="140" w:line="270" w:lineRule="auto"/>
        <w:jc w:val="both"/>
        <w:rPr>
          <w:rFonts w:ascii="Inter" w:hAnsi="Inter"/>
          <w:sz w:val="21"/>
        </w:rPr>
      </w:pPr>
      <w:r w:rsidRPr="00AF654B">
        <w:rPr>
          <w:rFonts w:ascii="Inter" w:hAnsi="Inter"/>
          <w:b/>
          <w:color w:val="000000"/>
          <w:sz w:val="21"/>
          <w:lang w:val="es-ES"/>
        </w:rPr>
        <w:t>KR3.5:</w:t>
      </w:r>
      <w:r w:rsidRPr="00AF654B">
        <w:rPr>
          <w:rFonts w:ascii="Inter" w:hAnsi="Inter"/>
          <w:color w:val="000000"/>
          <w:sz w:val="21"/>
          <w:lang w:val="es-ES"/>
        </w:rPr>
        <w:t xml:space="preserve"> Mantener diariamente 100% de los recursos de terceros respaldados por saldos segregados y conciliados, sin usar el flotante para financiar la operación, desde el primer evento. </w:t>
      </w:r>
      <w:r w:rsidRPr="00AF654B">
        <w:rPr>
          <w:rFonts w:ascii="Inter" w:hAnsi="Inter"/>
          <w:color w:val="000000"/>
          <w:sz w:val="21"/>
        </w:rPr>
        <w:t>[S]</w:t>
      </w:r>
    </w:p>
    <w:p w:rsidRPr="008006A1" w:rsidR="0065570C" w:rsidP="00AF654B" w:rsidRDefault="0065570C" w14:paraId="3D273144" w14:textId="2399BF6B">
      <w:pPr>
        <w:pStyle w:val="Ttulo2"/>
        <w:spacing w:before="240"/>
        <w:rPr>
          <w:rFonts w:ascii="Inter" w:hAnsi="Inter"/>
          <w:b/>
          <w:color w:val="1A1A1A"/>
          <w:sz w:val="23"/>
        </w:rPr>
      </w:pPr>
      <w:bookmarkStart w:name="_Toc239897220" w:id="39"/>
      <w:r w:rsidRPr="008006A1">
        <w:rPr>
          <w:rFonts w:ascii="Inter" w:hAnsi="Inter"/>
          <w:b/>
          <w:color w:val="1A1A1A"/>
          <w:sz w:val="23"/>
        </w:rPr>
        <w:t>OKR 4. Servicios complementarios adoptados</w:t>
      </w:r>
      <w:bookmarkEnd w:id="39"/>
    </w:p>
    <w:p w:rsidRPr="008006A1" w:rsidR="0065570C" w:rsidP="0065570C" w:rsidRDefault="0065570C" w14:paraId="30E43738" w14:textId="7F374F5C">
      <w:pPr>
        <w:pStyle w:val="Citadestacada"/>
        <w:rPr>
          <w:rFonts w:ascii="Inter" w:hAnsi="Inter"/>
          <w:i w:val="0"/>
          <w:color w:val="404040"/>
          <w:sz w:val="21"/>
          <w:lang w:val="es-ES"/>
        </w:rPr>
      </w:pPr>
      <w:r w:rsidRPr="008006A1">
        <w:rPr>
          <w:rFonts w:ascii="Inter" w:hAnsi="Inter"/>
          <w:i w:val="0"/>
          <w:color w:val="404040"/>
          <w:sz w:val="21"/>
          <w:lang w:val="es-ES"/>
        </w:rPr>
        <w:t>Objetivo: Convertir la reventa autorizada y la información consentida en servicios que fortalezcan al promotor y generen crecimiento responsable para TicketRight.</w:t>
      </w:r>
    </w:p>
    <w:p w:rsidRPr="00AF654B" w:rsidR="0065570C" w:rsidP="00AF654B" w:rsidRDefault="0065570C" w14:paraId="14175316" w14:textId="2BF8EA77">
      <w:pPr>
        <w:pStyle w:val="Prrafodelista"/>
        <w:numPr>
          <w:ilvl w:val="0"/>
          <w:numId w:val="31"/>
        </w:numPr>
        <w:spacing w:after="140" w:line="270" w:lineRule="auto"/>
        <w:jc w:val="both"/>
        <w:rPr>
          <w:rFonts w:ascii="Inter" w:hAnsi="Inter"/>
          <w:sz w:val="21"/>
        </w:rPr>
      </w:pPr>
      <w:r w:rsidRPr="00AF654B">
        <w:rPr>
          <w:rFonts w:ascii="Inter" w:hAnsi="Inter"/>
          <w:b/>
          <w:color w:val="000000"/>
          <w:sz w:val="21"/>
          <w:lang w:val="es-ES"/>
        </w:rPr>
        <w:t>KR4.1:</w:t>
      </w:r>
      <w:r w:rsidRPr="00AF654B">
        <w:rPr>
          <w:rFonts w:ascii="Inter" w:hAnsi="Inter"/>
          <w:color w:val="000000"/>
          <w:sz w:val="21"/>
          <w:lang w:val="es-ES"/>
        </w:rPr>
        <w:t xml:space="preserve"> Lograr que al menos 8% de las boletas emitidas se revenda dentro de TicketRight antes de finalizar T4. </w:t>
      </w:r>
      <w:r w:rsidRPr="00AF654B">
        <w:rPr>
          <w:rFonts w:ascii="Inter" w:hAnsi="Inter"/>
          <w:color w:val="000000"/>
          <w:sz w:val="21"/>
        </w:rPr>
        <w:t>[S]</w:t>
      </w:r>
    </w:p>
    <w:p w:rsidRPr="00AF654B" w:rsidR="0065570C" w:rsidP="00AF654B" w:rsidRDefault="0065570C" w14:paraId="6432D347" w14:textId="5B4CA67D">
      <w:pPr>
        <w:pStyle w:val="Prrafodelista"/>
        <w:numPr>
          <w:ilvl w:val="0"/>
          <w:numId w:val="31"/>
        </w:numPr>
        <w:spacing w:after="140" w:line="270" w:lineRule="auto"/>
        <w:jc w:val="both"/>
        <w:rPr>
          <w:rFonts w:ascii="Inter" w:hAnsi="Inter"/>
          <w:sz w:val="21"/>
        </w:rPr>
      </w:pPr>
      <w:r w:rsidRPr="00AF654B">
        <w:rPr>
          <w:rFonts w:ascii="Inter" w:hAnsi="Inter"/>
          <w:b/>
          <w:color w:val="000000"/>
          <w:sz w:val="21"/>
          <w:lang w:val="es-ES"/>
        </w:rPr>
        <w:t>KR4.2:</w:t>
      </w:r>
      <w:r w:rsidRPr="00AF654B">
        <w:rPr>
          <w:rFonts w:ascii="Inter" w:hAnsi="Inter"/>
          <w:color w:val="000000"/>
          <w:sz w:val="21"/>
          <w:lang w:val="es-ES"/>
        </w:rPr>
        <w:t xml:space="preserve"> Conseguir que al menos 70% de los promotores activos habilite la reventa autorizada en uno o más eventos antes de finalizar T4. </w:t>
      </w:r>
      <w:r w:rsidRPr="00AF654B">
        <w:rPr>
          <w:rFonts w:ascii="Inter" w:hAnsi="Inter"/>
          <w:color w:val="000000"/>
          <w:sz w:val="21"/>
        </w:rPr>
        <w:t>[S]</w:t>
      </w:r>
    </w:p>
    <w:p w:rsidRPr="00AF654B" w:rsidR="0065570C" w:rsidP="00AF654B" w:rsidRDefault="0065570C" w14:paraId="46BFF088" w14:textId="7ACBB2DB">
      <w:pPr>
        <w:pStyle w:val="Prrafodelista"/>
        <w:numPr>
          <w:ilvl w:val="0"/>
          <w:numId w:val="31"/>
        </w:numPr>
        <w:spacing w:after="140" w:line="270" w:lineRule="auto"/>
        <w:jc w:val="both"/>
        <w:rPr>
          <w:rFonts w:ascii="Inter" w:hAnsi="Inter"/>
          <w:sz w:val="21"/>
        </w:rPr>
      </w:pPr>
      <w:r w:rsidRPr="00AF654B">
        <w:rPr>
          <w:rFonts w:ascii="Inter" w:hAnsi="Inter"/>
          <w:b/>
          <w:color w:val="000000"/>
          <w:sz w:val="21"/>
          <w:lang w:val="es-ES"/>
        </w:rPr>
        <w:t>KR4.3:</w:t>
      </w:r>
      <w:r w:rsidRPr="00AF654B">
        <w:rPr>
          <w:rFonts w:ascii="Inter" w:hAnsi="Inter"/>
          <w:color w:val="000000"/>
          <w:sz w:val="21"/>
          <w:lang w:val="es-ES"/>
        </w:rPr>
        <w:t xml:space="preserve"> Conseguir que al menos 50% de los eventos pagos contrate el paquete de datos y reportes antes de finalizar T4. </w:t>
      </w:r>
      <w:r w:rsidRPr="00AF654B">
        <w:rPr>
          <w:rFonts w:ascii="Inter" w:hAnsi="Inter"/>
          <w:color w:val="000000"/>
          <w:sz w:val="21"/>
        </w:rPr>
        <w:t>[S]</w:t>
      </w:r>
    </w:p>
    <w:p w:rsidRPr="00AF654B" w:rsidR="0065570C" w:rsidP="00AF654B" w:rsidRDefault="0065570C" w14:paraId="60958BF3" w14:textId="27A91198">
      <w:pPr>
        <w:pStyle w:val="Prrafodelista"/>
        <w:numPr>
          <w:ilvl w:val="0"/>
          <w:numId w:val="31"/>
        </w:numPr>
        <w:spacing w:after="140" w:line="270" w:lineRule="auto"/>
        <w:jc w:val="both"/>
        <w:rPr>
          <w:rFonts w:ascii="Inter" w:hAnsi="Inter"/>
          <w:sz w:val="21"/>
        </w:rPr>
      </w:pPr>
      <w:r w:rsidRPr="00AF654B">
        <w:rPr>
          <w:rFonts w:ascii="Inter" w:hAnsi="Inter"/>
          <w:b/>
          <w:color w:val="000000"/>
          <w:sz w:val="21"/>
          <w:lang w:val="es-ES"/>
        </w:rPr>
        <w:t>KR4.4:</w:t>
      </w:r>
      <w:r w:rsidRPr="00AF654B">
        <w:rPr>
          <w:rFonts w:ascii="Inter" w:hAnsi="Inter"/>
          <w:color w:val="000000"/>
          <w:sz w:val="21"/>
          <w:lang w:val="es-ES"/>
        </w:rPr>
        <w:t xml:space="preserve"> Alcanzar al menos $87 millones mensuales combinados por comisiones de reventa y paquetes de datos antes de finalizar T4. La meta corresponde a diez eventos tipo con 8% de reventa y cinco paquetes de datos de $400.000. </w:t>
      </w:r>
      <w:r w:rsidRPr="00AF654B">
        <w:rPr>
          <w:rFonts w:ascii="Inter" w:hAnsi="Inter"/>
          <w:color w:val="000000"/>
          <w:sz w:val="21"/>
        </w:rPr>
        <w:t>[S]</w:t>
      </w:r>
    </w:p>
    <w:p w:rsidRPr="008006A1" w:rsidR="0065570C" w:rsidP="00AF654B" w:rsidRDefault="0065570C" w14:paraId="643212A1" w14:textId="70019961">
      <w:pPr>
        <w:pStyle w:val="Ttulo2"/>
        <w:spacing w:before="240"/>
        <w:rPr>
          <w:rFonts w:ascii="Inter" w:hAnsi="Inter"/>
          <w:b/>
          <w:color w:val="1A1A1A"/>
          <w:sz w:val="23"/>
        </w:rPr>
      </w:pPr>
      <w:bookmarkStart w:name="_Toc239897221" w:id="40"/>
      <w:r w:rsidRPr="008006A1">
        <w:rPr>
          <w:rFonts w:ascii="Inter" w:hAnsi="Inter"/>
          <w:b/>
          <w:color w:val="1A1A1A"/>
          <w:sz w:val="23"/>
        </w:rPr>
        <w:lastRenderedPageBreak/>
        <w:t>Seguimiento de los OKR</w:t>
      </w:r>
      <w:bookmarkEnd w:id="40"/>
    </w:p>
    <w:p w:rsidRPr="00AF654B" w:rsidR="0065570C" w:rsidP="00AF654B" w:rsidRDefault="0065570C" w14:paraId="4FADB22D" w14:textId="7721F3DA">
      <w:pPr>
        <w:spacing w:after="140" w:line="270" w:lineRule="auto"/>
        <w:jc w:val="both"/>
        <w:rPr>
          <w:rFonts w:ascii="Inter" w:hAnsi="Inter"/>
          <w:sz w:val="21"/>
          <w:lang w:val="es-ES"/>
        </w:rPr>
      </w:pPr>
      <w:r w:rsidRPr="00AF654B">
        <w:rPr>
          <w:rFonts w:ascii="Inter" w:hAnsi="Inter"/>
          <w:color w:val="000000"/>
          <w:sz w:val="21"/>
          <w:lang w:val="es-ES"/>
        </w:rPr>
        <w:t>Los resultados se revisan mensualmente. Los indicadores de experiencia se calculan por evento y se consolidan cada trimestre. Los KR progresivos se califican en una escala de 0,0 a 1,0, en la que 0,7 representa la zona de éxito esperada para una meta ambiciosa. El KR3.5 y el cumplimiento de las obligaciones legales, tributarias, de datos y de aforo se evalúan de forma binaria: cumplido o incumplido. Su incumplimiento no puede compensarse con el logro de otro resultado.</w:t>
      </w:r>
    </w:p>
    <w:p w:rsidRPr="008006A1" w:rsidR="0065570C" w:rsidP="00AF654B" w:rsidRDefault="0065570C" w14:paraId="2788F739" w14:textId="4C8106AB">
      <w:pPr>
        <w:pStyle w:val="Ttulo1"/>
        <w:spacing w:before="320" w:after="120"/>
        <w:rPr>
          <w:rFonts w:ascii="Inter" w:hAnsi="Inter"/>
          <w:b/>
          <w:color w:val="1A1A1A"/>
          <w:sz w:val="28"/>
          <w:lang w:val="es-ES"/>
        </w:rPr>
      </w:pPr>
      <w:bookmarkStart w:name="_Toc239897222" w:id="41"/>
      <w:r w:rsidRPr="008006A1">
        <w:rPr>
          <w:rFonts w:ascii="Inter" w:hAnsi="Inter"/>
          <w:b/>
          <w:color w:val="1A1A1A"/>
          <w:sz w:val="28"/>
          <w:lang w:val="es-ES"/>
        </w:rPr>
        <w:t>Coherencia integral del caso</w:t>
      </w:r>
      <w:bookmarkEnd w:id="41"/>
    </w:p>
    <w:p w:rsidRPr="00AF654B" w:rsidR="0065570C" w:rsidP="00AF654B" w:rsidRDefault="0065570C" w14:paraId="7DA35A18" w14:textId="4859157D">
      <w:pPr>
        <w:spacing w:after="140" w:line="270" w:lineRule="auto"/>
        <w:jc w:val="both"/>
        <w:rPr>
          <w:rFonts w:ascii="Inter" w:hAnsi="Inter"/>
          <w:sz w:val="21"/>
          <w:lang w:val="es-ES"/>
        </w:rPr>
      </w:pPr>
      <w:r w:rsidRPr="00AF654B">
        <w:rPr>
          <w:rFonts w:ascii="Inter" w:hAnsi="Inter"/>
          <w:color w:val="000000"/>
          <w:sz w:val="21"/>
          <w:lang w:val="es-ES"/>
        </w:rPr>
        <w:t>El modelo comienza con el promotor, quien aporta el inventario y contrata la plataforma. La propuesta de confianza busca que ese promotor elija TicketRight y vuelva a utilizarla, lo que se mide en el OKR 1. El fan completa la venta y paga el cargo por servicio; su confianza, conversión y satisfacción se miden en el OKR 2.</w:t>
      </w:r>
    </w:p>
    <w:p w:rsidRPr="00AF654B" w:rsidR="0065570C" w:rsidP="00AF654B" w:rsidRDefault="0065570C" w14:paraId="0F79F421" w14:textId="69147DEC">
      <w:pPr>
        <w:spacing w:after="140" w:line="270" w:lineRule="auto"/>
        <w:jc w:val="both"/>
        <w:rPr>
          <w:rFonts w:ascii="Inter" w:hAnsi="Inter"/>
          <w:sz w:val="21"/>
          <w:lang w:val="es-ES"/>
        </w:rPr>
      </w:pPr>
      <w:r w:rsidRPr="00AF654B">
        <w:rPr>
          <w:rFonts w:ascii="Inter" w:hAnsi="Inter"/>
          <w:color w:val="000000"/>
          <w:sz w:val="21"/>
          <w:lang w:val="es-ES"/>
        </w:rPr>
        <w:t>Los ingresos por boleta deben superar los costos variables y cubrir la operación fija. Esta relación se mide mediante el punto de equilibrio, el dinero disponible por boleta y el volumen de eventos por promotor del OKR 3. El mismo objetivo controla que el flotante de terceros no se convierta en financiación propia. La reventa y los datos no se presentan como ingresos garantizados. Son hipótesis de diferenciación cuya adopción y aporte económico se miden en el OKR 4.</w:t>
      </w:r>
      <w:r w:rsidR="002B05AB">
        <w:rPr>
          <w:rFonts w:ascii="Inter" w:hAnsi="Inter"/>
          <w:sz w:val="21"/>
          <w:lang w:val="es-ES"/>
        </w:rPr>
        <w:t xml:space="preserve"> </w:t>
      </w:r>
      <w:r w:rsidRPr="00AF654B">
        <w:rPr>
          <w:rFonts w:ascii="Inter" w:hAnsi="Inter"/>
          <w:color w:val="000000"/>
          <w:sz w:val="21"/>
          <w:lang w:val="es-ES"/>
        </w:rPr>
        <w:t>De esta manera, clientes, propuesta de valor, ingresos, costos y objetivos describen una sola lógica empresarial. TicketRight crece únicamente si obtiene inventario, protege la compra, conserva valor en cada venta y demuestra que sus servicios complementarios son adoptados por promotores y fans.</w:t>
      </w:r>
    </w:p>
    <w:p w:rsidRPr="008006A1" w:rsidR="0065570C" w:rsidP="00AF654B" w:rsidRDefault="0065570C" w14:paraId="2D34D86B" w14:textId="5F5F56F6">
      <w:pPr>
        <w:pStyle w:val="Ttulo1"/>
        <w:spacing w:before="320" w:after="120"/>
        <w:rPr>
          <w:rFonts w:ascii="Inter" w:hAnsi="Inter"/>
          <w:b/>
          <w:color w:val="1A1A1A"/>
          <w:sz w:val="28"/>
        </w:rPr>
      </w:pPr>
      <w:bookmarkStart w:name="_Toc239897223" w:id="42"/>
      <w:r w:rsidRPr="008006A1">
        <w:rPr>
          <w:rFonts w:ascii="Inter" w:hAnsi="Inter"/>
          <w:b/>
          <w:color w:val="1A1A1A"/>
          <w:sz w:val="28"/>
        </w:rPr>
        <w:t>Referencias</w:t>
      </w:r>
      <w:bookmarkEnd w:id="42"/>
    </w:p>
    <w:p w:rsidRPr="00AF654B" w:rsidR="0065570C" w:rsidP="00AF654B" w:rsidRDefault="0065570C" w14:paraId="4FB4753D" w14:textId="47DF19AF">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Ministerio de las Culturas. Portal Único de Espectáculos Públicos de las Artes Escénicas: </w:t>
      </w:r>
      <w:hyperlink w:history="1" r:id="rId25">
        <w:r w:rsidRPr="00AF654B">
          <w:rPr>
            <w:rStyle w:val="Hipervnculo"/>
            <w:rFonts w:ascii="Inter" w:hAnsi="Inter"/>
            <w:sz w:val="21"/>
            <w:lang w:val="es-ES"/>
          </w:rPr>
          <w:t>PULEP</w:t>
        </w:r>
      </w:hyperlink>
      <w:r w:rsidRPr="00AF654B">
        <w:rPr>
          <w:rFonts w:ascii="Inter" w:hAnsi="Inter"/>
          <w:color w:val="000000"/>
          <w:sz w:val="21"/>
          <w:lang w:val="es-ES"/>
        </w:rPr>
        <w:t>.</w:t>
      </w:r>
    </w:p>
    <w:p w:rsidRPr="00AF654B" w:rsidR="0065570C" w:rsidP="00AF654B" w:rsidRDefault="0065570C" w14:paraId="0E4D6CDE" w14:textId="05B1A286">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Ámbito Jurídico. Eventos de artes escénicas en Colombia crecieron 22% en 2023: </w:t>
      </w:r>
      <w:hyperlink w:history="1" r:id="rId26">
        <w:r w:rsidRPr="00AF654B">
          <w:rPr>
            <w:rStyle w:val="Hipervnculo"/>
            <w:rFonts w:ascii="Inter" w:hAnsi="Inter"/>
            <w:sz w:val="21"/>
            <w:lang w:val="es-ES"/>
          </w:rPr>
          <w:t>consulta</w:t>
        </w:r>
      </w:hyperlink>
      <w:r w:rsidRPr="00AF654B">
        <w:rPr>
          <w:rFonts w:ascii="Inter" w:hAnsi="Inter"/>
          <w:color w:val="000000"/>
          <w:sz w:val="21"/>
          <w:lang w:val="es-ES"/>
        </w:rPr>
        <w:t>.</w:t>
      </w:r>
    </w:p>
    <w:p w:rsidRPr="00AF654B" w:rsidR="0065570C" w:rsidP="00AF654B" w:rsidRDefault="0065570C" w14:paraId="50A0947A" w14:textId="5D59DD03">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Superintendencia de Industria y Comercio. Pliego de cargos contra Ticket Fast S.A.S.: </w:t>
      </w:r>
      <w:hyperlink w:history="1" r:id="rId27">
        <w:r w:rsidRPr="00AF654B">
          <w:rPr>
            <w:rStyle w:val="Hipervnculo"/>
            <w:rFonts w:ascii="Inter" w:hAnsi="Inter"/>
            <w:sz w:val="21"/>
            <w:lang w:val="es-ES"/>
          </w:rPr>
          <w:t>comunicado oficial</w:t>
        </w:r>
      </w:hyperlink>
      <w:r w:rsidRPr="00AF654B">
        <w:rPr>
          <w:rFonts w:ascii="Inter" w:hAnsi="Inter"/>
          <w:color w:val="000000"/>
          <w:sz w:val="21"/>
          <w:lang w:val="es-ES"/>
        </w:rPr>
        <w:t>.</w:t>
      </w:r>
    </w:p>
    <w:p w:rsidRPr="00AF654B" w:rsidR="0065570C" w:rsidP="00AF654B" w:rsidRDefault="0065570C" w14:paraId="7043AEC6" w14:textId="7E288DCE">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El Tiempo. Composición del cargo por servicio en Colombia: </w:t>
      </w:r>
      <w:hyperlink w:history="1" r:id="rId28">
        <w:r w:rsidRPr="00AF654B">
          <w:rPr>
            <w:rStyle w:val="Hipervnculo"/>
            <w:rFonts w:ascii="Inter" w:hAnsi="Inter"/>
            <w:sz w:val="21"/>
            <w:lang w:val="es-ES"/>
          </w:rPr>
          <w:t>consulta</w:t>
        </w:r>
      </w:hyperlink>
      <w:r w:rsidRPr="00AF654B">
        <w:rPr>
          <w:rFonts w:ascii="Inter" w:hAnsi="Inter"/>
          <w:color w:val="000000"/>
          <w:sz w:val="21"/>
          <w:lang w:val="es-ES"/>
        </w:rPr>
        <w:t>.</w:t>
      </w:r>
    </w:p>
    <w:p w:rsidRPr="00AF654B" w:rsidR="0065570C" w:rsidP="00AF654B" w:rsidRDefault="0065570C" w14:paraId="2EF3BEC7" w14:textId="4476D9B7">
      <w:pPr>
        <w:pStyle w:val="Prrafodelista"/>
        <w:numPr>
          <w:ilvl w:val="0"/>
          <w:numId w:val="32"/>
        </w:numPr>
        <w:spacing w:after="140" w:line="270" w:lineRule="auto"/>
        <w:jc w:val="both"/>
        <w:rPr>
          <w:rFonts w:ascii="Inter" w:hAnsi="Inter"/>
          <w:sz w:val="21"/>
        </w:rPr>
      </w:pPr>
      <w:r w:rsidRPr="00AF654B">
        <w:rPr>
          <w:rFonts w:ascii="Inter" w:hAnsi="Inter"/>
          <w:color w:val="000000"/>
          <w:sz w:val="21"/>
        </w:rPr>
        <w:t xml:space="preserve">Función Pública. </w:t>
      </w:r>
      <w:hyperlink w:history="1" r:id="rId29">
        <w:r w:rsidRPr="00AF654B">
          <w:rPr>
            <w:rStyle w:val="Hipervnculo"/>
            <w:rFonts w:ascii="Inter" w:hAnsi="Inter"/>
            <w:sz w:val="21"/>
          </w:rPr>
          <w:t>Ley 1493 de 2011</w:t>
        </w:r>
      </w:hyperlink>
      <w:r w:rsidRPr="00AF654B">
        <w:rPr>
          <w:rFonts w:ascii="Inter" w:hAnsi="Inter"/>
          <w:color w:val="000000"/>
          <w:sz w:val="21"/>
        </w:rPr>
        <w:t>.</w:t>
      </w:r>
    </w:p>
    <w:p w:rsidRPr="00AF654B" w:rsidR="0065570C" w:rsidP="00AF654B" w:rsidRDefault="0065570C" w14:paraId="59C948C7" w14:textId="31324471">
      <w:pPr>
        <w:pStyle w:val="Prrafodelista"/>
        <w:numPr>
          <w:ilvl w:val="0"/>
          <w:numId w:val="32"/>
        </w:numPr>
        <w:spacing w:after="140" w:line="270" w:lineRule="auto"/>
        <w:jc w:val="both"/>
        <w:rPr>
          <w:rFonts w:ascii="Inter" w:hAnsi="Inter"/>
          <w:sz w:val="21"/>
        </w:rPr>
      </w:pPr>
      <w:r w:rsidRPr="00AF654B">
        <w:rPr>
          <w:rFonts w:ascii="Inter" w:hAnsi="Inter"/>
          <w:color w:val="000000"/>
          <w:sz w:val="21"/>
        </w:rPr>
        <w:t xml:space="preserve">Función Pública. </w:t>
      </w:r>
      <w:hyperlink w:history="1" r:id="rId30">
        <w:r w:rsidRPr="00AF654B">
          <w:rPr>
            <w:rStyle w:val="Hipervnculo"/>
            <w:rFonts w:ascii="Inter" w:hAnsi="Inter"/>
            <w:sz w:val="21"/>
          </w:rPr>
          <w:t>Ley 1480 de 2011</w:t>
        </w:r>
      </w:hyperlink>
      <w:r w:rsidRPr="00AF654B">
        <w:rPr>
          <w:rFonts w:ascii="Inter" w:hAnsi="Inter"/>
          <w:color w:val="000000"/>
          <w:sz w:val="21"/>
        </w:rPr>
        <w:t>.</w:t>
      </w:r>
    </w:p>
    <w:p w:rsidRPr="00AF654B" w:rsidR="0065570C" w:rsidP="00AF654B" w:rsidRDefault="0065570C" w14:paraId="5711A2E2" w14:textId="73CCAE90">
      <w:pPr>
        <w:pStyle w:val="Prrafodelista"/>
        <w:numPr>
          <w:ilvl w:val="0"/>
          <w:numId w:val="32"/>
        </w:numPr>
        <w:spacing w:after="140" w:line="270" w:lineRule="auto"/>
        <w:jc w:val="both"/>
        <w:rPr>
          <w:rFonts w:ascii="Inter" w:hAnsi="Inter"/>
          <w:sz w:val="21"/>
        </w:rPr>
      </w:pPr>
      <w:r w:rsidRPr="00AF654B">
        <w:rPr>
          <w:rFonts w:ascii="Inter" w:hAnsi="Inter"/>
          <w:color w:val="000000"/>
          <w:sz w:val="21"/>
        </w:rPr>
        <w:t xml:space="preserve">Función Pública. </w:t>
      </w:r>
      <w:hyperlink w:history="1" r:id="rId31">
        <w:r w:rsidRPr="00AF654B">
          <w:rPr>
            <w:rStyle w:val="Hipervnculo"/>
            <w:rFonts w:ascii="Inter" w:hAnsi="Inter"/>
            <w:sz w:val="21"/>
          </w:rPr>
          <w:t>Ley 1581 de 2012</w:t>
        </w:r>
      </w:hyperlink>
      <w:r w:rsidRPr="00AF654B">
        <w:rPr>
          <w:rFonts w:ascii="Inter" w:hAnsi="Inter"/>
          <w:color w:val="000000"/>
          <w:sz w:val="21"/>
        </w:rPr>
        <w:t>.</w:t>
      </w:r>
    </w:p>
    <w:p w:rsidRPr="00AF654B" w:rsidR="0065570C" w:rsidP="00AF654B" w:rsidRDefault="0065570C" w14:paraId="719C89AA" w14:textId="2A1C40B6">
      <w:pPr>
        <w:pStyle w:val="Prrafodelista"/>
        <w:numPr>
          <w:ilvl w:val="0"/>
          <w:numId w:val="32"/>
        </w:numPr>
        <w:spacing w:after="140" w:line="270" w:lineRule="auto"/>
        <w:jc w:val="both"/>
        <w:rPr>
          <w:rFonts w:ascii="Inter" w:hAnsi="Inter"/>
          <w:sz w:val="21"/>
        </w:rPr>
      </w:pPr>
      <w:r w:rsidRPr="00AF654B">
        <w:rPr>
          <w:rFonts w:ascii="Inter" w:hAnsi="Inter"/>
          <w:color w:val="000000"/>
          <w:sz w:val="21"/>
        </w:rPr>
        <w:t xml:space="preserve">Wompi. </w:t>
      </w:r>
      <w:hyperlink w:history="1" r:id="rId32">
        <w:r w:rsidRPr="00AF654B">
          <w:rPr>
            <w:rStyle w:val="Hipervnculo"/>
            <w:rFonts w:ascii="Inter" w:hAnsi="Inter"/>
            <w:sz w:val="21"/>
          </w:rPr>
          <w:t>Planes y tarifas</w:t>
        </w:r>
      </w:hyperlink>
      <w:r w:rsidRPr="00AF654B">
        <w:rPr>
          <w:rFonts w:ascii="Inter" w:hAnsi="Inter"/>
          <w:color w:val="000000"/>
          <w:sz w:val="21"/>
        </w:rPr>
        <w:t>.</w:t>
      </w:r>
    </w:p>
    <w:p w:rsidRPr="00AF654B" w:rsidR="0065570C" w:rsidP="00AF654B" w:rsidRDefault="0065570C" w14:paraId="1800F4DC" w14:textId="399525FD">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DIAN. </w:t>
      </w:r>
      <w:hyperlink w:history="1" r:id="rId33">
        <w:r w:rsidRPr="00AF654B">
          <w:rPr>
            <w:rStyle w:val="Hipervnculo"/>
            <w:rFonts w:ascii="Inter" w:hAnsi="Inter"/>
            <w:sz w:val="21"/>
            <w:lang w:val="es-ES"/>
          </w:rPr>
          <w:t>Resolución 000238 de 2025 sobre UVT 2026</w:t>
        </w:r>
      </w:hyperlink>
      <w:r w:rsidRPr="00AF654B">
        <w:rPr>
          <w:rFonts w:ascii="Inter" w:hAnsi="Inter"/>
          <w:color w:val="000000"/>
          <w:sz w:val="21"/>
          <w:lang w:val="es-ES"/>
        </w:rPr>
        <w:t>.</w:t>
      </w:r>
    </w:p>
    <w:p w:rsidRPr="00AF654B" w:rsidR="0065570C" w:rsidP="00AF654B" w:rsidRDefault="0065570C" w14:paraId="73BDD27F" w14:textId="213884DC">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DIAN. </w:t>
      </w:r>
      <w:hyperlink w:history="1" r:id="rId34">
        <w:r w:rsidRPr="00AF654B">
          <w:rPr>
            <w:rStyle w:val="Hipervnculo"/>
            <w:rFonts w:ascii="Inter" w:hAnsi="Inter"/>
            <w:sz w:val="21"/>
            <w:lang w:val="es-ES"/>
          </w:rPr>
          <w:t>Oficio 900918 de 2021 sobre la exclusión de IVA</w:t>
        </w:r>
      </w:hyperlink>
      <w:r w:rsidRPr="00AF654B">
        <w:rPr>
          <w:rFonts w:ascii="Inter" w:hAnsi="Inter"/>
          <w:color w:val="000000"/>
          <w:sz w:val="21"/>
          <w:lang w:val="es-ES"/>
        </w:rPr>
        <w:t>.</w:t>
      </w:r>
    </w:p>
    <w:p w:rsidRPr="00AF654B" w:rsidR="0065570C" w:rsidP="00AF654B" w:rsidRDefault="0065570C" w14:paraId="0E6FCC24" w14:textId="1C9EC683">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DIAN. </w:t>
      </w:r>
      <w:hyperlink w:history="1" r:id="rId35">
        <w:r w:rsidRPr="00AF654B">
          <w:rPr>
            <w:rStyle w:val="Hipervnculo"/>
            <w:rFonts w:ascii="Inter" w:hAnsi="Inter"/>
            <w:sz w:val="21"/>
            <w:lang w:val="es-ES"/>
          </w:rPr>
          <w:t>Concepto Unificado 1 de 2018 sobre la contribución parafiscal</w:t>
        </w:r>
      </w:hyperlink>
      <w:r w:rsidRPr="00AF654B">
        <w:rPr>
          <w:rFonts w:ascii="Inter" w:hAnsi="Inter"/>
          <w:color w:val="000000"/>
          <w:sz w:val="21"/>
          <w:lang w:val="es-ES"/>
        </w:rPr>
        <w:t>.</w:t>
      </w:r>
    </w:p>
    <w:p w:rsidRPr="00AF654B" w:rsidR="0065570C" w:rsidP="00AF654B" w:rsidRDefault="0065570C" w14:paraId="2D241646" w14:textId="596DF41C">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Ministerio de las Culturas. </w:t>
      </w:r>
      <w:hyperlink w:history="1" r:id="rId36">
        <w:r w:rsidRPr="00AF654B">
          <w:rPr>
            <w:rStyle w:val="Hipervnculo"/>
            <w:rFonts w:ascii="Inter" w:hAnsi="Inter"/>
            <w:sz w:val="21"/>
            <w:lang w:val="es-ES"/>
          </w:rPr>
          <w:t>Autorización de operadores de boletería en línea</w:t>
        </w:r>
      </w:hyperlink>
      <w:r w:rsidRPr="00AF654B">
        <w:rPr>
          <w:rFonts w:ascii="Inter" w:hAnsi="Inter"/>
          <w:color w:val="000000"/>
          <w:sz w:val="21"/>
          <w:lang w:val="es-ES"/>
        </w:rPr>
        <w:t>.</w:t>
      </w:r>
    </w:p>
    <w:p w:rsidRPr="00AF654B" w:rsidR="0065570C" w:rsidP="00AF654B" w:rsidRDefault="0065570C" w14:paraId="6A53BFAE" w14:textId="46E5B84F">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DIAN. </w:t>
      </w:r>
      <w:hyperlink w:history="1" r:id="rId37">
        <w:r w:rsidRPr="00AF654B">
          <w:rPr>
            <w:rStyle w:val="Hipervnculo"/>
            <w:rFonts w:ascii="Inter" w:hAnsi="Inter"/>
            <w:sz w:val="21"/>
            <w:lang w:val="es-ES"/>
          </w:rPr>
          <w:t>Concepto 483 de 2026 sobre IVA descontable</w:t>
        </w:r>
      </w:hyperlink>
      <w:r w:rsidRPr="00AF654B">
        <w:rPr>
          <w:rFonts w:ascii="Inter" w:hAnsi="Inter"/>
          <w:color w:val="000000"/>
          <w:sz w:val="21"/>
          <w:lang w:val="es-ES"/>
        </w:rPr>
        <w:t>.</w:t>
      </w:r>
    </w:p>
    <w:p w:rsidRPr="00AF654B" w:rsidR="0065570C" w:rsidP="00AF654B" w:rsidRDefault="0065570C" w14:paraId="273875C6" w14:textId="68B2885E">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Wompi. </w:t>
      </w:r>
      <w:hyperlink w:history="1" r:id="rId38">
        <w:r w:rsidRPr="00AF654B">
          <w:rPr>
            <w:rStyle w:val="Hipervnculo"/>
            <w:rFonts w:ascii="Inter" w:hAnsi="Inter"/>
            <w:sz w:val="21"/>
            <w:lang w:val="es-ES"/>
          </w:rPr>
          <w:t>Reglamento para comercios en Colombia</w:t>
        </w:r>
      </w:hyperlink>
      <w:r w:rsidRPr="00AF654B">
        <w:rPr>
          <w:rFonts w:ascii="Inter" w:hAnsi="Inter"/>
          <w:color w:val="000000"/>
          <w:sz w:val="21"/>
          <w:lang w:val="es-ES"/>
        </w:rPr>
        <w:t>.</w:t>
      </w:r>
    </w:p>
    <w:p w:rsidRPr="00AF654B" w:rsidR="0065570C" w:rsidP="00AF654B" w:rsidRDefault="0065570C" w14:paraId="72D5BF5B" w14:textId="00066820">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Presidencia de la República. </w:t>
      </w:r>
      <w:hyperlink w:history="1" r:id="rId39">
        <w:r w:rsidRPr="00AF654B">
          <w:rPr>
            <w:rStyle w:val="Hipervnculo"/>
            <w:rFonts w:ascii="Inter" w:hAnsi="Inter"/>
            <w:sz w:val="21"/>
            <w:lang w:val="es-ES"/>
          </w:rPr>
          <w:t>Decreto 159 de 2026 sobre el SMMLV</w:t>
        </w:r>
      </w:hyperlink>
      <w:r w:rsidRPr="00AF654B">
        <w:rPr>
          <w:rFonts w:ascii="Inter" w:hAnsi="Inter"/>
          <w:color w:val="000000"/>
          <w:sz w:val="21"/>
          <w:lang w:val="es-ES"/>
        </w:rPr>
        <w:t>.</w:t>
      </w:r>
    </w:p>
    <w:p w:rsidRPr="00041110" w:rsidR="00595DE6" w:rsidP="00AF654B" w:rsidRDefault="0065570C" w14:paraId="0BEE8C18" w14:textId="6AC667C7">
      <w:pPr>
        <w:pStyle w:val="Prrafodelista"/>
        <w:numPr>
          <w:ilvl w:val="0"/>
          <w:numId w:val="32"/>
        </w:numPr>
        <w:spacing w:after="140" w:line="270" w:lineRule="auto"/>
        <w:jc w:val="both"/>
        <w:rPr>
          <w:rFonts w:ascii="Inter" w:hAnsi="Inter"/>
          <w:sz w:val="21"/>
          <w:lang w:val="es-ES"/>
        </w:rPr>
      </w:pPr>
      <w:r w:rsidRPr="00AF654B">
        <w:rPr>
          <w:rFonts w:ascii="Inter" w:hAnsi="Inter"/>
          <w:color w:val="000000"/>
          <w:sz w:val="21"/>
          <w:lang w:val="es-ES"/>
        </w:rPr>
        <w:t xml:space="preserve">DIAN. </w:t>
      </w:r>
      <w:hyperlink w:history="1" r:id="rId40">
        <w:r w:rsidRPr="00AF654B">
          <w:rPr>
            <w:rStyle w:val="Hipervnculo"/>
            <w:rFonts w:ascii="Inter" w:hAnsi="Inter"/>
            <w:sz w:val="21"/>
            <w:lang w:val="es-ES"/>
          </w:rPr>
          <w:t>Impuesto sobre la renta para personas jurídicas</w:t>
        </w:r>
      </w:hyperlink>
      <w:r w:rsidRPr="00AF654B">
        <w:rPr>
          <w:rFonts w:ascii="Inter" w:hAnsi="Inter"/>
          <w:color w:val="000000"/>
          <w:sz w:val="21"/>
          <w:lang w:val="es-ES"/>
        </w:rPr>
        <w:t>.</w:t>
      </w:r>
    </w:p>
    <w:sectPr w:rsidRPr="00041110" w:rsidR="00595DE6" w:rsidSect="002B1B35">
      <w:headerReference w:type="even" r:id="rId41"/>
      <w:headerReference w:type="default" r:id="rId42"/>
      <w:footerReference w:type="even" r:id="rId43"/>
      <w:footerReference w:type="default" r:id="rId44"/>
      <w:headerReference w:type="first" r:id="rId45"/>
      <w:footerReference w:type="first" r:id="rId46"/>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2152" w:rsidP="00BC0007" w:rsidRDefault="00142152" w14:paraId="32E30AF8" w14:textId="77777777">
      <w:pPr>
        <w:spacing w:after="0" w:line="240" w:lineRule="auto"/>
      </w:pPr>
      <w:r>
        <w:separator/>
      </w:r>
    </w:p>
  </w:endnote>
  <w:endnote w:type="continuationSeparator" w:id="0">
    <w:p w:rsidR="00142152" w:rsidP="00BC0007" w:rsidRDefault="00142152" w14:paraId="7083FE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007" w:rsidRDefault="00BC0007" w14:paraId="7D016141"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A6C52" w:rsidR="00BC0007" w:rsidP="001A6C52" w:rsidRDefault="001A6C52" w14:paraId="5E00A0B8" w14:textId="1AB6B4D4">
    <w:pPr>
      <w:pStyle w:val="Piedepgina"/>
      <w:jc w:val="center"/>
      <w:rPr>
        <w:rFonts w:ascii="Inter" w:hAnsi="Inter"/>
        <w:color w:val="595959"/>
        <w:sz w:val="18"/>
      </w:rPr>
    </w:pPr>
    <w:r>
      <w:rPr>
        <w:rFonts w:ascii="Inter" w:hAnsi="Inter"/>
        <w:color w:val="595959"/>
        <w:sz w:val="18"/>
      </w:rPr>
      <w:t xml:space="preserve">TicketRight · Caso de negocio · Página </w:t>
    </w:r>
    <w:r>
      <w:rPr>
        <w:rFonts w:ascii="Inter" w:hAnsi="Inter"/>
        <w:color w:val="595959"/>
        <w:sz w:val="18"/>
      </w:rPr>
      <w:fldChar w:fldCharType="begin"/>
    </w:r>
    <w:r>
      <w:rPr>
        <w:rFonts w:ascii="Inter" w:hAnsi="Inter"/>
        <w:color w:val="595959"/>
        <w:sz w:val="18"/>
      </w:rPr>
      <w:instrText xml:space="preserve"> PAGE  \* MERGEFORMAT </w:instrText>
    </w:r>
    <w:r>
      <w:rPr>
        <w:rFonts w:ascii="Inter" w:hAnsi="Inter"/>
        <w:color w:val="595959"/>
        <w:sz w:val="18"/>
      </w:rPr>
      <w:fldChar w:fldCharType="separate"/>
    </w:r>
    <w:r>
      <w:rPr>
        <w:rFonts w:ascii="Inter" w:hAnsi="Inter"/>
        <w:noProof/>
        <w:color w:val="595959"/>
        <w:sz w:val="18"/>
      </w:rPr>
      <w:t>1</w:t>
    </w:r>
    <w:r>
      <w:rPr>
        <w:rFonts w:ascii="Inter" w:hAnsi="Inte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007" w:rsidRDefault="00BC0007" w14:paraId="4A26D2B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2152" w:rsidP="00BC0007" w:rsidRDefault="00142152" w14:paraId="6BE68761" w14:textId="77777777">
      <w:pPr>
        <w:spacing w:after="0" w:line="240" w:lineRule="auto"/>
      </w:pPr>
      <w:r>
        <w:separator/>
      </w:r>
    </w:p>
  </w:footnote>
  <w:footnote w:type="continuationSeparator" w:id="0">
    <w:p w:rsidR="00142152" w:rsidP="00BC0007" w:rsidRDefault="00142152" w14:paraId="2A8782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007" w:rsidRDefault="00BC0007" w14:paraId="4078FE6F"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007" w:rsidRDefault="00BC0007" w14:paraId="4B34E5BB"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007" w:rsidRDefault="00BC0007" w14:paraId="21E5946C"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71D"/>
    <w:multiLevelType w:val="multilevel"/>
    <w:tmpl w:val="C9DCADBC"/>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 w15:restartNumberingAfterBreak="0">
    <w:nsid w:val="08AF4DD1"/>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 w15:restartNumberingAfterBreak="0">
    <w:nsid w:val="0A297865"/>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 w15:restartNumberingAfterBreak="0">
    <w:nsid w:val="0EB445D6"/>
    <w:multiLevelType w:val="multilevel"/>
    <w:tmpl w:val="22B497E0"/>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4" w15:restartNumberingAfterBreak="0">
    <w:nsid w:val="1B7B05CC"/>
    <w:multiLevelType w:val="multilevel"/>
    <w:tmpl w:val="2A66F0A8"/>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5" w15:restartNumberingAfterBreak="0">
    <w:nsid w:val="1E8805EE"/>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259172DA"/>
    <w:multiLevelType w:val="multilevel"/>
    <w:tmpl w:val="BB80D7BC"/>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7" w15:restartNumberingAfterBreak="0">
    <w:nsid w:val="28E7521F"/>
    <w:multiLevelType w:val="multilevel"/>
    <w:tmpl w:val="22B0232A"/>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8" w15:restartNumberingAfterBreak="0">
    <w:nsid w:val="2ABB7D03"/>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9" w15:restartNumberingAfterBreak="0">
    <w:nsid w:val="2ABC33D7"/>
    <w:multiLevelType w:val="multilevel"/>
    <w:tmpl w:val="F3D00CF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0" w15:restartNumberingAfterBreak="0">
    <w:nsid w:val="2DAC4DCA"/>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1" w15:restartNumberingAfterBreak="0">
    <w:nsid w:val="30600462"/>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2" w15:restartNumberingAfterBreak="0">
    <w:nsid w:val="313D235D"/>
    <w:multiLevelType w:val="multilevel"/>
    <w:tmpl w:val="B7F48B9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3" w15:restartNumberingAfterBreak="0">
    <w:nsid w:val="46C37700"/>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4" w15:restartNumberingAfterBreak="0">
    <w:nsid w:val="4CE106DC"/>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5" w15:restartNumberingAfterBreak="0">
    <w:nsid w:val="4EA43E18"/>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6" w15:restartNumberingAfterBreak="0">
    <w:nsid w:val="4F996421"/>
    <w:multiLevelType w:val="multilevel"/>
    <w:tmpl w:val="07383208"/>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7" w15:restartNumberingAfterBreak="0">
    <w:nsid w:val="53EE0942"/>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8" w15:restartNumberingAfterBreak="0">
    <w:nsid w:val="5437131C"/>
    <w:multiLevelType w:val="multilevel"/>
    <w:tmpl w:val="8DA80370"/>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19" w15:restartNumberingAfterBreak="0">
    <w:nsid w:val="54D24F84"/>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0" w15:restartNumberingAfterBreak="0">
    <w:nsid w:val="54D54343"/>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1" w15:restartNumberingAfterBreak="0">
    <w:nsid w:val="5823040D"/>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2" w15:restartNumberingAfterBreak="0">
    <w:nsid w:val="5C04611B"/>
    <w:multiLevelType w:val="multilevel"/>
    <w:tmpl w:val="7928977C"/>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3" w15:restartNumberingAfterBreak="0">
    <w:nsid w:val="5E9E1459"/>
    <w:multiLevelType w:val="multilevel"/>
    <w:tmpl w:val="A8B24028"/>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4" w15:restartNumberingAfterBreak="0">
    <w:nsid w:val="607A6D23"/>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5" w15:restartNumberingAfterBreak="0">
    <w:nsid w:val="624F43C7"/>
    <w:multiLevelType w:val="multilevel"/>
    <w:tmpl w:val="22B497E0"/>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6" w15:restartNumberingAfterBreak="0">
    <w:nsid w:val="62A35DD3"/>
    <w:multiLevelType w:val="multilevel"/>
    <w:tmpl w:val="7928977C"/>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7" w15:restartNumberingAfterBreak="0">
    <w:nsid w:val="685B4085"/>
    <w:multiLevelType w:val="multilevel"/>
    <w:tmpl w:val="03924C2E"/>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8" w15:restartNumberingAfterBreak="0">
    <w:nsid w:val="6A52231E"/>
    <w:multiLevelType w:val="multilevel"/>
    <w:tmpl w:val="F0801BB0"/>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29" w15:restartNumberingAfterBreak="0">
    <w:nsid w:val="6B520A45"/>
    <w:multiLevelType w:val="hybridMultilevel"/>
    <w:tmpl w:val="683E6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7182E52"/>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abstractNum w:abstractNumId="31" w15:restartNumberingAfterBreak="0">
    <w:nsid w:val="7AEF0457"/>
    <w:multiLevelType w:val="multilevel"/>
    <w:tmpl w:val="22B0232A"/>
    <w:lvl w:ilvl="0">
      <w:start w:val="1"/>
      <w:numFmt w:val="bullet"/>
      <w:lvlText w:val=""/>
      <w:lvlJc w:val="left"/>
      <w:pPr>
        <w:ind w:left="360" w:hanging="360"/>
      </w:pPr>
      <w:rPr>
        <w:rFonts w:hint="default" w:ascii="Symbol" w:hAnsi="Symbol"/>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16cid:durableId="310914690">
    <w:abstractNumId w:val="29"/>
  </w:num>
  <w:num w:numId="2" w16cid:durableId="1474710727">
    <w:abstractNumId w:val="6"/>
  </w:num>
  <w:num w:numId="3" w16cid:durableId="290987509">
    <w:abstractNumId w:val="27"/>
  </w:num>
  <w:num w:numId="4" w16cid:durableId="970525331">
    <w:abstractNumId w:val="16"/>
  </w:num>
  <w:num w:numId="5" w16cid:durableId="1903439280">
    <w:abstractNumId w:val="0"/>
  </w:num>
  <w:num w:numId="6" w16cid:durableId="1458142734">
    <w:abstractNumId w:val="12"/>
  </w:num>
  <w:num w:numId="7" w16cid:durableId="52434358">
    <w:abstractNumId w:val="4"/>
  </w:num>
  <w:num w:numId="8" w16cid:durableId="305011217">
    <w:abstractNumId w:val="13"/>
  </w:num>
  <w:num w:numId="9" w16cid:durableId="1437602138">
    <w:abstractNumId w:val="25"/>
  </w:num>
  <w:num w:numId="10" w16cid:durableId="58984196">
    <w:abstractNumId w:val="24"/>
  </w:num>
  <w:num w:numId="11" w16cid:durableId="846599598">
    <w:abstractNumId w:val="21"/>
  </w:num>
  <w:num w:numId="12" w16cid:durableId="989942751">
    <w:abstractNumId w:val="19"/>
  </w:num>
  <w:num w:numId="13" w16cid:durableId="2145195930">
    <w:abstractNumId w:val="11"/>
  </w:num>
  <w:num w:numId="14" w16cid:durableId="1385300184">
    <w:abstractNumId w:val="3"/>
  </w:num>
  <w:num w:numId="15" w16cid:durableId="999045739">
    <w:abstractNumId w:val="28"/>
  </w:num>
  <w:num w:numId="16" w16cid:durableId="856503681">
    <w:abstractNumId w:val="18"/>
  </w:num>
  <w:num w:numId="17" w16cid:durableId="1350372086">
    <w:abstractNumId w:val="8"/>
  </w:num>
  <w:num w:numId="18" w16cid:durableId="913664816">
    <w:abstractNumId w:val="15"/>
  </w:num>
  <w:num w:numId="19" w16cid:durableId="415589613">
    <w:abstractNumId w:val="5"/>
  </w:num>
  <w:num w:numId="20" w16cid:durableId="1756587964">
    <w:abstractNumId w:val="17"/>
  </w:num>
  <w:num w:numId="21" w16cid:durableId="1709378252">
    <w:abstractNumId w:val="22"/>
  </w:num>
  <w:num w:numId="22" w16cid:durableId="572786221">
    <w:abstractNumId w:val="2"/>
  </w:num>
  <w:num w:numId="23" w16cid:durableId="1722750922">
    <w:abstractNumId w:val="26"/>
  </w:num>
  <w:num w:numId="24" w16cid:durableId="1174880641">
    <w:abstractNumId w:val="9"/>
  </w:num>
  <w:num w:numId="25" w16cid:durableId="692026975">
    <w:abstractNumId w:val="23"/>
  </w:num>
  <w:num w:numId="26" w16cid:durableId="151679428">
    <w:abstractNumId w:val="10"/>
  </w:num>
  <w:num w:numId="27" w16cid:durableId="1045447879">
    <w:abstractNumId w:val="14"/>
  </w:num>
  <w:num w:numId="28" w16cid:durableId="1814592396">
    <w:abstractNumId w:val="30"/>
  </w:num>
  <w:num w:numId="29" w16cid:durableId="1066030134">
    <w:abstractNumId w:val="20"/>
  </w:num>
  <w:num w:numId="30" w16cid:durableId="456725658">
    <w:abstractNumId w:val="1"/>
  </w:num>
  <w:num w:numId="31" w16cid:durableId="1175727319">
    <w:abstractNumId w:val="31"/>
  </w:num>
  <w:num w:numId="32" w16cid:durableId="890968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F5"/>
    <w:rsid w:val="00041110"/>
    <w:rsid w:val="00060B8B"/>
    <w:rsid w:val="000745CE"/>
    <w:rsid w:val="00142152"/>
    <w:rsid w:val="001453DB"/>
    <w:rsid w:val="0015001C"/>
    <w:rsid w:val="001A6C52"/>
    <w:rsid w:val="00207FDE"/>
    <w:rsid w:val="002B05AB"/>
    <w:rsid w:val="002B1B35"/>
    <w:rsid w:val="002B4CF7"/>
    <w:rsid w:val="002C58A8"/>
    <w:rsid w:val="002E149E"/>
    <w:rsid w:val="003A0683"/>
    <w:rsid w:val="00487065"/>
    <w:rsid w:val="004A3CF2"/>
    <w:rsid w:val="004D74A8"/>
    <w:rsid w:val="004F247F"/>
    <w:rsid w:val="00595DE6"/>
    <w:rsid w:val="005D4A0B"/>
    <w:rsid w:val="005F0FAC"/>
    <w:rsid w:val="0065570C"/>
    <w:rsid w:val="006F17F5"/>
    <w:rsid w:val="006F7346"/>
    <w:rsid w:val="007C74A3"/>
    <w:rsid w:val="008006A1"/>
    <w:rsid w:val="0080363B"/>
    <w:rsid w:val="0080416D"/>
    <w:rsid w:val="008C4678"/>
    <w:rsid w:val="009015DE"/>
    <w:rsid w:val="00A9004F"/>
    <w:rsid w:val="00AA47F7"/>
    <w:rsid w:val="00AF654B"/>
    <w:rsid w:val="00B472E9"/>
    <w:rsid w:val="00BC0007"/>
    <w:rsid w:val="00D01F20"/>
    <w:rsid w:val="00D05BEE"/>
    <w:rsid w:val="00D84E28"/>
    <w:rsid w:val="00E26759"/>
    <w:rsid w:val="00E651E8"/>
    <w:rsid w:val="00EB5EAD"/>
    <w:rsid w:val="00EC14E3"/>
    <w:rsid w:val="00F30E13"/>
    <w:rsid w:val="00FB215E"/>
    <w:rsid w:val="1211A574"/>
    <w:rsid w:val="1AAE7694"/>
    <w:rsid w:val="266246E0"/>
    <w:rsid w:val="55234BA3"/>
    <w:rsid w:val="55511A9E"/>
    <w:rsid w:val="704F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0E65"/>
  <w15:chartTrackingRefBased/>
  <w15:docId w15:val="{FBDFBF57-495C-4906-8D31-7E22F42E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F17F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6F17F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17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17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17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17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17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17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17F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F17F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6F17F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F17F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F17F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F17F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F17F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F17F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F17F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F17F5"/>
    <w:rPr>
      <w:rFonts w:eastAsiaTheme="majorEastAsia" w:cstheme="majorBidi"/>
      <w:color w:val="272727" w:themeColor="text1" w:themeTint="D8"/>
    </w:rPr>
  </w:style>
  <w:style w:type="paragraph" w:styleId="Ttulo">
    <w:name w:val="Title"/>
    <w:basedOn w:val="Normal"/>
    <w:next w:val="Normal"/>
    <w:link w:val="TtuloCar"/>
    <w:uiPriority w:val="10"/>
    <w:qFormat/>
    <w:rsid w:val="006F17F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F17F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F17F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F17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17F5"/>
    <w:pPr>
      <w:spacing w:before="160"/>
      <w:jc w:val="center"/>
    </w:pPr>
    <w:rPr>
      <w:i/>
      <w:iCs/>
      <w:color w:val="404040" w:themeColor="text1" w:themeTint="BF"/>
    </w:rPr>
  </w:style>
  <w:style w:type="character" w:styleId="CitaCar" w:customStyle="1">
    <w:name w:val="Cita Car"/>
    <w:basedOn w:val="Fuentedeprrafopredeter"/>
    <w:link w:val="Cita"/>
    <w:uiPriority w:val="29"/>
    <w:rsid w:val="006F17F5"/>
    <w:rPr>
      <w:i/>
      <w:iCs/>
      <w:color w:val="404040" w:themeColor="text1" w:themeTint="BF"/>
    </w:rPr>
  </w:style>
  <w:style w:type="paragraph" w:styleId="Prrafodelista">
    <w:name w:val="List Paragraph"/>
    <w:basedOn w:val="Normal"/>
    <w:uiPriority w:val="34"/>
    <w:qFormat/>
    <w:rsid w:val="006F17F5"/>
    <w:pPr>
      <w:ind w:left="720"/>
      <w:contextualSpacing/>
    </w:pPr>
  </w:style>
  <w:style w:type="character" w:styleId="nfasisintenso">
    <w:name w:val="Intense Emphasis"/>
    <w:basedOn w:val="Fuentedeprrafopredeter"/>
    <w:uiPriority w:val="21"/>
    <w:qFormat/>
    <w:rsid w:val="006F17F5"/>
    <w:rPr>
      <w:i/>
      <w:iCs/>
      <w:color w:val="0F4761" w:themeColor="accent1" w:themeShade="BF"/>
    </w:rPr>
  </w:style>
  <w:style w:type="paragraph" w:styleId="Citadestacada">
    <w:name w:val="Intense Quote"/>
    <w:basedOn w:val="Normal"/>
    <w:next w:val="Normal"/>
    <w:link w:val="CitadestacadaCar"/>
    <w:uiPriority w:val="30"/>
    <w:qFormat/>
    <w:rsid w:val="006F17F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6F17F5"/>
    <w:rPr>
      <w:i/>
      <w:iCs/>
      <w:color w:val="0F4761" w:themeColor="accent1" w:themeShade="BF"/>
    </w:rPr>
  </w:style>
  <w:style w:type="character" w:styleId="Referenciaintensa">
    <w:name w:val="Intense Reference"/>
    <w:basedOn w:val="Fuentedeprrafopredeter"/>
    <w:uiPriority w:val="32"/>
    <w:qFormat/>
    <w:rsid w:val="006F17F5"/>
    <w:rPr>
      <w:b/>
      <w:bCs/>
      <w:smallCaps/>
      <w:color w:val="0F4761" w:themeColor="accent1" w:themeShade="BF"/>
      <w:spacing w:val="5"/>
    </w:rPr>
  </w:style>
  <w:style w:type="paragraph" w:styleId="Encabezado">
    <w:name w:val="header"/>
    <w:basedOn w:val="Normal"/>
    <w:link w:val="EncabezadoCar"/>
    <w:uiPriority w:val="99"/>
    <w:unhideWhenUsed/>
    <w:rsid w:val="00BC0007"/>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BC0007"/>
  </w:style>
  <w:style w:type="paragraph" w:styleId="Piedepgina">
    <w:name w:val="footer"/>
    <w:basedOn w:val="Normal"/>
    <w:link w:val="PiedepginaCar"/>
    <w:uiPriority w:val="99"/>
    <w:unhideWhenUsed/>
    <w:rsid w:val="00BC0007"/>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BC0007"/>
  </w:style>
  <w:style w:type="character" w:styleId="Hipervnculo">
    <w:name w:val="Hyperlink"/>
    <w:basedOn w:val="Fuentedeprrafopredeter"/>
    <w:uiPriority w:val="99"/>
    <w:unhideWhenUsed/>
    <w:rsid w:val="002B4CF7"/>
    <w:rPr>
      <w:color w:val="467886" w:themeColor="hyperlink"/>
      <w:u w:val="single"/>
    </w:rPr>
  </w:style>
  <w:style w:type="character" w:styleId="Mencinsinresolver">
    <w:name w:val="Unresolved Mention"/>
    <w:basedOn w:val="Fuentedeprrafopredeter"/>
    <w:uiPriority w:val="99"/>
    <w:semiHidden/>
    <w:unhideWhenUsed/>
    <w:rsid w:val="002B4CF7"/>
    <w:rPr>
      <w:color w:val="605E5C"/>
      <w:shd w:val="clear" w:color="auto" w:fill="E1DFDD"/>
    </w:rPr>
  </w:style>
  <w:style w:type="table" w:styleId="Tablaconcuadrcula">
    <w:name w:val="Table Grid"/>
    <w:basedOn w:val="Tablanormal"/>
    <w:uiPriority w:val="39"/>
    <w:rsid w:val="00F30E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1">
    <w:name w:val="Grid Table 4 Accent 1"/>
    <w:basedOn w:val="Tablanormal"/>
    <w:uiPriority w:val="49"/>
    <w:rsid w:val="00F30E13"/>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bsica1">
    <w:name w:val="Table Simple 1"/>
    <w:basedOn w:val="Tablanormal"/>
    <w:uiPriority w:val="99"/>
    <w:unhideWhenUsed/>
    <w:rsid w:val="00AF654B"/>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paragraph" w:styleId="TDC1">
    <w:name w:val="toc 1"/>
    <w:basedOn w:val="Normal"/>
    <w:next w:val="Normal"/>
    <w:autoRedefine/>
    <w:uiPriority w:val="39"/>
    <w:unhideWhenUsed/>
    <w:rsid w:val="002B1B35"/>
    <w:pPr>
      <w:spacing w:after="100"/>
    </w:pPr>
  </w:style>
  <w:style w:type="paragraph" w:styleId="TDC2">
    <w:name w:val="toc 2"/>
    <w:basedOn w:val="Normal"/>
    <w:next w:val="Normal"/>
    <w:autoRedefine/>
    <w:uiPriority w:val="39"/>
    <w:unhideWhenUsed/>
    <w:rsid w:val="002B1B3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funcionpublica.gov.co/eva/gestornormativo/norma.php?i=45246" TargetMode="External" Id="rId13" /><Relationship Type="http://schemas.openxmlformats.org/officeDocument/2006/relationships/hyperlink" Target="https://bogota.gov.co/mi-ciudad/cultura-recreacion-y-deporte/proceso-para-pedir-permisos-de-organizacion-de-eventos-en-bogota" TargetMode="External" Id="rId18" /><Relationship Type="http://schemas.openxmlformats.org/officeDocument/2006/relationships/hyperlink" Target="https://www.ambitojuridico.com/noticias/general/educacion-y-cultura/eventos-de-artes-escenicas-en-colombia-crecieron-un-22-en-2023" TargetMode="External" Id="rId26" /><Relationship Type="http://schemas.openxmlformats.org/officeDocument/2006/relationships/hyperlink" Target="https://dapre.presidencia.gov.co/normativa/normativa/DECRETO%20No.%200159%20DEL%2019%20DE%20FEBRERO%20DE%202026.pdf" TargetMode="External" Id="rId39" /><Relationship Type="http://schemas.openxmlformats.org/officeDocument/2006/relationships/hyperlink" Target="https://wompi.com/es/co/planes-tarifas/" TargetMode="External" Id="rId21" /><Relationship Type="http://schemas.openxmlformats.org/officeDocument/2006/relationships/hyperlink" Target="https://normograma.dian.gov.co/dian/compilacion/docs/oficio_dian_900918_2021.htm" TargetMode="External" Id="rId34" /><Relationship Type="http://schemas.openxmlformats.org/officeDocument/2006/relationships/header" Target="header2.xml" Id="rId42" /><Relationship Type="http://schemas.openxmlformats.org/officeDocument/2006/relationships/fontTable" Target="fontTable.xml" Id="rId47" /><Relationship Type="http://schemas.openxmlformats.org/officeDocument/2006/relationships/hyperlink" Target="https://www.ambitojuridico.com/noticias/general/educacion-y-cultura/eventos-de-artes-escenicas-en-colombia-crecieron-un-22-en-2023" TargetMode="External" Id="rId7" /><Relationship Type="http://schemas.openxmlformats.org/officeDocument/2006/relationships/styles" Target="styles.xml" Id="rId2" /><Relationship Type="http://schemas.openxmlformats.org/officeDocument/2006/relationships/hyperlink" Target="https://www.funcionpublica.gov.co/eva/gestornormativo/norma.php?i=44306" TargetMode="External" Id="rId16" /><Relationship Type="http://schemas.openxmlformats.org/officeDocument/2006/relationships/hyperlink" Target="https://www.funcionpublica.gov.co/eva/gestornormativo/norma.php?i=45246"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normograma.dian.gov.co/dian/compilacion/docs/oficio_dian_900918_2021.htm" TargetMode="External" Id="rId11" /><Relationship Type="http://schemas.openxmlformats.org/officeDocument/2006/relationships/hyperlink" Target="https://wompi.com/assets/downloadble/reglamento-Comercios-Colombia.pdf" TargetMode="External" Id="rId24" /><Relationship Type="http://schemas.openxmlformats.org/officeDocument/2006/relationships/hyperlink" Target="https://wompi.com/es/co/planes-tarifas/" TargetMode="External" Id="rId32" /><Relationship Type="http://schemas.openxmlformats.org/officeDocument/2006/relationships/hyperlink" Target="https://normograma.dian.gov.co/dian/compilacion/docs/oficio_dian_0483_2026.htm" TargetMode="External" Id="rId37" /><Relationship Type="http://schemas.openxmlformats.org/officeDocument/2006/relationships/hyperlink" Target="https://www.dian.gov.co/impuestos/sociedades/Paginas/Renta-personas-juridicas.aspx" TargetMode="External" Id="rId40" /><Relationship Type="http://schemas.openxmlformats.org/officeDocument/2006/relationships/header" Target="header3.xml" Id="rId45" /><Relationship Type="http://schemas.openxmlformats.org/officeDocument/2006/relationships/footnotes" Target="footnotes.xml" Id="rId5" /><Relationship Type="http://schemas.openxmlformats.org/officeDocument/2006/relationships/hyperlink" Target="https://normograma.dian.gov.co/dian/compilacion/docs/concepto_tributario_dian_0000001_2018.htm" TargetMode="External" Id="rId15" /><Relationship Type="http://schemas.openxmlformats.org/officeDocument/2006/relationships/hyperlink" Target="https://dapre.presidencia.gov.co/normativa/normativa/DECRETO%20No.%200159%20DEL%2019%20DE%20FEBRERO%20DE%202026.pdf" TargetMode="External" Id="rId23" /><Relationship Type="http://schemas.openxmlformats.org/officeDocument/2006/relationships/hyperlink" Target="https://www.eltiempo.com/economia/finanzas-personales/que-le-cobran-en-el-cargo-por-servicio-cuando-compra-una-boleta-en-colombia-815191" TargetMode="External" Id="rId28" /><Relationship Type="http://schemas.openxmlformats.org/officeDocument/2006/relationships/hyperlink" Target="https://mincultura.gov.co/direcciones/artes/Paginas/programas-proyectos/ley-de-espectaculos-publicos.aspx" TargetMode="External" Id="rId36" /><Relationship Type="http://schemas.openxmlformats.org/officeDocument/2006/relationships/hyperlink" Target="https://sedeelectronica.sic.gov.co/comunicado/la-sic-del-cambio-formula-pliego-de-cargos-tuboleta-por-presuntas-fallas-en-el-deber-de-informacion-las-clausulas-abusivas-y-las-reglas" TargetMode="External" Id="rId10" /><Relationship Type="http://schemas.openxmlformats.org/officeDocument/2006/relationships/hyperlink" Target="https://mincultura.gov.co/direcciones/artes/Paginas/programas-proyectos/ley-de-espectaculos-publicos.aspx" TargetMode="External" Id="rId19" /><Relationship Type="http://schemas.openxmlformats.org/officeDocument/2006/relationships/hyperlink" Target="https://www.funcionpublica.gov.co/eva/gestornormativo/norma.php?i=49981" TargetMode="External" Id="rId31" /><Relationship Type="http://schemas.openxmlformats.org/officeDocument/2006/relationships/footer" Target="footer2.xml" Id="rId44" /><Relationship Type="http://schemas.openxmlformats.org/officeDocument/2006/relationships/webSettings" Target="webSettings.xml" Id="rId4" /><Relationship Type="http://schemas.openxmlformats.org/officeDocument/2006/relationships/hyperlink" Target="https://www.eltiempo.com/economia/finanzas-personales/que-le-cobran-en-el-cargo-por-servicio-cuando-compra-una-boleta-en-colombia-815191" TargetMode="External" Id="rId9" /><Relationship Type="http://schemas.openxmlformats.org/officeDocument/2006/relationships/hyperlink" Target="https://www.dian.gov.co/normatividad/Normatividad/Resoluci%C3%B3n%20000238%20de%2015-12-2025.Pdf" TargetMode="External" Id="rId14" /><Relationship Type="http://schemas.openxmlformats.org/officeDocument/2006/relationships/hyperlink" Target="https://normograma.dian.gov.co/dian/compilacion/docs/oficio_dian_0483_2026.htm" TargetMode="External" Id="rId22" /><Relationship Type="http://schemas.openxmlformats.org/officeDocument/2006/relationships/hyperlink" Target="https://sedeelectronica.sic.gov.co/comunicado/la-sic-del-cambio-formula-pliego-de-cargos-tuboleta-por-presuntas-fallas-en-el-deber-de-informacion-las-clausulas-abusivas-y-las-reglas" TargetMode="External" Id="rId27" /><Relationship Type="http://schemas.openxmlformats.org/officeDocument/2006/relationships/hyperlink" Target="https://www.funcionpublica.gov.co/eva/gestornormativo/norma.php?i=44306" TargetMode="External" Id="rId30" /><Relationship Type="http://schemas.openxmlformats.org/officeDocument/2006/relationships/hyperlink" Target="https://normograma.dian.gov.co/dian/compilacion/docs/concepto_tributario_dian_0000001_2018.htm" TargetMode="External" Id="rId35" /><Relationship Type="http://schemas.openxmlformats.org/officeDocument/2006/relationships/footer" Target="footer1.xml" Id="rId43" /><Relationship Type="http://schemas.openxmlformats.org/officeDocument/2006/relationships/theme" Target="theme/theme1.xml" Id="rId48" /><Relationship Type="http://schemas.openxmlformats.org/officeDocument/2006/relationships/hyperlink" Target="https://pulep.mincultura.gov.co/Paginas/ley1493.aspx" TargetMode="External" Id="rId8" /><Relationship Type="http://schemas.openxmlformats.org/officeDocument/2006/relationships/settings" Target="settings.xml" Id="rId3" /><Relationship Type="http://schemas.openxmlformats.org/officeDocument/2006/relationships/hyperlink" Target="https://normograma.dian.gov.co/dian/compilacion/docs/ley_1493_2011.htm" TargetMode="External" Id="rId12" /><Relationship Type="http://schemas.openxmlformats.org/officeDocument/2006/relationships/hyperlink" Target="https://www.funcionpublica.gov.co/eva/gestornormativo/norma.php?i=49981" TargetMode="External" Id="rId17" /><Relationship Type="http://schemas.openxmlformats.org/officeDocument/2006/relationships/hyperlink" Target="https://pulep.mincultura.gov.co/Paginas/ley1493.aspx" TargetMode="External" Id="rId25" /><Relationship Type="http://schemas.openxmlformats.org/officeDocument/2006/relationships/hyperlink" Target="https://www.dian.gov.co/normatividad/Normatividad/Resoluci%C3%B3n%20000238%20de%2015-12-2025.Pdf" TargetMode="External" Id="rId33" /><Relationship Type="http://schemas.openxmlformats.org/officeDocument/2006/relationships/hyperlink" Target="https://wompi.com/assets/downloadble/reglamento-Comercios-Colombia.pdf" TargetMode="External" Id="rId38" /><Relationship Type="http://schemas.openxmlformats.org/officeDocument/2006/relationships/footer" Target="footer3.xml" Id="rId46" /><Relationship Type="http://schemas.openxmlformats.org/officeDocument/2006/relationships/hyperlink" Target="canvas-puesto.xlsx" TargetMode="External" Id="rId20" /><Relationship Type="http://schemas.openxmlformats.org/officeDocument/2006/relationships/header" Target="header1.xml" Id="rId4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E186E1-D578-4AD4-AE59-EF2F1CDD92EB}">
  <we:reference id="wa200010725" version="1.0.0.1" store="es-ES" storeType="OMEX"/>
  <we:alternateReferences>
    <we:reference id="WA200010725" version="1.0.0.1" store="" storeType="OMEX"/>
  </we:alternateReferences>
  <we:properties>
    <we:property name="claude.fileId" value="&quot;55738ef3-1d3d-492e-8adc-46147506337f&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Ríos Muñoz</dc:creator>
  <keywords/>
  <dc:description/>
  <lastModifiedBy>Quinnie Nastasja Villarreal Aragon</lastModifiedBy>
  <revision>40</revision>
  <lastPrinted>2026-09-10T06:44:00.0000000Z</lastPrinted>
  <dcterms:created xsi:type="dcterms:W3CDTF">2026-09-10T03:10:00.0000000Z</dcterms:created>
  <dcterms:modified xsi:type="dcterms:W3CDTF">2026-09-12T00:10:34.9009166Z</dcterms:modified>
</coreProperties>
</file>