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40" w:before="0" w:line="276" w:lineRule="auto"/>
        <w:jc w:val="center"/>
      </w:pPr>
      <w:r>
        <w:rPr>
          <w:rFonts w:ascii="Times New Roman" w:hAnsi="Times New Roman" w:eastAsia="Times New Roman"/>
          <w:b/>
          <w:i w:val="0"/>
          <w:sz w:val="32"/>
        </w:rPr>
        <w:t>Contexto de autorización e interpretación de riesgo en asistentes LLM: un primer acercamiento mediante Natural Language Autoencoders en tareas de ciberseguridad defensiva</w:t>
      </w:r>
    </w:p>
    <w:p>
      <w:pPr>
        <w:spacing w:after="80" w:before="0" w:line="276" w:lineRule="auto"/>
        <w:jc w:val="center"/>
      </w:pPr>
      <w:r>
        <w:rPr>
          <w:rFonts w:ascii="Times New Roman" w:hAnsi="Times New Roman" w:eastAsia="Times New Roman"/>
          <w:b/>
          <w:i w:val="0"/>
          <w:sz w:val="28"/>
        </w:rPr>
        <w:t>Rojas, Alejo Ivan; Rodriguez Leiva, Juan Ignacio</w:t>
      </w:r>
    </w:p>
    <w:p>
      <w:pPr>
        <w:spacing w:after="240" w:before="0" w:line="276" w:lineRule="auto"/>
        <w:jc w:val="center"/>
      </w:pPr>
      <w:r>
        <w:rPr>
          <w:rFonts w:ascii="Times New Roman" w:hAnsi="Times New Roman" w:eastAsia="Times New Roman"/>
          <w:b/>
          <w:i/>
          <w:sz w:val="24"/>
        </w:rPr>
        <w:t>Universidad Tecnológica Nacional, [Unidad académica a completar]</w:t>
      </w:r>
    </w:p>
    <w:p>
      <w:pPr>
        <w:spacing w:after="240" w:before="0" w:line="276" w:lineRule="auto"/>
        <w:jc w:val="left"/>
      </w:pPr>
      <w:r>
        <w:rPr>
          <w:rFonts w:ascii="Times New Roman" w:hAnsi="Times New Roman" w:eastAsia="Times New Roman"/>
          <w:b w:val="0"/>
          <w:i/>
          <w:sz w:val="18"/>
        </w:rPr>
        <w:t>Nota: Si el envío requiere versión ciega, omitir nombres en la copia de evaluación y completarlos solo en camera ready.</w:t>
      </w:r>
    </w:p>
    <w:p>
      <w:pPr>
        <w:spacing w:after="120" w:before="240" w:line="276" w:lineRule="auto"/>
        <w:jc w:val="left"/>
      </w:pPr>
      <w:r>
        <w:rPr>
          <w:rFonts w:ascii="Times New Roman" w:hAnsi="Times New Roman" w:eastAsia="Times New Roman"/>
          <w:b/>
          <w:i w:val="0"/>
          <w:sz w:val="20"/>
        </w:rPr>
        <w:t>Abstract</w:t>
      </w:r>
    </w:p>
    <w:p>
      <w:pPr>
        <w:spacing w:after="200" w:before="0" w:line="276" w:lineRule="auto"/>
        <w:jc w:val="both"/>
      </w:pPr>
      <w:r>
        <w:rPr>
          <w:rFonts w:ascii="Times New Roman" w:hAnsi="Times New Roman" w:eastAsia="Times New Roman"/>
          <w:b w:val="0"/>
          <w:i/>
          <w:sz w:val="20"/>
        </w:rPr>
        <w:t>El presente trabajo propone un estudio exploratorio, en un toy setting, sobre cómo la presencia o ausencia de un contexto explícito de autorización modifica la respuesta de asistentes basados en modelos de lenguaje (LLM) ante un mismo pedido técnico de ciberseguridad defensiva. Se mantienen constantes el problema técnico —por ejemplo, analizar un fragmento de código vulnerable, revisar registros simulados o explicar cómo corregir una configuración insegura— y se varía únicamente la información sobre el entorno: en un escenario se aclara que la tarea se realiza sobre un sistema propio, en un laboratorio educativo aislado y con permiso explícito; en el otro se presenta el mismo problema sin información sobre autorización ni entorno. La evaluación black-box mide tasa de rechazo, utilidad de la respuesta, nivel de detalle, advertencias de seguridad y solicitudes de aclaración. Como eje metodológico central se emplean Natural Language Autoencoders (NLA) para explorar verbalizaciones de activaciones internas asociadas a temas como “acceso no autorizado”, “intención maliciosa”, “uso dual” o, en el brazo autorizado, representación del laboratorio/finalidad educativa incluso cuando el modelo rechaza. El objetivo es un primer acercamiento a la utilidad de los NLA para auditar interpretaciones de riesgo no necesariamente verbalizadas, con claims cautelosos (temas sugeridos y contrastados con comportamiento). Los resultados experimentales se encuentran pendientes de ejecución.</w:t>
      </w:r>
    </w:p>
    <w:p>
      <w:pPr>
        <w:spacing w:after="120" w:before="240" w:line="276" w:lineRule="auto"/>
        <w:jc w:val="left"/>
      </w:pPr>
      <w:r>
        <w:rPr>
          <w:rFonts w:ascii="Times New Roman" w:hAnsi="Times New Roman" w:eastAsia="Times New Roman"/>
          <w:b/>
          <w:i w:val="0"/>
          <w:sz w:val="20"/>
        </w:rPr>
        <w:t>Palabras Clave</w:t>
      </w:r>
    </w:p>
    <w:p>
      <w:pPr>
        <w:spacing w:after="240" w:before="0" w:line="276" w:lineRule="auto"/>
        <w:jc w:val="both"/>
      </w:pPr>
      <w:r>
        <w:rPr>
          <w:rFonts w:ascii="Times New Roman" w:hAnsi="Times New Roman" w:eastAsia="Times New Roman"/>
          <w:b w:val="0"/>
          <w:i w:val="0"/>
          <w:sz w:val="20"/>
        </w:rPr>
        <w:t>Natural Language Autoencoders, Modelos de Lenguaje, Ciberseguridad defensiva, Autorización, Uso dual, Interpretabilidad, Rechazo de solicitudes</w:t>
      </w:r>
    </w:p>
    <w:p>
      <w:pPr>
        <w:spacing w:after="120" w:before="240" w:line="276" w:lineRule="auto"/>
        <w:jc w:val="left"/>
      </w:pPr>
      <w:r>
        <w:rPr>
          <w:rFonts w:ascii="Times New Roman" w:hAnsi="Times New Roman" w:eastAsia="Times New Roman"/>
          <w:b/>
          <w:i w:val="0"/>
          <w:sz w:val="24"/>
        </w:rPr>
        <w:t>1. Introducción</w:t>
      </w:r>
    </w:p>
    <w:p>
      <w:pPr>
        <w:spacing w:after="120" w:before="0" w:line="276" w:lineRule="auto"/>
        <w:jc w:val="both"/>
      </w:pPr>
      <w:r>
        <w:rPr>
          <w:rFonts w:ascii="Times New Roman" w:hAnsi="Times New Roman" w:eastAsia="Times New Roman"/>
          <w:b w:val="0"/>
          <w:i w:val="0"/>
          <w:sz w:val="24"/>
        </w:rPr>
        <w:t>Los asistentes basados en LLM se usan cada vez más en tareas de ciberseguridad defensiva: revisión de código vulnerable, interpretación de logs, hardening de configuraciones o explicación de mitigaciones. El mismo contenido técnico puede ser legítimo (laboratorio propio, educación, blue team) o problemático (acceso no autorizado, abuso). Los sistemas de asistencia suelen depender de señales de contexto y de políticas de seguridad para decidir si responden, piden aclaraciones o rechazan.</w:t>
      </w:r>
    </w:p>
    <w:p>
      <w:pPr>
        <w:spacing w:after="120" w:before="0" w:line="276" w:lineRule="auto"/>
        <w:jc w:val="both"/>
      </w:pPr>
      <w:r>
        <w:rPr>
          <w:rFonts w:ascii="Times New Roman" w:hAnsi="Times New Roman" w:eastAsia="Times New Roman"/>
          <w:b w:val="0"/>
          <w:i w:val="0"/>
          <w:sz w:val="24"/>
        </w:rPr>
        <w:t>Un problema interesante es si, ante el mismo pedido técnico, la sola presencia de un contexto de autorización (sistema propio + laboratorio educativo aislado + permiso explícito) cambia de forma medible el comportamiento del modelo respecto de un escenario ambiguo sin esa información. La formulación cuidadosa evita atribuir intenciones al modelo y se limita a patrones observables de rechazo, detalle, advertencias y pedidos de aclaración, complementados por señales internas vía NLA.</w:t>
      </w:r>
    </w:p>
    <w:p>
      <w:pPr>
        <w:spacing w:after="120" w:before="0" w:line="276" w:lineRule="auto"/>
        <w:jc w:val="both"/>
      </w:pPr>
      <w:r>
        <w:rPr>
          <w:rFonts w:ascii="Times New Roman" w:hAnsi="Times New Roman" w:eastAsia="Times New Roman"/>
          <w:b w:val="0"/>
          <w:i w:val="0"/>
          <w:sz w:val="24"/>
        </w:rPr>
        <w:t>Anthropic introdujo los Natural Language Autoencoders (NLA) como método no supervisado para producir explicaciones en lenguaje natural de activaciones de un LLM [1]. Un NLA combina un Activation Verbalizer (AV) y un Activation Reconstructor (AR) entrenados para reconstruir activaciones a través de un bottleneck de texto. Las verbalizaciones se leen como señales interpretables (temas recurrentes), no como “pensamientos” literales, y deben validarse con comportamiento u otros tests [1].</w:t>
      </w:r>
    </w:p>
    <w:p>
      <w:pPr>
        <w:spacing w:after="120" w:before="0" w:line="276" w:lineRule="auto"/>
        <w:jc w:val="both"/>
      </w:pPr>
      <w:r>
        <w:rPr>
          <w:rFonts w:ascii="Times New Roman" w:hAnsi="Times New Roman" w:eastAsia="Times New Roman"/>
          <w:b w:val="0"/>
          <w:i w:val="0"/>
          <w:sz w:val="24"/>
        </w:rPr>
        <w:t>Este trabajo se inspira, en formato y alcance, en estudios estudiantiles de CoNaIISI que plantean un primer acercamiento a una herramienta existente —por ejemplo, autoencoders clásicos para aproximar la lógica UEBA en amenazas internas [2]—. Aquí el acercamiento es a los NLA aplicados a un escenario acotado de autorización vs ambigüedad en ciberseguridad defensiva.</w:t>
      </w:r>
    </w:p>
    <w:p>
      <w:pPr>
        <w:spacing w:after="120" w:before="0" w:line="276" w:lineRule="auto"/>
        <w:jc w:val="both"/>
      </w:pPr>
      <w:r>
        <w:rPr>
          <w:rFonts w:ascii="Times New Roman" w:hAnsi="Times New Roman" w:eastAsia="Times New Roman"/>
          <w:b w:val="0"/>
          <w:i w:val="0"/>
          <w:sz w:val="24"/>
        </w:rPr>
        <w:t>Preguntas guía: (i) ¿en el escenario ambiguo el AV sugiere temas de acceso no autorizado, intención maliciosa o riesgo de uso dual?; (ii) ¿en el escenario autorizado el modelo representa laboratorio y finalidad educativa pero aun así rechaza?; (iii) ¿qué información interna cambia antes de la respuesta o del rechazo?</w:t>
      </w:r>
    </w:p>
    <w:p>
      <w:pPr>
        <w:spacing w:after="120" w:before="0" w:line="276" w:lineRule="auto"/>
        <w:jc w:val="both"/>
      </w:pPr>
      <w:r>
        <w:rPr>
          <w:rFonts w:ascii="Times New Roman" w:hAnsi="Times New Roman" w:eastAsia="Times New Roman"/>
          <w:b w:val="0"/>
          <w:i w:val="0"/>
          <w:sz w:val="24"/>
        </w:rPr>
        <w:t>Organización del trabajo: la Sección 2 resume el marco teórico; la Sección 3 describe el diseño experimental (toy setting); la Sección 4 discute trabajos relacionados; la Sección 5 reserva resultados; la Sección 6 plantea limitaciones y trabajos futuros.</w:t>
      </w:r>
    </w:p>
    <w:p>
      <w:pPr>
        <w:spacing w:after="120" w:before="240" w:line="276" w:lineRule="auto"/>
        <w:jc w:val="left"/>
      </w:pPr>
      <w:r>
        <w:rPr>
          <w:rFonts w:ascii="Times New Roman" w:hAnsi="Times New Roman" w:eastAsia="Times New Roman"/>
          <w:b/>
          <w:i w:val="0"/>
          <w:sz w:val="24"/>
        </w:rPr>
        <w:t>2. Marco teórico</w:t>
      </w:r>
    </w:p>
    <w:p>
      <w:pPr>
        <w:spacing w:after="120" w:before="240" w:line="276" w:lineRule="auto"/>
        <w:jc w:val="left"/>
      </w:pPr>
      <w:r>
        <w:rPr>
          <w:rFonts w:ascii="Times New Roman" w:hAnsi="Times New Roman" w:eastAsia="Times New Roman"/>
          <w:b/>
          <w:i w:val="0"/>
          <w:sz w:val="24"/>
        </w:rPr>
        <w:t>2.1. Ciberseguridad defensiva y uso dual</w:t>
      </w:r>
    </w:p>
    <w:p>
      <w:pPr>
        <w:spacing w:after="120" w:before="0" w:line="276" w:lineRule="auto"/>
        <w:jc w:val="both"/>
      </w:pPr>
      <w:r>
        <w:rPr>
          <w:rFonts w:ascii="Times New Roman" w:hAnsi="Times New Roman" w:eastAsia="Times New Roman"/>
          <w:b w:val="0"/>
          <w:i w:val="0"/>
          <w:sz w:val="24"/>
        </w:rPr>
        <w:t>Muchas técnicas de análisis de vulnerabilidades, logs o configuraciones inseguras son de uso dual: útiles para defensa y potencialmente abusables. Por ello, la legitimidad de la solicitud depende no solo del contenido técnico sino del contexto (autorización, ownership del sistema, entorno controlado). Un asistente que ignora el contexto puede sobre-rechazar tareas educativas; uno que lo ignora en el otro sentido puede subestimar riesgo.</w:t>
      </w:r>
    </w:p>
    <w:p>
      <w:pPr>
        <w:spacing w:after="120" w:before="240" w:line="276" w:lineRule="auto"/>
        <w:jc w:val="left"/>
      </w:pPr>
      <w:r>
        <w:rPr>
          <w:rFonts w:ascii="Times New Roman" w:hAnsi="Times New Roman" w:eastAsia="Times New Roman"/>
          <w:b/>
          <w:i w:val="0"/>
          <w:sz w:val="24"/>
        </w:rPr>
        <w:t>2.2. Políticas de rechazo y contexto de autorización</w:t>
      </w:r>
    </w:p>
    <w:p>
      <w:pPr>
        <w:spacing w:after="120" w:before="0" w:line="276" w:lineRule="auto"/>
        <w:jc w:val="both"/>
      </w:pPr>
      <w:r>
        <w:rPr>
          <w:rFonts w:ascii="Times New Roman" w:hAnsi="Times New Roman" w:eastAsia="Times New Roman"/>
          <w:b w:val="0"/>
          <w:i w:val="0"/>
          <w:sz w:val="24"/>
        </w:rPr>
        <w:t>Los LLM alineados suelen rechazar o degradar detalle ante pedidos que parecen ofensivos o no autorizados. El contexto explícito de laboratorio/permiso puede funcionar como señal de legitimidad. Este trabajo no evalúa “si el rechazo es correcto” en sentido normativo absoluto, sino cómo cambia el comportamiento medible al agregar o quitar esa señal, manteniendo fijo el problema técnico.</w:t>
      </w:r>
    </w:p>
    <w:p>
      <w:pPr>
        <w:spacing w:after="120" w:before="240" w:line="276" w:lineRule="auto"/>
        <w:jc w:val="left"/>
      </w:pPr>
      <w:r>
        <w:rPr>
          <w:rFonts w:ascii="Times New Roman" w:hAnsi="Times New Roman" w:eastAsia="Times New Roman"/>
          <w:b/>
          <w:i w:val="0"/>
          <w:sz w:val="24"/>
        </w:rPr>
        <w:t>2.3. Natural Language Autoencoders (NLA)</w:t>
      </w:r>
    </w:p>
    <w:p>
      <w:pPr>
        <w:spacing w:after="120" w:before="0" w:line="276" w:lineRule="auto"/>
        <w:jc w:val="both"/>
      </w:pPr>
      <w:r>
        <w:rPr>
          <w:rFonts w:ascii="Times New Roman" w:hAnsi="Times New Roman" w:eastAsia="Times New Roman"/>
          <w:b w:val="0"/>
          <w:i w:val="0"/>
          <w:sz w:val="24"/>
        </w:rPr>
        <w:t>Dada una activación h_l del residual stream en una capa l, el AV genera un texto z; el AR intenta reconstruir h_l desde z [1]. El costo (cientos de tokens por activación) motiva sondear pocos tokens clave —p. ej., tokens previos al rechazo, a una advertencia o al inicio de la explicación técnica—. Criterio de lectura: temas &gt; claims aislados; contraste con comportamiento; formulación “el AV sugiere…”, no “el modelo sabe/decide…” [1].</w:t>
      </w:r>
    </w:p>
    <w:p>
      <w:pPr>
        <w:spacing w:after="120" w:before="0" w:line="276" w:lineRule="auto"/>
        <w:jc w:val="both"/>
      </w:pPr>
      <w:r>
        <w:rPr>
          <w:rFonts w:ascii="Times New Roman" w:hAnsi="Times New Roman" w:eastAsia="Times New Roman"/>
          <w:b w:val="0"/>
          <w:i w:val="0"/>
          <w:sz w:val="24"/>
        </w:rPr>
        <w:t>[Espacio para ampliar definiciones, figura AV→texto→AR, y límites: confabulación, FVE/RMSE.]</w:t>
      </w:r>
    </w:p>
    <w:p>
      <w:pPr>
        <w:spacing w:after="120" w:before="240" w:line="276" w:lineRule="auto"/>
        <w:jc w:val="left"/>
      </w:pPr>
      <w:r>
        <w:rPr>
          <w:rFonts w:ascii="Times New Roman" w:hAnsi="Times New Roman" w:eastAsia="Times New Roman"/>
          <w:b/>
          <w:i w:val="0"/>
          <w:sz w:val="24"/>
        </w:rPr>
        <w:t>3. Metodología (toy setting)</w:t>
      </w:r>
    </w:p>
    <w:p>
      <w:pPr>
        <w:spacing w:after="120" w:before="0" w:line="276" w:lineRule="auto"/>
        <w:jc w:val="both"/>
      </w:pPr>
      <w:r>
        <w:rPr>
          <w:rFonts w:ascii="Times New Roman" w:hAnsi="Times New Roman" w:eastAsia="Times New Roman"/>
          <w:b w:val="0"/>
          <w:i w:val="0"/>
          <w:sz w:val="24"/>
        </w:rPr>
        <w:t>Se adopta un toy setting deliberado: un mismo pedido técnico de ciberseguridad defensiva, dos condiciones de contexto de autorización, y evaluación combinada black-box + NLA. El objetivo no es generalizar a todos los modelos ni a incidentes reales, sino aislar el efecto del contexto de autorización bajo un problema técnico fijo.</w:t>
      </w:r>
    </w:p>
    <w:p>
      <w:pPr>
        <w:spacing w:after="120" w:before="240" w:line="276" w:lineRule="auto"/>
        <w:jc w:val="left"/>
      </w:pPr>
      <w:r>
        <w:rPr>
          <w:rFonts w:ascii="Times New Roman" w:hAnsi="Times New Roman" w:eastAsia="Times New Roman"/>
          <w:b/>
          <w:i w:val="0"/>
          <w:sz w:val="24"/>
        </w:rPr>
        <w:t>3.1. Caso de estudio (pedido técnico fijo)</w:t>
      </w:r>
    </w:p>
    <w:p>
      <w:pPr>
        <w:spacing w:after="120" w:before="0" w:line="276" w:lineRule="auto"/>
        <w:jc w:val="both"/>
      </w:pPr>
      <w:r>
        <w:rPr>
          <w:rFonts w:ascii="Times New Roman" w:hAnsi="Times New Roman" w:eastAsia="Times New Roman"/>
          <w:b w:val="0"/>
          <w:i w:val="0"/>
          <w:sz w:val="24"/>
        </w:rPr>
        <w:t>Se utilizará uno (o un conjunto pequeño) de prompts técnicos defensivos equivalentes entre brazos, por ejemplo: (a) analizar un fragmento de código con una vulnerabilidad conocida y proponer corrección; (b) revisar registros/logs simulados e indicar indicios de compromiso; (c) explicar cómo corregir una configuración insegura. El contenido técnico no cambia entre condiciones.</w:t>
      </w:r>
    </w:p>
    <w:p>
      <w:pPr>
        <w:spacing w:after="120" w:before="0" w:line="276" w:lineRule="auto"/>
        <w:jc w:val="both"/>
      </w:pPr>
      <w:r>
        <w:rPr>
          <w:rFonts w:ascii="Times New Roman" w:hAnsi="Times New Roman" w:eastAsia="Times New Roman"/>
          <w:b w:val="0"/>
          <w:i w:val="0"/>
          <w:sz w:val="24"/>
        </w:rPr>
        <w:t>[Espacio para pegar el/los prompt(s) técnicos exactos una vez cerrados. Preferir material sintético o claramente educativo; evitar datos reales de terceros.]</w:t>
      </w:r>
    </w:p>
    <w:p>
      <w:pPr>
        <w:spacing w:after="120" w:before="240" w:line="276" w:lineRule="auto"/>
        <w:jc w:val="left"/>
      </w:pPr>
      <w:r>
        <w:rPr>
          <w:rFonts w:ascii="Times New Roman" w:hAnsi="Times New Roman" w:eastAsia="Times New Roman"/>
          <w:b/>
          <w:i w:val="0"/>
          <w:sz w:val="24"/>
        </w:rPr>
        <w:t>3.2. Variable experimental: contexto de autorización</w:t>
      </w:r>
    </w:p>
    <w:p>
      <w:pPr>
        <w:spacing w:after="120" w:before="0" w:line="276" w:lineRule="auto"/>
        <w:jc w:val="both"/>
      </w:pPr>
      <w:r>
        <w:rPr>
          <w:rFonts w:ascii="Times New Roman" w:hAnsi="Times New Roman" w:eastAsia="Times New Roman"/>
          <w:b w:val="0"/>
          <w:i w:val="0"/>
          <w:sz w:val="24"/>
        </w:rPr>
        <w:t>Solo varía la presencia del contexto de autorización/entorno:</w:t>
      </w:r>
    </w:p>
    <w:p>
      <w:pPr>
        <w:spacing w:after="120" w:before="0" w:line="276" w:lineRule="auto"/>
        <w:jc w:val="left"/>
      </w:pPr>
      <w:r>
        <w:rPr>
          <w:rFonts w:ascii="Times New Roman" w:hAnsi="Times New Roman" w:eastAsia="Times New Roman"/>
          <w:b w:val="0"/>
          <w:i w:val="0"/>
          <w:sz w:val="24"/>
        </w:rPr>
        <w:t>• Condición Autorizada: se aclara que la tarea se realiza sobre un sistema propio, dentro de un laboratorio educativo aislado y con permiso explícito.</w:t>
      </w:r>
    </w:p>
    <w:p>
      <w:pPr>
        <w:spacing w:after="120" w:before="0" w:line="276" w:lineRule="auto"/>
        <w:jc w:val="left"/>
      </w:pPr>
      <w:r>
        <w:rPr>
          <w:rFonts w:ascii="Times New Roman" w:hAnsi="Times New Roman" w:eastAsia="Times New Roman"/>
          <w:b w:val="0"/>
          <w:i w:val="0"/>
          <w:sz w:val="24"/>
        </w:rPr>
        <w:t>• Condición Ambiguo / sin autorización explícita: se presenta el mismo problema técnico sin información sobre el entorno ni la autorización.</w:t>
      </w:r>
    </w:p>
    <w:p>
      <w:pPr>
        <w:spacing w:after="120" w:before="0" w:line="276" w:lineRule="auto"/>
        <w:jc w:val="both"/>
      </w:pPr>
      <w:r>
        <w:rPr>
          <w:rFonts w:ascii="Times New Roman" w:hAnsi="Times New Roman" w:eastAsia="Times New Roman"/>
          <w:b w:val="0"/>
          <w:i w:val="0"/>
          <w:sz w:val="24"/>
        </w:rPr>
        <w:t>No se incluye un brazo ofensivo explícito (“atacar el sistema de un tercero”) como condición principal: el contraste es autorización clara vs ambigüedad, no defensa vs ataque declarado.</w:t>
      </w:r>
    </w:p>
    <w:p>
      <w:pPr>
        <w:spacing w:after="120" w:before="0" w:line="276" w:lineRule="auto"/>
        <w:jc w:val="both"/>
      </w:pPr>
      <w:r>
        <w:rPr>
          <w:rFonts w:ascii="Times New Roman" w:hAnsi="Times New Roman" w:eastAsia="Times New Roman"/>
          <w:b w:val="0"/>
          <w:i w:val="0"/>
          <w:sz w:val="24"/>
        </w:rPr>
        <w:t>[Espacio para prompts contextuales finales.]</w:t>
      </w:r>
    </w:p>
    <w:p>
      <w:pPr>
        <w:spacing w:after="120" w:before="240" w:line="276" w:lineRule="auto"/>
        <w:jc w:val="left"/>
      </w:pPr>
      <w:r>
        <w:rPr>
          <w:rFonts w:ascii="Times New Roman" w:hAnsi="Times New Roman" w:eastAsia="Times New Roman"/>
          <w:b/>
          <w:i w:val="0"/>
          <w:sz w:val="24"/>
        </w:rPr>
        <w:t>3.3. Evaluación black-box</w:t>
      </w:r>
    </w:p>
    <w:p>
      <w:pPr>
        <w:spacing w:after="120" w:before="0" w:line="276" w:lineRule="auto"/>
        <w:jc w:val="both"/>
      </w:pPr>
      <w:r>
        <w:rPr>
          <w:rFonts w:ascii="Times New Roman" w:hAnsi="Times New Roman" w:eastAsia="Times New Roman"/>
          <w:b w:val="0"/>
          <w:i w:val="0"/>
          <w:sz w:val="24"/>
        </w:rPr>
        <w:t>Para cada corrida se registrará, como mínimo:</w:t>
      </w:r>
    </w:p>
    <w:p>
      <w:pPr>
        <w:spacing w:after="120" w:before="0" w:line="276" w:lineRule="auto"/>
        <w:jc w:val="left"/>
      </w:pPr>
      <w:r>
        <w:rPr>
          <w:rFonts w:ascii="Times New Roman" w:hAnsi="Times New Roman" w:eastAsia="Times New Roman"/>
          <w:b w:val="0"/>
          <w:i w:val="0"/>
          <w:sz w:val="24"/>
        </w:rPr>
        <w:t>• Tasa de rechazo / negativa a asistir (total o parcial).</w:t>
      </w:r>
    </w:p>
    <w:p>
      <w:pPr>
        <w:spacing w:after="120" w:before="0" w:line="276" w:lineRule="auto"/>
        <w:jc w:val="left"/>
      </w:pPr>
      <w:r>
        <w:rPr>
          <w:rFonts w:ascii="Times New Roman" w:hAnsi="Times New Roman" w:eastAsia="Times New Roman"/>
          <w:b w:val="0"/>
          <w:i w:val="0"/>
          <w:sz w:val="24"/>
        </w:rPr>
        <w:t>• Utilidad de la respuesta para el objetivo defensivo (rúbrica a definir).</w:t>
      </w:r>
    </w:p>
    <w:p>
      <w:pPr>
        <w:spacing w:after="120" w:before="0" w:line="276" w:lineRule="auto"/>
        <w:jc w:val="left"/>
      </w:pPr>
      <w:r>
        <w:rPr>
          <w:rFonts w:ascii="Times New Roman" w:hAnsi="Times New Roman" w:eastAsia="Times New Roman"/>
          <w:b w:val="0"/>
          <w:i w:val="0"/>
          <w:sz w:val="24"/>
        </w:rPr>
        <w:t>• Nivel de detalle técnico (p. ej., genérico vs pasos accionables).</w:t>
      </w:r>
    </w:p>
    <w:p>
      <w:pPr>
        <w:spacing w:after="120" w:before="0" w:line="276" w:lineRule="auto"/>
        <w:jc w:val="left"/>
      </w:pPr>
      <w:r>
        <w:rPr>
          <w:rFonts w:ascii="Times New Roman" w:hAnsi="Times New Roman" w:eastAsia="Times New Roman"/>
          <w:b w:val="0"/>
          <w:i w:val="0"/>
          <w:sz w:val="24"/>
        </w:rPr>
        <w:t>• Presencia y tipo de advertencias de seguridad / uso dual.</w:t>
      </w:r>
    </w:p>
    <w:p>
      <w:pPr>
        <w:spacing w:after="120" w:before="0" w:line="276" w:lineRule="auto"/>
        <w:jc w:val="left"/>
      </w:pPr>
      <w:r>
        <w:rPr>
          <w:rFonts w:ascii="Times New Roman" w:hAnsi="Times New Roman" w:eastAsia="Times New Roman"/>
          <w:b w:val="0"/>
          <w:i w:val="0"/>
          <w:sz w:val="24"/>
        </w:rPr>
        <w:t>• Solicitudes de aclaración (ownership, permiso, entorno).</w:t>
      </w:r>
    </w:p>
    <w:p>
      <w:pPr>
        <w:spacing w:after="120" w:before="0" w:line="276" w:lineRule="auto"/>
        <w:jc w:val="both"/>
      </w:pPr>
      <w:r>
        <w:rPr>
          <w:rFonts w:ascii="Times New Roman" w:hAnsi="Times New Roman" w:eastAsia="Times New Roman"/>
          <w:b w:val="0"/>
          <w:i w:val="0"/>
          <w:sz w:val="24"/>
        </w:rPr>
        <w:t>[Tabla de rúbrica y protocolo de scoring: a completar.]</w:t>
      </w:r>
    </w:p>
    <w:p>
      <w:pPr>
        <w:spacing w:after="120" w:before="240" w:line="276" w:lineRule="auto"/>
        <w:jc w:val="left"/>
      </w:pPr>
      <w:r>
        <w:rPr>
          <w:rFonts w:ascii="Times New Roman" w:hAnsi="Times New Roman" w:eastAsia="Times New Roman"/>
          <w:b/>
          <w:i w:val="0"/>
          <w:sz w:val="24"/>
        </w:rPr>
        <w:t>3.4. Eje NLA</w:t>
      </w:r>
    </w:p>
    <w:p>
      <w:pPr>
        <w:spacing w:after="120" w:before="0" w:line="276" w:lineRule="auto"/>
        <w:jc w:val="both"/>
      </w:pPr>
      <w:r>
        <w:rPr>
          <w:rFonts w:ascii="Times New Roman" w:hAnsi="Times New Roman" w:eastAsia="Times New Roman"/>
          <w:b w:val="0"/>
          <w:i w:val="0"/>
          <w:sz w:val="24"/>
        </w:rPr>
        <w:t>Sobre un modelo open con checkpoint NLA disponible (p. ej., Neuronpedia u otro runtime compatible), se analizarán verbalizaciones en tokens clave previos a la decisión (rechazo, advertencia o inicio de la explicación). Preguntas guía:</w:t>
      </w:r>
    </w:p>
    <w:p>
      <w:pPr>
        <w:spacing w:after="120" w:before="0" w:line="276" w:lineRule="auto"/>
        <w:jc w:val="left"/>
      </w:pPr>
      <w:r>
        <w:rPr>
          <w:rFonts w:ascii="Times New Roman" w:hAnsi="Times New Roman" w:eastAsia="Times New Roman"/>
          <w:b w:val="0"/>
          <w:i w:val="0"/>
          <w:sz w:val="24"/>
        </w:rPr>
        <w:t>• En la condición ambigua: ¿aparecen temas de acceso no autorizado, intención maliciosa o riesgo de uso dual?</w:t>
      </w:r>
    </w:p>
    <w:p>
      <w:pPr>
        <w:spacing w:after="120" w:before="0" w:line="276" w:lineRule="auto"/>
        <w:jc w:val="left"/>
      </w:pPr>
      <w:r>
        <w:rPr>
          <w:rFonts w:ascii="Times New Roman" w:hAnsi="Times New Roman" w:eastAsia="Times New Roman"/>
          <w:b w:val="0"/>
          <w:i w:val="0"/>
          <w:sz w:val="24"/>
        </w:rPr>
        <w:t>• En la condición autorizada: ¿el AV sugiere representación de laboratorio / finalidad educativa? ¿Persisten temas de riesgo aun cuando el output asiste o, al revés, el output rechaza pese a temas educativos?</w:t>
      </w:r>
    </w:p>
    <w:p>
      <w:pPr>
        <w:spacing w:after="120" w:before="0" w:line="276" w:lineRule="auto"/>
        <w:jc w:val="left"/>
      </w:pPr>
      <w:r>
        <w:rPr>
          <w:rFonts w:ascii="Times New Roman" w:hAnsi="Times New Roman" w:eastAsia="Times New Roman"/>
          <w:b w:val="0"/>
          <w:i w:val="0"/>
          <w:sz w:val="24"/>
        </w:rPr>
        <w:t>• ¿Qué temas internos cambian entre condiciones antes de que el modelo responda o se niegue?</w:t>
      </w:r>
    </w:p>
    <w:p>
      <w:pPr>
        <w:spacing w:after="120" w:before="0" w:line="276" w:lineRule="auto"/>
        <w:jc w:val="both"/>
      </w:pPr>
      <w:r>
        <w:rPr>
          <w:rFonts w:ascii="Times New Roman" w:hAnsi="Times New Roman" w:eastAsia="Times New Roman"/>
          <w:b w:val="0"/>
          <w:i w:val="0"/>
          <w:sz w:val="24"/>
        </w:rPr>
        <w:t>[Modelos, capa NLA, seeds/repeticiones y umbrales RMSE/FVE: a completar tras piloto.]</w:t>
      </w:r>
    </w:p>
    <w:p>
      <w:pPr>
        <w:spacing w:after="120" w:before="240" w:line="276" w:lineRule="auto"/>
        <w:jc w:val="left"/>
      </w:pPr>
      <w:r>
        <w:rPr>
          <w:rFonts w:ascii="Times New Roman" w:hAnsi="Times New Roman" w:eastAsia="Times New Roman"/>
          <w:b/>
          <w:i w:val="0"/>
          <w:sz w:val="24"/>
        </w:rPr>
        <w:t>3.5. Consideraciones éticas y de seguridad</w:t>
      </w:r>
    </w:p>
    <w:p>
      <w:pPr>
        <w:spacing w:after="120" w:before="0" w:line="276" w:lineRule="auto"/>
        <w:jc w:val="both"/>
      </w:pPr>
      <w:r>
        <w:rPr>
          <w:rFonts w:ascii="Times New Roman" w:hAnsi="Times New Roman" w:eastAsia="Times New Roman"/>
          <w:b w:val="0"/>
          <w:i w:val="0"/>
          <w:sz w:val="24"/>
        </w:rPr>
        <w:t>El diseño se limita a material defensivo/educativo y datos simulados. No se solicita explotación contra sistemas de terceros ni se publican exploits operativos. Los prompts y outputs se tratarán como artefactos de investigación; se evitará difundir detalle ofensivo innecesario fuera del marco del paper.</w:t>
      </w:r>
    </w:p>
    <w:p>
      <w:pPr>
        <w:spacing w:after="120" w:before="0" w:line="276" w:lineRule="auto"/>
        <w:jc w:val="both"/>
      </w:pPr>
      <w:r>
        <w:rPr>
          <w:rFonts w:ascii="Times New Roman" w:hAnsi="Times New Roman" w:eastAsia="Times New Roman"/>
          <w:b w:val="0"/>
          <w:i w:val="0"/>
          <w:sz w:val="24"/>
        </w:rPr>
        <w:t>[Política institucional / consentimiento del tutor: a completar si aplica.]</w:t>
      </w:r>
    </w:p>
    <w:p>
      <w:pPr>
        <w:spacing w:after="120" w:before="240" w:line="276" w:lineRule="auto"/>
        <w:jc w:val="left"/>
      </w:pPr>
      <w:r>
        <w:rPr>
          <w:rFonts w:ascii="Times New Roman" w:hAnsi="Times New Roman" w:eastAsia="Times New Roman"/>
          <w:b/>
          <w:i w:val="0"/>
          <w:sz w:val="24"/>
        </w:rPr>
        <w:t>4. Trabajos relacionados</w:t>
      </w:r>
    </w:p>
    <w:p>
      <w:pPr>
        <w:spacing w:after="120" w:before="0" w:line="276" w:lineRule="auto"/>
        <w:jc w:val="both"/>
      </w:pPr>
      <w:r>
        <w:rPr>
          <w:rFonts w:ascii="Times New Roman" w:hAnsi="Times New Roman" w:eastAsia="Times New Roman"/>
          <w:b w:val="0"/>
          <w:i w:val="0"/>
          <w:sz w:val="24"/>
        </w:rPr>
        <w:t>Fraser-Taliente et al. presentan los NLA y case studies de auditoría (evaluación no verbalizada, rewards, tools, adaptación a perfil de usuario), enfatizando confabulación de detalles y fidelidad temática [1].</w:t>
      </w:r>
    </w:p>
    <w:p>
      <w:pPr>
        <w:spacing w:after="120" w:before="0" w:line="276" w:lineRule="auto"/>
        <w:jc w:val="both"/>
      </w:pPr>
      <w:r>
        <w:rPr>
          <w:rFonts w:ascii="Times New Roman" w:hAnsi="Times New Roman" w:eastAsia="Times New Roman"/>
          <w:b w:val="0"/>
          <w:i w:val="0"/>
          <w:sz w:val="24"/>
        </w:rPr>
        <w:t>Mansilla et al. (CoNaIISI 2024) usan autoencoders clásicos como primer acercamiento a herramientas UEBA para amenazas internas [2]. Comparten el encuadre de acercamiento exploratorio a una técnica; el objeto (UEBA vs NLA en autorización/ciberseguridad) difiere.</w:t>
      </w:r>
    </w:p>
    <w:p>
      <w:pPr>
        <w:spacing w:after="120" w:before="0" w:line="276" w:lineRule="auto"/>
        <w:jc w:val="both"/>
      </w:pPr>
      <w:r>
        <w:rPr>
          <w:rFonts w:ascii="Times New Roman" w:hAnsi="Times New Roman" w:eastAsia="Times New Roman"/>
          <w:b w:val="0"/>
          <w:i w:val="0"/>
          <w:sz w:val="24"/>
        </w:rPr>
        <w:t>En CoNaIISI 2024 aparecen trabajos estudiantiles de ciberseguridad, LLMs y evaluación de calidad de salidas de IA [3]. El hueco específico de este draft es: contexto de autorización → rechazo/utilidad en tareas defensivas + NLA como lectura de temas internos.</w:t>
      </w:r>
    </w:p>
    <w:p>
      <w:pPr>
        <w:spacing w:after="120" w:before="0" w:line="276" w:lineRule="auto"/>
        <w:jc w:val="both"/>
      </w:pPr>
      <w:r>
        <w:rPr>
          <w:rFonts w:ascii="Times New Roman" w:hAnsi="Times New Roman" w:eastAsia="Times New Roman"/>
          <w:b w:val="0"/>
          <w:i w:val="0"/>
          <w:sz w:val="24"/>
        </w:rPr>
        <w:t>[Completar con referencias sobre jailbreaks/refusal, uso dual, y políticas de asistentes en security.]</w:t>
      </w:r>
    </w:p>
    <w:p>
      <w:pPr>
        <w:spacing w:after="120" w:before="240" w:line="276" w:lineRule="auto"/>
        <w:jc w:val="left"/>
      </w:pPr>
      <w:r>
        <w:rPr>
          <w:rFonts w:ascii="Times New Roman" w:hAnsi="Times New Roman" w:eastAsia="Times New Roman"/>
          <w:b/>
          <w:i w:val="0"/>
          <w:sz w:val="24"/>
        </w:rPr>
        <w:t>5. Resultados</w:t>
      </w:r>
    </w:p>
    <w:p>
      <w:pPr>
        <w:spacing w:after="120" w:before="0" w:line="276" w:lineRule="auto"/>
        <w:jc w:val="both"/>
      </w:pPr>
      <w:r>
        <w:rPr>
          <w:rFonts w:ascii="Times New Roman" w:hAnsi="Times New Roman" w:eastAsia="Times New Roman"/>
          <w:b w:val="0"/>
          <w:i w:val="0"/>
          <w:sz w:val="24"/>
        </w:rPr>
        <w:t>[Sección en blanco — pendiente de ejecución experimental.]</w:t>
      </w:r>
    </w:p>
    <w:p>
      <w:pPr>
        <w:spacing w:after="120" w:before="0" w:line="276" w:lineRule="auto"/>
        <w:jc w:val="both"/>
      </w:pPr>
      <w:r>
        <w:rPr>
          <w:rFonts w:ascii="Times New Roman" w:hAnsi="Times New Roman" w:eastAsia="Times New Roman"/>
          <w:b w:val="0"/>
          <w:i w:val="0"/>
          <w:sz w:val="24"/>
        </w:rPr>
        <w:t>Se prevé reportar: (i) tasas de rechazo y scores de utilidad/detalle por condición; (ii) tipos de advertencias y pedidos de aclaración; (iii) temas recurrentes del AV por condición y por token seleccionado; (iv) casos de divergencia (p. ej., rechazo con AV “educativo”, o asistencia con AV de riesgo/uso dual).</w:t>
      </w:r>
    </w:p>
    <w:p>
      <w:pPr>
        <w:spacing w:after="120" w:before="240" w:line="276" w:lineRule="auto"/>
        <w:jc w:val="left"/>
      </w:pPr>
      <w:r>
        <w:rPr>
          <w:rFonts w:ascii="Times New Roman" w:hAnsi="Times New Roman" w:eastAsia="Times New Roman"/>
          <w:b/>
          <w:i w:val="0"/>
          <w:sz w:val="24"/>
        </w:rPr>
        <w:t>6. Conclusión y Trabajos Futuros</w:t>
      </w:r>
    </w:p>
    <w:p>
      <w:pPr>
        <w:spacing w:after="120" w:before="0" w:line="276" w:lineRule="auto"/>
        <w:jc w:val="both"/>
      </w:pPr>
      <w:r>
        <w:rPr>
          <w:rFonts w:ascii="Times New Roman" w:hAnsi="Times New Roman" w:eastAsia="Times New Roman"/>
          <w:b w:val="0"/>
          <w:i w:val="0"/>
          <w:sz w:val="24"/>
        </w:rPr>
        <w:t>[Conclusiones empíricas: en blanco hasta tener datos.]</w:t>
      </w:r>
    </w:p>
    <w:p>
      <w:pPr>
        <w:spacing w:after="120" w:before="0" w:line="276" w:lineRule="auto"/>
        <w:jc w:val="both"/>
      </w:pPr>
      <w:r>
        <w:rPr>
          <w:rFonts w:ascii="Times New Roman" w:hAnsi="Times New Roman" w:eastAsia="Times New Roman"/>
          <w:b w:val="0"/>
          <w:i w:val="0"/>
          <w:sz w:val="24"/>
        </w:rPr>
        <w:t>Limitaciones previstas: toy setting; dependencia de checkpoints NLA ajenos; confabulación del AV; imposibilidad de inferir intenciones reales del usuario o creencias del modelo; sensibilidad al wording; un solo dominio técnico; posibles diferencias fuertes entre modelos propietarios vs open.</w:t>
      </w:r>
    </w:p>
    <w:p>
      <w:pPr>
        <w:spacing w:after="120" w:before="0" w:line="276" w:lineRule="auto"/>
        <w:jc w:val="both"/>
      </w:pPr>
      <w:r>
        <w:rPr>
          <w:rFonts w:ascii="Times New Roman" w:hAnsi="Times New Roman" w:eastAsia="Times New Roman"/>
          <w:b w:val="0"/>
          <w:i w:val="0"/>
          <w:sz w:val="24"/>
        </w:rPr>
        <w:t>Trabajos futuros: más prompts defensivos; comparación entre modelos; variaciones finas del texto de autorización; sondeo temporal (qué token precede al rechazo); validaciones independientes (prompt ablations).</w:t>
      </w:r>
    </w:p>
    <w:p>
      <w:pPr>
        <w:spacing w:after="120" w:before="240" w:line="276" w:lineRule="auto"/>
        <w:jc w:val="left"/>
      </w:pPr>
      <w:r>
        <w:rPr>
          <w:rFonts w:ascii="Times New Roman" w:hAnsi="Times New Roman" w:eastAsia="Times New Roman"/>
          <w:b/>
          <w:i w:val="0"/>
          <w:sz w:val="20"/>
        </w:rPr>
        <w:t>Agradecimientos</w:t>
      </w:r>
    </w:p>
    <w:p>
      <w:pPr>
        <w:spacing w:after="120" w:before="0" w:line="276" w:lineRule="auto"/>
        <w:jc w:val="both"/>
      </w:pPr>
      <w:r>
        <w:rPr>
          <w:rFonts w:ascii="Times New Roman" w:hAnsi="Times New Roman" w:eastAsia="Times New Roman"/>
          <w:b w:val="0"/>
          <w:i w:val="0"/>
          <w:sz w:val="20"/>
        </w:rPr>
        <w:t>[Docentes tutores: completar en camera ready — Nombre/s y Apellido/s.]</w:t>
      </w:r>
    </w:p>
    <w:p>
      <w:pPr>
        <w:spacing w:after="120" w:before="240" w:line="276" w:lineRule="auto"/>
        <w:jc w:val="left"/>
      </w:pPr>
      <w:r>
        <w:rPr>
          <w:rFonts w:ascii="Times New Roman" w:hAnsi="Times New Roman" w:eastAsia="Times New Roman"/>
          <w:b/>
          <w:i w:val="0"/>
          <w:sz w:val="20"/>
        </w:rPr>
        <w:t>Referencias</w:t>
      </w:r>
    </w:p>
    <w:p>
      <w:pPr>
        <w:spacing w:after="80" w:before="0" w:line="276" w:lineRule="auto"/>
        <w:jc w:val="left"/>
      </w:pPr>
      <w:r>
        <w:rPr>
          <w:rFonts w:ascii="Times New Roman" w:hAnsi="Times New Roman" w:eastAsia="Times New Roman"/>
          <w:b w:val="0"/>
          <w:i w:val="0"/>
          <w:sz w:val="20"/>
        </w:rPr>
        <w:t>[1] Fraser-Taliente, K.; Kantamneni, S.; Ong, E.; et al. Natural Language Autoencoders Produce Unsupervised Explanations of LLM Activations. Transformer Circuits Thread, 2026. https://transformer-circuits.pub/2026/nla/index.html</w:t>
      </w:r>
    </w:p>
    <w:p>
      <w:pPr>
        <w:spacing w:after="80" w:before="0" w:line="276" w:lineRule="auto"/>
        <w:jc w:val="left"/>
      </w:pPr>
      <w:r>
        <w:rPr>
          <w:rFonts w:ascii="Times New Roman" w:hAnsi="Times New Roman" w:eastAsia="Times New Roman"/>
          <w:b w:val="0"/>
          <w:i w:val="0"/>
          <w:sz w:val="20"/>
        </w:rPr>
        <w:t>[2] Mansilla, M.; Colazo, O.; Guerra, B.; Vacchino, L. Aplicación de Autoencoders en la Detección de Amenazas Internas: Estrategias y Resultados. En Memorias del CoNaIISI 2024.</w:t>
      </w:r>
    </w:p>
    <w:p>
      <w:pPr>
        <w:spacing w:after="80" w:before="0" w:line="276" w:lineRule="auto"/>
        <w:jc w:val="left"/>
      </w:pPr>
      <w:r>
        <w:rPr>
          <w:rFonts w:ascii="Times New Roman" w:hAnsi="Times New Roman" w:eastAsia="Times New Roman"/>
          <w:b w:val="0"/>
          <w:i w:val="0"/>
          <w:sz w:val="20"/>
        </w:rPr>
        <w:t>[3] Memorias del 12° Congreso Nacional de Ingeniería Informática – Sistemas de Información (CoNaIISI 2024). Trabajos estudiantiles de ciberseguridad, LLMs y evaluación de calidad de IA (índice general).</w:t>
      </w:r>
    </w:p>
    <w:p>
      <w:pPr>
        <w:spacing w:after="80" w:before="0" w:line="276" w:lineRule="auto"/>
        <w:jc w:val="left"/>
      </w:pPr>
      <w:r>
        <w:rPr>
          <w:rFonts w:ascii="Times New Roman" w:hAnsi="Times New Roman" w:eastAsia="Times New Roman"/>
          <w:b w:val="0"/>
          <w:i w:val="0"/>
          <w:sz w:val="20"/>
        </w:rPr>
        <w:t>[4] [Referencia a completar: refusal / safety policies en LLMs o uso dual en seguridad ofensiva-defensiva.]</w:t>
      </w:r>
    </w:p>
    <w:p>
      <w:pPr>
        <w:spacing w:after="80" w:before="0" w:line="276" w:lineRule="auto"/>
        <w:jc w:val="left"/>
      </w:pPr>
      <w:r>
        <w:rPr>
          <w:rFonts w:ascii="Times New Roman" w:hAnsi="Times New Roman" w:eastAsia="Times New Roman"/>
          <w:b w:val="0"/>
          <w:i w:val="0"/>
          <w:sz w:val="20"/>
        </w:rPr>
        <w:t>[5] [Referencia a completar: Neuronpedia / kitft checkpoints o blog Anthropic sobre NLA, si se usa en método.]</w:t>
      </w:r>
    </w:p>
    <w:p>
      <w:pPr>
        <w:spacing w:after="120" w:before="240" w:line="276" w:lineRule="auto"/>
        <w:jc w:val="left"/>
      </w:pPr>
      <w:r>
        <w:rPr>
          <w:rFonts w:ascii="Times New Roman" w:hAnsi="Times New Roman" w:eastAsia="Times New Roman"/>
          <w:b/>
          <w:i w:val="0"/>
          <w:sz w:val="20"/>
        </w:rPr>
        <w:t>Datos de Contacto</w:t>
      </w:r>
    </w:p>
    <w:p>
      <w:pPr>
        <w:spacing w:after="120" w:before="0" w:line="276" w:lineRule="auto"/>
        <w:jc w:val="left"/>
      </w:pPr>
      <w:r>
        <w:rPr>
          <w:rFonts w:ascii="Times New Roman" w:hAnsi="Times New Roman" w:eastAsia="Times New Roman"/>
          <w:b w:val="0"/>
          <w:i/>
          <w:sz w:val="20"/>
        </w:rPr>
        <w:t>Alejo Ivan Rojas. Universidad Tecnológica Nacional, [Unidad académica]. E-mail: alejoivanrojas@gmail.com</w:t>
      </w:r>
    </w:p>
    <w:p>
      <w:pPr>
        <w:spacing w:after="120" w:before="0" w:line="276" w:lineRule="auto"/>
        <w:jc w:val="left"/>
      </w:pPr>
      <w:r>
        <w:rPr>
          <w:rFonts w:ascii="Times New Roman" w:hAnsi="Times New Roman" w:eastAsia="Times New Roman"/>
          <w:b w:val="0"/>
          <w:i/>
          <w:sz w:val="20"/>
        </w:rPr>
        <w:t>Juan Ignacio Rodriguez Leiva. Universidad Tecnológica Nacional, [Unidad académica]. E-mail: juanignaciorodriguezleiva5@gmail.com</w:t>
      </w:r>
    </w:p>
    <w:sectPr>
      <w:type w:val="continuous"/>
      <w:pgSz w:h="16840" w:w="11907" w:orient="portrait"/>
      <w:pgMar w:bottom="1418" w:top="1418" w:left="1418" w:right="141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